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w:t>
      </w:r>
      <w:r>
        <w:rPr>
          <w:rFonts w:hint="eastAsia" w:ascii="方正小标宋简体" w:hAnsi="方正小标宋简体" w:eastAsia="方正小标宋简体" w:cs="方正小标宋简体"/>
          <w:sz w:val="44"/>
          <w:szCs w:val="44"/>
          <w:lang w:val="en-US" w:eastAsia="zh-CN"/>
        </w:rPr>
        <w:t>于</w:t>
      </w: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val="en-US" w:eastAsia="zh-CN"/>
        </w:rPr>
        <w:t>东城</w:t>
      </w:r>
      <w:r>
        <w:rPr>
          <w:rFonts w:hint="eastAsia" w:ascii="方正小标宋简体" w:hAnsi="方正小标宋简体" w:eastAsia="方正小标宋简体" w:cs="方正小标宋简体"/>
          <w:sz w:val="44"/>
          <w:szCs w:val="44"/>
        </w:rPr>
        <w:t>区政府投资管理办法（征求意见稿）》</w:t>
      </w:r>
      <w:r>
        <w:rPr>
          <w:rFonts w:hint="eastAsia" w:ascii="方正小标宋简体" w:hAnsi="方正小标宋简体" w:eastAsia="方正小标宋简体" w:cs="方正小标宋简体"/>
          <w:sz w:val="44"/>
          <w:szCs w:val="44"/>
          <w:lang w:eastAsia="zh-CN"/>
        </w:rPr>
        <w:t>的起草说明</w:t>
      </w:r>
    </w:p>
    <w:p>
      <w:pPr>
        <w:pStyle w:val="3"/>
        <w:numPr>
          <w:ilvl w:val="0"/>
          <w:numId w:val="0"/>
        </w:numPr>
        <w:spacing w:line="560" w:lineRule="exact"/>
        <w:ind w:left="640" w:leftChars="0"/>
        <w:outlineLvl w:val="0"/>
        <w:rPr>
          <w:rFonts w:hint="eastAsia" w:ascii="黑体" w:hAnsi="黑体" w:eastAsia="黑体" w:cs="黑体"/>
          <w:kern w:val="2"/>
          <w:sz w:val="32"/>
          <w:szCs w:val="32"/>
          <w:lang w:val="en-US" w:eastAsia="zh-CN" w:bidi="ar-SA"/>
        </w:rPr>
      </w:pPr>
    </w:p>
    <w:p>
      <w:pPr>
        <w:pStyle w:val="3"/>
        <w:numPr>
          <w:ilvl w:val="0"/>
          <w:numId w:val="0"/>
        </w:numPr>
        <w:spacing w:line="560" w:lineRule="exact"/>
        <w:ind w:left="640" w:leftChars="0"/>
        <w:outlineLvl w:val="0"/>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eastAsia="仿宋_GB2312"/>
          <w:sz w:val="32"/>
          <w:szCs w:val="32"/>
          <w:highlight w:val="none"/>
          <w:lang w:val="en-US" w:eastAsia="zh-CN"/>
        </w:rPr>
      </w:pPr>
      <w:r>
        <w:rPr>
          <w:rFonts w:hint="eastAsia" w:ascii="仿宋_GB2312" w:hAnsi="仿宋_GB2312" w:eastAsia="仿宋_GB2312" w:cs="仿宋_GB2312"/>
          <w:sz w:val="32"/>
          <w:szCs w:val="32"/>
          <w:lang w:val="en-US" w:eastAsia="zh-CN"/>
        </w:rPr>
        <w:t>政府投资作为一项重要政府职能，是实施宏观调控、落实国家发展战略的重要手段，是引导和带动社会资本扩大有效投资的有力抓手。近年来，国家和北京市相继出台《政府投资条例》《北京市政府投资管理办法》等相关法规文件，确定了上位政策依据。</w:t>
      </w:r>
      <w:r>
        <w:rPr>
          <w:rFonts w:hint="eastAsia" w:ascii="Times New Roman" w:hAnsi="Times New Roman" w:eastAsia="仿宋_GB2312" w:cs="Times New Roman"/>
          <w:sz w:val="32"/>
          <w:szCs w:val="32"/>
          <w:highlight w:val="none"/>
          <w:lang w:val="en-US" w:eastAsia="zh-CN"/>
        </w:rPr>
        <w:t>为更好的落实国家、市级政策法规，更好的推动解决新形势、新要求下政府投资工作中出现的新问题、新情况，</w:t>
      </w:r>
      <w:r>
        <w:rPr>
          <w:rFonts w:hint="eastAsia" w:ascii="仿宋_GB2312" w:hAnsi="仿宋_GB2312" w:eastAsia="仿宋_GB2312" w:cs="仿宋_GB2312"/>
          <w:sz w:val="32"/>
          <w:szCs w:val="32"/>
          <w:lang w:val="en-US" w:eastAsia="zh-CN"/>
        </w:rPr>
        <w:t>进一步强化我区政府投资管理，</w:t>
      </w:r>
      <w:r>
        <w:rPr>
          <w:rFonts w:hint="eastAsia" w:ascii="仿宋_GB2312" w:eastAsia="仿宋_GB2312"/>
          <w:sz w:val="32"/>
          <w:szCs w:val="32"/>
          <w:highlight w:val="none"/>
          <w:lang w:val="en-US" w:eastAsia="zh-CN"/>
        </w:rPr>
        <w:t>我委撰写了《北京市东城区政府投资管理办法》（</w:t>
      </w:r>
      <w:bookmarkStart w:id="0" w:name="_GoBack"/>
      <w:bookmarkEnd w:id="0"/>
      <w:r>
        <w:rPr>
          <w:rFonts w:hint="eastAsia" w:ascii="仿宋_GB2312" w:eastAsia="仿宋_GB2312"/>
          <w:sz w:val="32"/>
          <w:szCs w:val="32"/>
          <w:highlight w:val="none"/>
          <w:lang w:val="en-US" w:eastAsia="zh-CN"/>
        </w:rPr>
        <w:t>简称《管理办法》）。</w:t>
      </w:r>
    </w:p>
    <w:p>
      <w:pPr>
        <w:pStyle w:val="3"/>
        <w:numPr>
          <w:ilvl w:val="0"/>
          <w:numId w:val="0"/>
        </w:numPr>
        <w:spacing w:line="560" w:lineRule="exact"/>
        <w:ind w:left="640" w:leftChars="0"/>
        <w:outlineLvl w:val="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理办法》征求了项目审批部门、行业主管部门、项目主体等相关单位的意见，与提出修改意见的相关单位进行了沟通，达成一致后进行了修改完善。按照上级文件管理要求，拟请示区政府批准，并以区政府名义印发执行。</w:t>
      </w:r>
    </w:p>
    <w:p>
      <w:pPr>
        <w:pStyle w:val="3"/>
        <w:numPr>
          <w:ilvl w:val="0"/>
          <w:numId w:val="0"/>
        </w:numPr>
        <w:spacing w:line="560" w:lineRule="exact"/>
        <w:ind w:left="640" w:leftChars="0" w:firstLine="0"/>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pStyle w:val="3"/>
        <w:numPr>
          <w:ilvl w:val="0"/>
          <w:numId w:val="0"/>
        </w:numPr>
        <w:spacing w:line="560" w:lineRule="exact"/>
        <w:ind w:left="0" w:leftChars="0"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《管理办法》包括六个章节37条，</w:t>
      </w:r>
      <w:r>
        <w:rPr>
          <w:rFonts w:hint="eastAsia" w:ascii="仿宋_GB2312" w:eastAsia="仿宋_GB2312"/>
          <w:sz w:val="32"/>
          <w:szCs w:val="32"/>
          <w:highlight w:val="none"/>
          <w:lang w:val="en-US" w:eastAsia="zh-CN"/>
        </w:rPr>
        <w:t>主要内容包括：</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一是总则部分，共含7项条款</w:t>
      </w:r>
      <w:r>
        <w:rPr>
          <w:rFonts w:hint="eastAsia" w:ascii="仿宋_GB2312" w:hAnsi="仿宋_GB2312" w:eastAsia="仿宋_GB2312" w:cs="仿宋_GB2312"/>
          <w:sz w:val="32"/>
          <w:szCs w:val="32"/>
          <w:lang w:val="en-US" w:eastAsia="zh-CN"/>
        </w:rPr>
        <w:t>，从制定目的和依据、适用范围、投资领域、资金安排原则、投资要求、投资方式、职责划分对相关内容进行明确。</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二是政府投资决策部分，共含10项条款</w:t>
      </w:r>
      <w:r>
        <w:rPr>
          <w:rFonts w:hint="eastAsia" w:ascii="仿宋_GB2312" w:hAnsi="仿宋_GB2312" w:eastAsia="仿宋_GB2312" w:cs="仿宋_GB2312"/>
          <w:sz w:val="32"/>
          <w:szCs w:val="32"/>
          <w:lang w:val="en-US" w:eastAsia="zh-CN"/>
        </w:rPr>
        <w:t>，从政府投资决策依据、项目储备管理、审批内容、委托评估、项目建议书审批、可行性研究报告审批、初步设计及概算审批、资金申请报告审批、可研调整和简化程序等内容，对相关流程进行规范。</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三是政府投资年度计划部分，共含4项条款，</w:t>
      </w:r>
      <w:r>
        <w:rPr>
          <w:rFonts w:hint="eastAsia" w:ascii="仿宋_GB2312" w:hAnsi="仿宋_GB2312" w:eastAsia="仿宋_GB2312" w:cs="仿宋_GB2312"/>
          <w:b w:val="0"/>
          <w:bCs w:val="0"/>
          <w:sz w:val="32"/>
          <w:szCs w:val="32"/>
          <w:lang w:val="en-US" w:eastAsia="zh-CN"/>
        </w:rPr>
        <w:t>从年度计划编制、年度计划内容、政府投资资金安排、计划资金拨付等方面，</w:t>
      </w:r>
      <w:r>
        <w:rPr>
          <w:rFonts w:hint="eastAsia" w:ascii="仿宋_GB2312" w:hAnsi="仿宋_GB2312" w:eastAsia="仿宋_GB2312" w:cs="仿宋_GB2312"/>
          <w:sz w:val="32"/>
          <w:szCs w:val="32"/>
          <w:lang w:val="en-US" w:eastAsia="zh-CN"/>
        </w:rPr>
        <w:t>对政府投资资金安排条件进行细化完善。</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四是政府投资项目实施，共含11项条款</w:t>
      </w:r>
      <w:r>
        <w:rPr>
          <w:rFonts w:hint="eastAsia" w:ascii="仿宋_GB2312" w:hAnsi="仿宋_GB2312" w:eastAsia="仿宋_GB2312" w:cs="仿宋_GB2312"/>
          <w:sz w:val="32"/>
          <w:szCs w:val="32"/>
          <w:lang w:val="en-US" w:eastAsia="zh-CN"/>
        </w:rPr>
        <w:t>，明确项目开工条件以及批复执行、合理明确工期、竣工验收等要求，明确因客观原因对项目建设内容、功能、规模等进行较大调整，对未履行变更程序且结算超过批复投资的重大政府投资项目的解决路径。</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五是监督管理部分，共含4项条款</w:t>
      </w:r>
      <w:r>
        <w:rPr>
          <w:rFonts w:hint="eastAsia" w:ascii="仿宋_GB2312" w:hAnsi="仿宋_GB2312" w:eastAsia="仿宋_GB2312" w:cs="仿宋_GB2312"/>
          <w:sz w:val="32"/>
          <w:szCs w:val="32"/>
          <w:lang w:val="en-US" w:eastAsia="zh-CN"/>
        </w:rPr>
        <w:t>，包括部门监管职责、信息报送机制、其他规定和责任追究，突出加强过程监督。</w:t>
      </w:r>
    </w:p>
    <w:p>
      <w:pPr>
        <w:pStyle w:val="3"/>
        <w:numPr>
          <w:ilvl w:val="0"/>
          <w:numId w:val="0"/>
        </w:numPr>
        <w:spacing w:line="560" w:lineRule="exact"/>
        <w:ind w:left="0" w:leftChars="0"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六是附则，共1项条款，</w:t>
      </w:r>
      <w:r>
        <w:rPr>
          <w:rFonts w:hint="eastAsia" w:ascii="仿宋_GB2312" w:hAnsi="仿宋_GB2312" w:eastAsia="仿宋_GB2312" w:cs="仿宋_GB2312"/>
          <w:sz w:val="32"/>
          <w:szCs w:val="32"/>
          <w:lang w:val="en-US" w:eastAsia="zh-CN"/>
        </w:rPr>
        <w:t>明确管理办法生效时间。</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TNlZTdkZGI4ZGMyOTBjZmZkZTA3NDJkNDAwOWMifQ=="/>
  </w:docVars>
  <w:rsids>
    <w:rsidRoot w:val="E3CE51F9"/>
    <w:rsid w:val="03B9680F"/>
    <w:rsid w:val="07D19702"/>
    <w:rsid w:val="084A1910"/>
    <w:rsid w:val="0B860EB1"/>
    <w:rsid w:val="21D90B16"/>
    <w:rsid w:val="489267DD"/>
    <w:rsid w:val="4CC113B1"/>
    <w:rsid w:val="4F223A63"/>
    <w:rsid w:val="77A7DC4D"/>
    <w:rsid w:val="7A0E5017"/>
    <w:rsid w:val="7EFEA4F7"/>
    <w:rsid w:val="7F7FBE0D"/>
    <w:rsid w:val="BDFD1879"/>
    <w:rsid w:val="E39A12E9"/>
    <w:rsid w:val="E3CE51F9"/>
    <w:rsid w:val="FEBD8E8D"/>
    <w:rsid w:val="FF7B4F6E"/>
    <w:rsid w:val="FFD7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line="360" w:lineRule="auto"/>
      <w:outlineLvl w:val="3"/>
    </w:pPr>
    <w:rPr>
      <w:rFonts w:ascii="Arial" w:hAnsi="Ari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index 9"/>
    <w:basedOn w:val="1"/>
    <w:next w:val="1"/>
    <w:qFormat/>
    <w:uiPriority w:val="0"/>
    <w:pPr>
      <w:ind w:left="1600" w:leftChars="16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799</Words>
  <Characters>802</Characters>
  <Lines>0</Lines>
  <Paragraphs>0</Paragraphs>
  <TotalTime>13</TotalTime>
  <ScaleCrop>false</ScaleCrop>
  <LinksUpToDate>false</LinksUpToDate>
  <CharactersWithSpaces>802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2024-07-17T15:48:00Z</dcterms:created>
  <dc:creator>晓翟</dc:creator>
  <cp:lastModifiedBy>苏磊</cp:lastModifiedBy>
  <dcterms:modified xsi:type="dcterms:W3CDTF">2024-07-23T08:20:10Z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664349508C87120F32779766B19B6AF6_41</vt:lpwstr>
  </property>
</Properties>
</file>