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color w:val="000000"/>
          <w:spacing w:val="-20"/>
          <w:kern w:val="44"/>
          <w:sz w:val="32"/>
          <w:szCs w:val="32"/>
          <w:u w:val="none"/>
          <w:lang w:val="en-US" w:eastAsia="zh-CN" w:bidi="ar-SA"/>
        </w:rPr>
      </w:pPr>
      <w:bookmarkStart w:id="0" w:name="_Toc29802"/>
      <w:r>
        <w:rPr>
          <w:rFonts w:hint="eastAsia" w:ascii="黑体" w:hAnsi="黑体" w:eastAsia="黑体" w:cs="黑体"/>
          <w:b w:val="0"/>
          <w:bCs w:val="0"/>
          <w:color w:val="000000"/>
          <w:spacing w:val="-20"/>
          <w:kern w:val="44"/>
          <w:sz w:val="32"/>
          <w:szCs w:val="32"/>
          <w:u w:val="none"/>
          <w:lang w:val="zh-CN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-20"/>
          <w:kern w:val="44"/>
          <w:sz w:val="32"/>
          <w:szCs w:val="32"/>
          <w:u w:val="none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/>
        </w:rPr>
        <w:t>《顺义区碳达峰实施方案》的起草说明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center"/>
        <w:outlineLvl w:val="9"/>
        <w:rPr>
          <w:rFonts w:ascii="宋体" w:hAnsi="宋体" w:eastAsia="仿宋_GB2312" w:cs="Times New Roman"/>
          <w:b/>
          <w:sz w:val="36"/>
          <w:szCs w:val="36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仿宋_GB2312" w:hAnsi="Times New Roman" w:eastAsia="仿宋_GB2312" w:cs="Times New Roman"/>
          <w:sz w:val="32"/>
          <w:highlight w:val="none"/>
          <w:u w:val="none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eastAsia="zh-CN"/>
        </w:rPr>
        <w:t>为深入贯彻落实《北京市碳达峰实施方案》</w:t>
      </w:r>
      <w:r>
        <w:rPr>
          <w:rFonts w:hint="eastAsia" w:ascii="仿宋_GB2312" w:eastAsia="仿宋_GB2312" w:cs="Times New Roman"/>
          <w:sz w:val="32"/>
          <w:highlight w:val="none"/>
          <w:u w:val="none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eastAsia="zh-CN"/>
        </w:rPr>
        <w:t>推动顺义区碳达峰碳中和工作扎实有序开展,区发改委牵头起草了《顺义区碳达峰实施方案》（以下简称《方案》），具体情况如下：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黑体" w:hAnsi="黑体" w:eastAsia="黑体" w:cs="黑体"/>
          <w:sz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highlight w:val="none"/>
          <w:u w:val="none"/>
          <w:lang w:eastAsia="zh-CN"/>
        </w:rPr>
        <w:t>背景依据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  <w:t>按照《北京市碳达峰方案》对各区出台配套方案的要求，区发改委牵头拟定本《方案》</w:t>
      </w: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  <w:t>充分与市级“1+N”政策体系、积极推动设备更新和消费品以旧换新、加快建设国际绿色经济标杆城市等最新政策文件做好衔接平衡，</w:t>
      </w: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eastAsia="zh-CN"/>
        </w:rPr>
        <w:t>将市级工作部署及时落实到我区相关任务措施中，</w:t>
      </w: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  <w:t>进一步推动我区碳达峰工作落实，更好地为北京市碳达峰做出顺义贡献。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黑体" w:hAnsi="黑体" w:eastAsia="黑体" w:cs="黑体"/>
          <w:sz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highlight w:val="none"/>
          <w:u w:val="none"/>
          <w:lang w:eastAsia="zh-CN"/>
        </w:rPr>
        <w:t>目标任务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  <w:t>在主要目标部分，提出到2025年，安全韧性低碳的能源体系建设取得阶段性进展，碳达峰、碳中和的工作机制进一步完善；可再生能源（不含航空）消费比重达到12%以上，单位地区生产总值能耗比2020年下降14%，单位地区生产总值二氧化碳排放比2020年下降19%，碳排放总量控制在2280万吨以内。到2030年，重点行业和重点领域清洁低碳能源体系初步建立，碳达峰、碳中和工作机制基本健全；单位地区生产总值能耗、二氧化碳排放等目标达到市级要求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黑体" w:hAnsi="黑体" w:eastAsia="黑体" w:cs="黑体"/>
          <w:sz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highlight w:val="none"/>
          <w:u w:val="none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highlight w:val="none"/>
          <w:u w:val="none"/>
          <w:lang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  <w:t>《方案》分为总体要求、主要目标、重点任务、实施保障四部分。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  <w:t>在总体要求部分，强调了坚持以习近平新时代中国特色社会主义思想为指导，强调处理好发展与减排、整体与局部、长远目标与短期目标、政府和市场四对关系，坚持统筹谋划、协调推动，节约优先、集约发展，创新驱动、示范引领，稳妥有序、安全减碳四个原则，努力为北京实现碳达峰目标贡献顺义力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  <w:t>在主要目标部分，</w:t>
      </w:r>
      <w:r>
        <w:rPr>
          <w:rFonts w:hint="eastAsia" w:ascii="仿宋_GB2312" w:eastAsia="仿宋_GB2312" w:cs="Times New Roman"/>
          <w:sz w:val="32"/>
          <w:highlight w:val="none"/>
          <w:u w:val="none"/>
          <w:lang w:val="en-US" w:eastAsia="zh-CN"/>
        </w:rPr>
        <w:t>分别</w:t>
      </w: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  <w:t>提出到2025年</w:t>
      </w:r>
      <w:r>
        <w:rPr>
          <w:rFonts w:hint="eastAsia" w:ascii="仿宋_GB2312" w:eastAsia="仿宋_GB2312" w:cs="Times New Roman"/>
          <w:sz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  <w:t>2030年</w:t>
      </w:r>
      <w:r>
        <w:rPr>
          <w:rFonts w:hint="eastAsia" w:ascii="仿宋_GB2312" w:eastAsia="仿宋_GB2312" w:cs="Times New Roman"/>
          <w:sz w:val="32"/>
          <w:highlight w:val="none"/>
          <w:u w:val="none"/>
          <w:lang w:val="en-US" w:eastAsia="zh-CN"/>
        </w:rPr>
        <w:t>的目标任务</w:t>
      </w: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  <w:t>在重点任务部分，从10个方面（即“碳达峰十大行动”）部署了32项具体措施：一是能源绿色低碳转型行动。主要包括推进煤炭消费压减、发展新能源、开展热泵系统示范应用、构建可靠电力保障体系等4项任务。二是节能降碳增效行动。主要包括全面提升节能管理能力、全面推进公共机构节约用能等2项任务。三是工业领域碳达峰行动。主要包括推进制造业节能降碳、提高数据中心行业能效水平、严把产业准入关等3项任务。四是建筑领域碳达峰行动。主要包括提升新建建筑能效标准、推进公共建筑节能绿色化改造、推进既有建筑能效提升、推动农村用能和建设低碳转型等4项任务。五是供热领域系统重构行动。主要包括严控化石能源供热、大力提升供热系统效率等2项任务。六是交通运输绿色低碳行动。主要包括推动航空领域绿色低碳发展、加快机动车结构绿色低碳转型、完善绿色基础设施网络、推进公共交通运行系统节能降耗、引导低碳出行等5项任务。七是循环经济助力降碳行动。主要包括推进生活垃圾减量化、加强建筑垃圾全过程处置利用、构建循环型产业体系等3项任务。八是绿色低碳科技创新行动。主要包括强化绿色低碳技术创新、加快先进适用技术推广应用等2项任务。九是碳汇能力巩固提升行动。主要包括巩固生态系统固碳作用、推进农业农村减排固碳、提升碳汇增量等3项任务。十是绿色低碳全民行动。主要包括加强生态文明宣传教育、推广绿色低碳生活方式、引导企业履行社会责任、强化学习培训等4项任务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黑体" w:hAnsi="黑体" w:eastAsia="黑体" w:cs="黑体"/>
          <w:sz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highlight w:val="none"/>
          <w:u w:val="none"/>
          <w:lang w:eastAsia="zh-CN"/>
        </w:rPr>
        <w:t>四、创新特点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  <w:t>在《北京市碳达峰实施方案》各项任务的基础上，结合我区航空业能源消费占比较高特点，增加</w:t>
      </w: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  <w:t>推动航空领域绿色低碳发展任务。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黑体" w:hAnsi="黑体" w:eastAsia="黑体" w:cs="黑体"/>
          <w:sz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highlight w:val="none"/>
          <w:u w:val="none"/>
          <w:lang w:eastAsia="zh-CN"/>
        </w:rPr>
        <w:t>五、涉及范围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  <w:t>《方案》适用范围为顺义区</w:t>
      </w:r>
      <w:r>
        <w:rPr>
          <w:rFonts w:hint="eastAsia" w:ascii="仿宋_GB2312" w:eastAsia="仿宋_GB2312" w:cs="Times New Roman"/>
          <w:sz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黑体" w:hAnsi="黑体" w:eastAsia="黑体" w:cs="黑体"/>
          <w:sz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highlight w:val="none"/>
          <w:u w:val="none"/>
          <w:lang w:eastAsia="zh-CN"/>
        </w:rPr>
        <w:t>六、新旧政策差异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  <w:t>《方案》为首次制定。</w:t>
      </w:r>
    </w:p>
    <w:sectPr>
      <w:footnotePr>
        <w:numFmt w:val="decimalEnclosedCircleChinese"/>
        <w:numRestart w:val="eachPage"/>
      </w:footnotePr>
      <w:pgSz w:w="11906" w:h="16838"/>
      <w:pgMar w:top="1701" w:right="1474" w:bottom="1417" w:left="1474" w:header="113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upperRoman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645E0D"/>
    <w:multiLevelType w:val="singleLevel"/>
    <w:tmpl w:val="8B645E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36042"/>
    <w:rsid w:val="019B4796"/>
    <w:rsid w:val="03BB3B3F"/>
    <w:rsid w:val="04D27F17"/>
    <w:rsid w:val="05A54D22"/>
    <w:rsid w:val="0B464AE7"/>
    <w:rsid w:val="1B0165D7"/>
    <w:rsid w:val="31563794"/>
    <w:rsid w:val="332C27D4"/>
    <w:rsid w:val="362D0847"/>
    <w:rsid w:val="36607583"/>
    <w:rsid w:val="3D0920B6"/>
    <w:rsid w:val="47A36042"/>
    <w:rsid w:val="4D5917BC"/>
    <w:rsid w:val="51C31AB7"/>
    <w:rsid w:val="61432382"/>
    <w:rsid w:val="6F88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4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480" w:after="360" w:line="240" w:lineRule="auto"/>
      <w:ind w:firstLine="0" w:firstLineChars="0"/>
      <w:jc w:val="center"/>
      <w:outlineLvl w:val="0"/>
    </w:pPr>
    <w:rPr>
      <w:rFonts w:ascii="Arial" w:hAnsi="Arial" w:eastAsia="黑体"/>
      <w:bCs/>
      <w:color w:val="000000"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unhideWhenUsed/>
    <w:qFormat/>
    <w:uiPriority w:val="99"/>
    <w:pPr>
      <w:adjustRightInd w:val="0"/>
      <w:snapToGrid w:val="0"/>
      <w:spacing w:line="580" w:lineRule="exact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customStyle="1" w:styleId="6">
    <w:name w:val="标题 1 字符"/>
    <w:link w:val="2"/>
    <w:qFormat/>
    <w:uiPriority w:val="0"/>
    <w:rPr>
      <w:rFonts w:ascii="Arial" w:hAnsi="Arial" w:eastAsia="黑体"/>
      <w:bCs/>
      <w:color w:val="000000"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2024-06-07T07:42:00Z</dcterms:created>
  <dc:creator>XYY</dc:creator>
  <cp:lastModifiedBy>XYY</cp:lastModifiedBy>
  <cp:lastPrinted>2024-06-07T08:25:00Z</cp:lastPrinted>
  <dcterms:modified xsi:type="dcterms:W3CDTF">2024-06-13T07:03:46Z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