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0" w:firstLineChars="0"/>
        <w:jc w:val="center"/>
        <w:rPr>
          <w:rFonts w:hint="eastAsia" w:ascii="方正小标宋简体" w:hAnsi="方正小标宋简体" w:eastAsia="方正小标宋简体" w:cs="方正小标宋简体"/>
          <w:sz w:val="44"/>
          <w:szCs w:val="44"/>
        </w:rPr>
      </w:pPr>
    </w:p>
    <w:p>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丰台区2024年政务公开工作要点</w:t>
      </w:r>
    </w:p>
    <w:p>
      <w:pPr>
        <w:ind w:firstLine="0" w:firstLineChars="0"/>
        <w:rPr>
          <w:rFonts w:hint="eastAsia" w:ascii="仿宋_GB2312" w:hAnsi="仿宋_GB2312" w:cs="仿宋_GB2312"/>
          <w:szCs w:val="32"/>
        </w:rPr>
      </w:pPr>
    </w:p>
    <w:p>
      <w:pPr>
        <w:autoSpaceDE w:val="0"/>
        <w:adjustRightInd w:val="0"/>
        <w:snapToGrid w:val="0"/>
        <w:ind w:firstLine="640"/>
        <w:rPr>
          <w:rFonts w:hint="eastAsia" w:ascii="仿宋_GB2312" w:hAnsi="Times New Roman"/>
          <w:color w:val="000000"/>
          <w:szCs w:val="32"/>
        </w:rPr>
      </w:pPr>
      <w:r>
        <w:rPr>
          <w:rFonts w:hint="eastAsia" w:ascii="仿宋_GB2312" w:hAnsi="仿宋_GB2312" w:cs="仿宋_GB2312"/>
          <w:szCs w:val="32"/>
        </w:rPr>
        <w:t>2024年是中华人民共和国成立75周年，是实现“十四五”规划目标任务的关键一年，是京津冀协同发展战略实施10周年，也是北京市深化新时代政务公开、全面提升政策服务质效的攻坚之年。</w:t>
      </w:r>
      <w:r>
        <w:rPr>
          <w:rFonts w:hint="eastAsia" w:ascii="仿宋_GB2312" w:hAnsi="Times New Roman"/>
          <w:color w:val="000000"/>
          <w:szCs w:val="32"/>
        </w:rPr>
        <w:t>为更好落实丰台区作为首都功能拓展区、中心城区增长带、城南行动引领者、京津冀协同发展桥头堡的城市功能定位，服务丰台区倍增追赶、合作发展行动落实，不断提高政务公开服务效能，特制定本要点。</w:t>
      </w:r>
    </w:p>
    <w:p>
      <w:pPr>
        <w:ind w:firstLine="640"/>
        <w:rPr>
          <w:rFonts w:hint="eastAsia" w:ascii="国标黑体" w:hAnsi="国标黑体" w:eastAsia="国标黑体" w:cs="国标黑体"/>
          <w:szCs w:val="32"/>
        </w:rPr>
      </w:pPr>
      <w:r>
        <w:rPr>
          <w:rFonts w:ascii="国标黑体" w:hAnsi="国标黑体" w:eastAsia="国标黑体" w:cs="国标黑体"/>
          <w:szCs w:val="32"/>
        </w:rPr>
        <w:t>一、总体要求</w:t>
      </w:r>
    </w:p>
    <w:p>
      <w:pPr>
        <w:ind w:firstLine="640"/>
        <w:rPr>
          <w:rFonts w:ascii="楷体_GB2312" w:hAnsi="楷体_GB2312" w:eastAsia="楷体_GB2312" w:cs="楷体_GB2312"/>
          <w:szCs w:val="32"/>
        </w:rPr>
      </w:pPr>
      <w:r>
        <w:rPr>
          <w:rFonts w:hint="eastAsia" w:ascii="楷体_GB2312" w:hAnsi="楷体_GB2312" w:eastAsia="楷体_GB2312" w:cs="楷体_GB2312"/>
          <w:szCs w:val="32"/>
        </w:rPr>
        <w:t>（一）指导思想</w:t>
      </w:r>
    </w:p>
    <w:p>
      <w:pPr>
        <w:adjustRightInd w:val="0"/>
        <w:snapToGrid w:val="0"/>
        <w:ind w:firstLine="640"/>
        <w:rPr>
          <w:rFonts w:hint="eastAsia" w:ascii="仿宋_GB2312" w:hAnsi="仿宋_GB2312" w:cs="仿宋_GB2312"/>
          <w:szCs w:val="32"/>
        </w:rPr>
      </w:pPr>
      <w:r>
        <w:rPr>
          <w:rFonts w:hint="eastAsia" w:ascii="仿宋_GB2312" w:hAnsi="仿宋_GB2312" w:cs="仿宋_GB2312"/>
          <w:szCs w:val="32"/>
        </w:rPr>
        <w:t>坚持以习近平新时代中国特色社会主义思想为指导，全面贯彻落实党的二十大和二十届二中全会精神，深入贯彻习近平总书记对北京重要讲话精神，</w:t>
      </w:r>
      <w:r>
        <w:rPr>
          <w:rFonts w:hint="eastAsia" w:ascii="仿宋_GB2312" w:hAnsi="仿宋_GB2312" w:cs="仿宋_GB2312"/>
          <w:color w:val="000000"/>
          <w:szCs w:val="32"/>
        </w:rPr>
        <w:t>准确把握新时代政务公开新形势新要求，紧紧围绕高质量发展、城市精细化治理、保障和改善民生、政府自身建设等市区重点工作，强化政务信息公开管理、提升行政透明度，全过程推进政务公开，全流程优化政策服务，全链条加强政务信息管理，全环节夯实工作基础，更好发挥以公开促落实、促规范、促服务、强监管的作用，以塑造首善标准、国际一流的“北京服务”为目标，</w:t>
      </w:r>
      <w:r>
        <w:rPr>
          <w:rFonts w:hint="eastAsia" w:ascii="仿宋_GB2312" w:hAnsi="仿宋_GB2312" w:cs="仿宋_GB2312"/>
          <w:szCs w:val="32"/>
        </w:rPr>
        <w:t>助力推动首都经济社会高质量发展，</w:t>
      </w:r>
      <w:r>
        <w:rPr>
          <w:rFonts w:hint="eastAsia" w:ascii="仿宋_GB2312" w:hAnsi="仿宋_GB2312" w:cs="仿宋_GB2312"/>
          <w:color w:val="000000"/>
          <w:szCs w:val="32"/>
        </w:rPr>
        <w:t>为深化“放管服”改革、优化营商环境、促进经济平稳运行、社会和谐稳定发挥政务公开积极作用，服务丰台区倍增追赶、合作发展、走在前列。</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（二）基本原则</w:t>
      </w:r>
    </w:p>
    <w:p>
      <w:pPr>
        <w:adjustRightInd w:val="0"/>
        <w:snapToGrid w:val="0"/>
        <w:ind w:firstLine="640"/>
        <w:rPr>
          <w:rFonts w:hint="eastAsia" w:ascii="仿宋_GB2312" w:hAnsi="仿宋_GB2312" w:cs="仿宋_GB2312"/>
          <w:color w:val="000000"/>
          <w:szCs w:val="32"/>
        </w:rPr>
      </w:pPr>
      <w:r>
        <w:rPr>
          <w:rFonts w:hint="eastAsia" w:ascii="仿宋_GB2312" w:hAnsi="仿宋_GB2312" w:cs="仿宋_GB2312"/>
          <w:color w:val="000000"/>
          <w:szCs w:val="32"/>
        </w:rPr>
        <w:t>坚持依法规范。严格履行法定公开义务，落实《中华人民共和国政府信息公开条例》，以法治思维推进政务公开，深化政务公开全清单标准，处理好公开与保密的关系，强化重点领域政务信息管理。</w:t>
      </w:r>
    </w:p>
    <w:p>
      <w:pPr>
        <w:adjustRightInd w:val="0"/>
        <w:snapToGrid w:val="0"/>
        <w:ind w:firstLine="640"/>
        <w:rPr>
          <w:rFonts w:hint="eastAsia" w:ascii="仿宋_GB2312" w:hAnsi="仿宋_GB2312" w:cs="仿宋_GB2312"/>
          <w:color w:val="000000"/>
          <w:szCs w:val="32"/>
        </w:rPr>
      </w:pPr>
      <w:r>
        <w:rPr>
          <w:rFonts w:hint="eastAsia" w:ascii="仿宋_GB2312" w:hAnsi="仿宋_GB2312" w:cs="仿宋_GB2312"/>
          <w:color w:val="000000"/>
          <w:szCs w:val="32"/>
        </w:rPr>
        <w:t>坚持服务为民。聚焦群众企业需求提供优质政务信息服务，推动公开服务理念从“广泛推送”向“精准触达”转变，切实保障群众企业知情权、参与权、表达权、监督权，提升群众企业获得感、认同感。</w:t>
      </w:r>
    </w:p>
    <w:p>
      <w:pPr>
        <w:adjustRightInd w:val="0"/>
        <w:snapToGrid w:val="0"/>
        <w:ind w:firstLine="640"/>
        <w:rPr>
          <w:rFonts w:hint="eastAsia" w:ascii="仿宋_GB2312" w:hAnsi="仿宋_GB2312" w:cs="仿宋_GB2312"/>
          <w:color w:val="000000"/>
          <w:szCs w:val="32"/>
        </w:rPr>
      </w:pPr>
      <w:r>
        <w:rPr>
          <w:rFonts w:hint="eastAsia" w:ascii="仿宋_GB2312" w:hAnsi="仿宋_GB2312" w:cs="仿宋_GB2312"/>
          <w:color w:val="000000"/>
          <w:szCs w:val="32"/>
        </w:rPr>
        <w:t>坚持改革创新。以全面提升政策服务质效为着力点，推动公开工作模式从“整体推进”向“高效协同”转变，创新政策服务体制机制、方式方法、技术手段，强化政务数据汇聚分析、挖掘治理，推动政务公开平台智能集约发展。</w:t>
      </w:r>
    </w:p>
    <w:p>
      <w:pPr>
        <w:adjustRightInd w:val="0"/>
        <w:snapToGrid w:val="0"/>
        <w:ind w:firstLine="640"/>
        <w:rPr>
          <w:rFonts w:hint="eastAsia" w:ascii="Times New Roman" w:hAnsi="Times New Roman" w:eastAsia="宋体"/>
          <w:sz w:val="21"/>
          <w:szCs w:val="22"/>
        </w:rPr>
      </w:pPr>
      <w:r>
        <w:rPr>
          <w:rFonts w:hint="eastAsia" w:ascii="仿宋_GB2312" w:hAnsi="仿宋_GB2312" w:cs="仿宋_GB2312"/>
          <w:color w:val="000000"/>
          <w:szCs w:val="32"/>
        </w:rPr>
        <w:t>坚持务实高效。以大数据理念提升政务公开的规范性、有效性，以政策精细化管理提升政策服务的科学性、及时性，推动公开工作导向从“全面全量”向“精细精心”转变，为群众企业提供个性化定制化政务公开产品。</w:t>
      </w:r>
    </w:p>
    <w:p>
      <w:pPr>
        <w:ind w:firstLine="640"/>
        <w:rPr>
          <w:rFonts w:ascii="国标黑体" w:hAnsi="国标黑体" w:eastAsia="国标黑体" w:cs="国标黑体"/>
          <w:szCs w:val="32"/>
        </w:rPr>
      </w:pPr>
      <w:r>
        <w:rPr>
          <w:rFonts w:ascii="国标黑体" w:hAnsi="国标黑体" w:eastAsia="国标黑体" w:cs="国标黑体"/>
          <w:szCs w:val="32"/>
        </w:rPr>
        <w:t>二、深化重点领域信息公开</w:t>
      </w:r>
    </w:p>
    <w:p>
      <w:pPr>
        <w:ind w:firstLine="640"/>
        <w:rPr>
          <w:rFonts w:ascii="楷体_GB2312" w:hAnsi="楷体_GB2312" w:eastAsia="楷体_GB2312" w:cs="楷体_GB2312"/>
          <w:szCs w:val="32"/>
        </w:rPr>
      </w:pPr>
      <w:r>
        <w:rPr>
          <w:rFonts w:hint="eastAsia" w:ascii="楷体_GB2312" w:hAnsi="楷体_GB2312" w:eastAsia="楷体_GB2312" w:cs="楷体_GB2312"/>
          <w:szCs w:val="32"/>
        </w:rPr>
        <w:t>（一）围绕高质量发展推进政府信息专题公开</w:t>
      </w:r>
    </w:p>
    <w:p>
      <w:pPr>
        <w:ind w:firstLine="640"/>
        <w:rPr>
          <w:rFonts w:hint="eastAsia" w:ascii="楷体_GB2312" w:hAnsi="楷体_GB2312" w:eastAsia="楷体_GB2312" w:cs="楷体_GB2312"/>
          <w:szCs w:val="32"/>
        </w:rPr>
      </w:pPr>
      <w:r>
        <w:rPr>
          <w:rFonts w:hint="eastAsia" w:ascii="仿宋_GB2312" w:hAnsi="仿宋_GB2312" w:cs="仿宋_GB2312"/>
          <w:szCs w:val="32"/>
        </w:rPr>
        <w:t>1.做好京津冀协同发展、疏解整治促提升、举办第二届倍增追赶合作发展大会等方面的信息公开，及时发布丰台区经济社会发展等相关政策信息的重点领域改革措施的解读。</w:t>
      </w:r>
      <w:r>
        <w:rPr>
          <w:rFonts w:hint="eastAsia" w:ascii="楷体_GB2312" w:hAnsi="楷体_GB2312" w:eastAsia="楷体_GB2312" w:cs="楷体_GB2312"/>
          <w:szCs w:val="32"/>
        </w:rPr>
        <w:t>（区发展改革委、区科信局、区商务局、丰台园管委会负责落实，完成时限：2024年10月）</w:t>
      </w:r>
    </w:p>
    <w:p>
      <w:pPr>
        <w:ind w:firstLine="640"/>
        <w:rPr>
          <w:rFonts w:hint="eastAsia" w:ascii="仿宋_GB2312" w:hAnsi="仿宋_GB2312" w:cs="仿宋_GB2312"/>
          <w:szCs w:val="32"/>
        </w:rPr>
      </w:pPr>
      <w:r>
        <w:rPr>
          <w:rFonts w:hint="eastAsia" w:ascii="仿宋_GB2312" w:hAnsi="仿宋_GB2312" w:cs="仿宋_GB2312"/>
          <w:szCs w:val="32"/>
        </w:rPr>
        <w:t>2.围绕推动京雄科创走廊建设，完善京津冀产业创新服务体系，做好支持区内企业在津冀布局生产基地，完善区域产业链、供应链，深化京津冀三地人才“一体化”合作，加快构建人才发展新高地的相关信息公开。</w:t>
      </w:r>
      <w:r>
        <w:rPr>
          <w:rFonts w:hint="eastAsia" w:ascii="楷体_GB2312" w:hAnsi="楷体_GB2312" w:eastAsia="楷体_GB2312" w:cs="楷体_GB2312"/>
          <w:szCs w:val="32"/>
        </w:rPr>
        <w:t>(区发展改革委、区科信局、区人力社保局负责落实，完成时限：2024年10月)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3.做好打造未来产业培育行动计划等产业政策的信息发布解读。</w:t>
      </w:r>
      <w:r>
        <w:rPr>
          <w:rFonts w:hint="eastAsia" w:ascii="楷体_GB2312" w:hAnsi="楷体_GB2312" w:eastAsia="楷体_GB2312" w:cs="楷体_GB2312"/>
          <w:szCs w:val="32"/>
        </w:rPr>
        <w:t>(区发展改革委、区科信局、丰台园管委负责落实，完成时限：2024年10月)</w:t>
      </w:r>
    </w:p>
    <w:p>
      <w:pPr>
        <w:ind w:firstLine="640"/>
        <w:rPr>
          <w:rFonts w:hint="eastAsia" w:ascii="仿宋_GB2312" w:hAnsi="仿宋_GB2312" w:cs="仿宋_GB2312"/>
          <w:szCs w:val="32"/>
        </w:rPr>
      </w:pPr>
      <w:r>
        <w:rPr>
          <w:rFonts w:hint="eastAsia" w:ascii="仿宋_GB2312" w:hAnsi="仿宋_GB2312" w:cs="仿宋_GB2312"/>
          <w:szCs w:val="32"/>
        </w:rPr>
        <w:t>4.做好“丽泽×首都商务新区”国际消费体验区建设等方面的信息公开。</w:t>
      </w:r>
      <w:r>
        <w:rPr>
          <w:rFonts w:hint="eastAsia" w:ascii="楷体_GB2312" w:hAnsi="楷体_GB2312" w:eastAsia="楷体_GB2312" w:cs="楷体_GB2312"/>
          <w:szCs w:val="32"/>
        </w:rPr>
        <w:t>（区商务局、丽泽商务区管委、南中轴地区建设办负责落实，完成时限：2024年10月）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5.围绕“两区”建设，做好高水平培育建设国际消费中心城市、加快重点商圈“一圈一策”升级改造、建设“一刻钟便民生活圈”等方面的信息公开。</w:t>
      </w:r>
      <w:r>
        <w:rPr>
          <w:rFonts w:hint="eastAsia" w:ascii="楷体_GB2312" w:hAnsi="楷体_GB2312" w:eastAsia="楷体_GB2312" w:cs="楷体_GB2312"/>
          <w:szCs w:val="32"/>
        </w:rPr>
        <w:t>（区商务局负责落实，完成时限：2024年10月）</w:t>
      </w:r>
    </w:p>
    <w:p>
      <w:pPr>
        <w:ind w:firstLine="640"/>
        <w:rPr>
          <w:rFonts w:hint="eastAsia" w:ascii="Times New Roman" w:hAnsi="Times New Roman" w:eastAsia="宋体"/>
          <w:sz w:val="21"/>
          <w:szCs w:val="22"/>
        </w:rPr>
      </w:pPr>
      <w:r>
        <w:rPr>
          <w:rFonts w:hint="eastAsia" w:ascii="仿宋_GB2312" w:hAnsi="仿宋_GB2312" w:cs="仿宋_GB2312"/>
          <w:szCs w:val="32"/>
        </w:rPr>
        <w:t>6.做好深化商事登记制度改革、一体化综合监管信息公开，及时发布阶段性政策措施和成果。持续推进反垄断和反不正当竞争执法信息公开。</w:t>
      </w:r>
      <w:r>
        <w:rPr>
          <w:rFonts w:hint="eastAsia" w:ascii="仿宋_GB2312" w:hAnsi="仿宋_GB2312" w:cs="仿宋_GB2312"/>
          <w:color w:val="000000"/>
          <w:szCs w:val="32"/>
        </w:rPr>
        <w:t>做好审批制度改革、高效办成“一件事”和“一业一证”集成服务改革、智慧城市建设等方面信息公开。</w:t>
      </w:r>
      <w:r>
        <w:rPr>
          <w:rFonts w:hint="eastAsia" w:ascii="楷体_GB2312" w:hAnsi="楷体_GB2312" w:eastAsia="楷体_GB2312" w:cs="楷体_GB2312"/>
          <w:szCs w:val="32"/>
        </w:rPr>
        <w:t>（区市场监管局、区政务服务和数据管理局负责落实，完成时限：2024年10月）</w:t>
      </w:r>
    </w:p>
    <w:p>
      <w:pPr>
        <w:adjustRightInd w:val="0"/>
        <w:snapToGrid w:val="0"/>
        <w:ind w:firstLine="720" w:firstLineChars="0"/>
        <w:rPr>
          <w:rFonts w:ascii="楷体_GB2312" w:hAnsi="楷体_GB2312" w:eastAsia="楷体_GB2312" w:cs="楷体_GB2312"/>
          <w:szCs w:val="32"/>
        </w:rPr>
      </w:pPr>
      <w:r>
        <w:rPr>
          <w:rFonts w:hint="eastAsia" w:ascii="仿宋_GB2312" w:hAnsi="仿宋_GB2312" w:cs="仿宋_GB2312"/>
          <w:szCs w:val="32"/>
        </w:rPr>
        <w:t>7.做好设立“丰台创新会客厅”，推动一批跨区域典型项目落地，马家堡、花乡奥莱等10大区域活力中心建设的信息公开。</w:t>
      </w:r>
      <w:r>
        <w:rPr>
          <w:rFonts w:hint="eastAsia" w:ascii="楷体_GB2312" w:hAnsi="楷体_GB2312" w:eastAsia="楷体_GB2312" w:cs="楷体_GB2312"/>
          <w:szCs w:val="32"/>
        </w:rPr>
        <w:t>（区发展改革委、区科信局负责落实，完成时限：2024年10月）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8.做好稳定和扩大传统消费，提振新能源汽车、电子产品等大宗消费，培育文旅体商、国货潮品等新的消费增长点的信息公开。</w:t>
      </w:r>
      <w:r>
        <w:rPr>
          <w:rFonts w:hint="eastAsia" w:ascii="楷体_GB2312" w:hAnsi="楷体_GB2312" w:eastAsia="楷体_GB2312" w:cs="楷体_GB2312"/>
          <w:szCs w:val="32"/>
        </w:rPr>
        <w:t>（区商务局、区文化和旅游局、区体育局负责落实，完成时限：2024年10月）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9.围绕深入实施“花香中国”战略计划，做好筹备申办第十二届中国花卉博览会，启动北京国际花卉交易中心建设的信息公开。</w:t>
      </w:r>
      <w:r>
        <w:rPr>
          <w:rFonts w:hint="eastAsia" w:ascii="楷体_GB2312" w:hAnsi="楷体_GB2312" w:eastAsia="楷体_GB2312" w:cs="楷体_GB2312"/>
          <w:szCs w:val="32"/>
        </w:rPr>
        <w:t>（区园林绿化局、区文化和旅游局、玉泉营街道负责落实，完成时限：2024年10月）</w:t>
      </w:r>
    </w:p>
    <w:p>
      <w:pPr>
        <w:ind w:firstLine="640"/>
        <w:rPr>
          <w:rFonts w:hint="eastAsia" w:ascii="仿宋_GB2312" w:hAnsi="仿宋_GB2312" w:cs="仿宋_GB2312"/>
          <w:szCs w:val="32"/>
        </w:rPr>
      </w:pPr>
      <w:r>
        <w:rPr>
          <w:rFonts w:hint="eastAsia" w:ascii="仿宋_GB2312" w:hAnsi="仿宋_GB2312" w:cs="仿宋_GB2312"/>
          <w:szCs w:val="32"/>
        </w:rPr>
        <w:t>10.围绕大力培育新质生产力，聚焦重点领域积极建设科技创新重大平台项目，做好构建高精尖产业孵化体系、促进科技创新与产业创新深度融合的信息公开。</w:t>
      </w:r>
      <w:r>
        <w:rPr>
          <w:rFonts w:hint="eastAsia" w:ascii="楷体_GB2312" w:hAnsi="楷体_GB2312" w:eastAsia="楷体_GB2312" w:cs="楷体_GB2312"/>
          <w:szCs w:val="32"/>
        </w:rPr>
        <w:t>（区科信局负责落实，完成时限：2024年10月）</w:t>
      </w:r>
    </w:p>
    <w:p>
      <w:pPr>
        <w:ind w:firstLine="640"/>
        <w:rPr>
          <w:rFonts w:hint="eastAsia" w:ascii="仿宋_GB2312" w:hAnsi="仿宋_GB2312" w:cs="仿宋_GB2312"/>
          <w:szCs w:val="32"/>
        </w:rPr>
      </w:pPr>
      <w:r>
        <w:rPr>
          <w:rFonts w:hint="eastAsia" w:ascii="仿宋_GB2312" w:hAnsi="仿宋_GB2312" w:cs="仿宋_GB2312"/>
          <w:szCs w:val="32"/>
        </w:rPr>
        <w:t>11.立足区域产业优势，做好打造商业航天、生物制造、高端医疗器械、光电子等新的产业增长点的信息公开。</w:t>
      </w:r>
      <w:r>
        <w:rPr>
          <w:rFonts w:hint="eastAsia" w:ascii="楷体_GB2312" w:hAnsi="楷体_GB2312" w:eastAsia="楷体_GB2312" w:cs="楷体_GB2312"/>
          <w:szCs w:val="32"/>
        </w:rPr>
        <w:t>（区科信局负责落实，完成时限：2024年10月）</w:t>
      </w:r>
    </w:p>
    <w:p>
      <w:pPr>
        <w:ind w:firstLine="640"/>
        <w:rPr>
          <w:rFonts w:hint="eastAsia" w:ascii="Times New Roman" w:hAnsi="Times New Roman" w:eastAsia="宋体"/>
          <w:sz w:val="21"/>
          <w:szCs w:val="22"/>
        </w:rPr>
      </w:pPr>
      <w:r>
        <w:rPr>
          <w:rFonts w:hint="eastAsia" w:ascii="仿宋_GB2312" w:hAnsi="仿宋_GB2312" w:cs="仿宋_GB2312"/>
          <w:szCs w:val="32"/>
        </w:rPr>
        <w:t>12.围绕深化数字技术创新应用，提升人工智能、工业互联网等技术发展水平，做好推动算力中心项目落地的信息公开。</w:t>
      </w:r>
      <w:r>
        <w:rPr>
          <w:rFonts w:hint="eastAsia" w:ascii="楷体_GB2312" w:hAnsi="楷体_GB2312" w:eastAsia="楷体_GB2312" w:cs="楷体_GB2312"/>
          <w:szCs w:val="32"/>
        </w:rPr>
        <w:t>（区科信局负责落实，完成时限：2024年10月）</w:t>
      </w:r>
    </w:p>
    <w:p>
      <w:pPr>
        <w:ind w:firstLine="640"/>
        <w:rPr>
          <w:rFonts w:ascii="Times New Roman" w:hAnsi="Times New Roman" w:eastAsia="宋体"/>
          <w:sz w:val="21"/>
          <w:szCs w:val="22"/>
        </w:rPr>
      </w:pPr>
      <w:r>
        <w:rPr>
          <w:rFonts w:hint="eastAsia" w:ascii="仿宋_GB2312" w:hAnsi="仿宋_GB2312" w:cs="仿宋_GB2312"/>
          <w:szCs w:val="32"/>
        </w:rPr>
        <w:t>13.围绕营造尊商重企、亲商暖企的氛围，不遗余力支持服务企业发展，做好“服务包”优化，完善“九促”服务体系的信息公开。</w:t>
      </w:r>
      <w:r>
        <w:rPr>
          <w:rFonts w:hint="eastAsia" w:ascii="楷体_GB2312" w:hAnsi="楷体_GB2312" w:eastAsia="楷体_GB2312" w:cs="楷体_GB2312"/>
          <w:szCs w:val="32"/>
        </w:rPr>
        <w:t>（区发展改革委负责落实，完成时限：2024年10月）</w:t>
      </w:r>
    </w:p>
    <w:p>
      <w:pPr>
        <w:ind w:firstLine="640"/>
        <w:rPr>
          <w:rFonts w:ascii="宋体" w:hAnsi="Courier New" w:eastAsia="宋体" w:cs="Courier New"/>
          <w:sz w:val="21"/>
          <w:szCs w:val="21"/>
        </w:rPr>
      </w:pPr>
      <w:r>
        <w:rPr>
          <w:rFonts w:hint="eastAsia" w:ascii="仿宋_GB2312" w:hAnsi="仿宋_GB2312" w:cs="仿宋_GB2312"/>
          <w:szCs w:val="32"/>
        </w:rPr>
        <w:t>14.对开展“京策”政策服务、智慧政务升级等做好先行先试，推动创建“全国网络市场监管与服务示范区”、国家知识产权强市建设示范城市等方面的信息公开。</w:t>
      </w:r>
      <w:r>
        <w:rPr>
          <w:rFonts w:hint="eastAsia" w:ascii="楷体_GB2312" w:hAnsi="楷体_GB2312" w:eastAsia="楷体_GB2312" w:cs="楷体_GB2312"/>
          <w:szCs w:val="32"/>
        </w:rPr>
        <w:t>（区政务服务和数据管理局、区市场监管局、区科信局负责落实，完成时限：2024年10月）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15.围绕高标准推进“两区”建设，落实深化服务业扩大开放综合示范区方案，做好积极参与金融、科技、离岸贸易等重点任务实施的信息公开。</w:t>
      </w:r>
      <w:r>
        <w:rPr>
          <w:rFonts w:hint="eastAsia" w:ascii="楷体_GB2312" w:hAnsi="楷体_GB2312" w:eastAsia="楷体_GB2312" w:cs="楷体_GB2312"/>
          <w:szCs w:val="32"/>
        </w:rPr>
        <w:t>（区商务局、区投资促进服务中心、区发展改革委、区科信局负责落实，完成时限：2024年10月）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16.围绕提升北京市RCEP知识产权公共服务平台功能，做好拓展国际经贸合作新空间的信息公开。</w:t>
      </w:r>
      <w:r>
        <w:rPr>
          <w:rFonts w:hint="eastAsia" w:ascii="楷体_GB2312" w:hAnsi="楷体_GB2312" w:eastAsia="楷体_GB2312" w:cs="楷体_GB2312"/>
          <w:szCs w:val="32"/>
        </w:rPr>
        <w:t>（区商务局、区市场监管局负责落实，完成时限：2024年10月）</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17.</w:t>
      </w:r>
      <w:r>
        <w:rPr>
          <w:rFonts w:hint="eastAsia" w:ascii="仿宋_GB2312" w:hAnsi="仿宋_GB2312" w:cs="仿宋_GB2312"/>
          <w:szCs w:val="32"/>
        </w:rPr>
        <w:t>围绕区域高质量发展、聚才引智，做好强化“丰泽人才”服务，推进“欢迎学子回家”招聘活动的信息公开。</w:t>
      </w:r>
      <w:r>
        <w:rPr>
          <w:rFonts w:hint="eastAsia" w:ascii="楷体_GB2312" w:hAnsi="楷体_GB2312" w:eastAsia="楷体_GB2312" w:cs="楷体_GB2312"/>
          <w:szCs w:val="32"/>
        </w:rPr>
        <w:t>（区人力社保局负责落实，完成时限：2024年10月）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18.做好建设中国手工坊等公共文化新地标，完成滨水公园二期园林景观建设等方面的信息公开。</w:t>
      </w:r>
      <w:r>
        <w:rPr>
          <w:rFonts w:hint="eastAsia" w:ascii="楷体_GB2312" w:hAnsi="楷体_GB2312" w:eastAsia="楷体_GB2312" w:cs="楷体_GB2312"/>
          <w:szCs w:val="32"/>
        </w:rPr>
        <w:t>（丽泽商务区管委会、区园林绿化局负责落实，完成时限：2024年10月）</w:t>
      </w:r>
    </w:p>
    <w:p>
      <w:pPr>
        <w:ind w:firstLine="640" w:firstLineChars="0"/>
        <w:rPr>
          <w:rFonts w:hint="eastAsia" w:ascii="楷体_GB2312" w:hAnsi="楷体_GB2312" w:eastAsia="楷体_GB2312" w:cs="楷体_GB2312"/>
          <w:szCs w:val="32"/>
        </w:rPr>
      </w:pPr>
      <w:r>
        <w:rPr>
          <w:rFonts w:hint="eastAsia" w:ascii="楷体_GB2312" w:hAnsi="楷体_GB2312" w:eastAsia="楷体_GB2312" w:cs="楷体_GB2312"/>
          <w:szCs w:val="32"/>
        </w:rPr>
        <w:t>19.</w:t>
      </w:r>
      <w:r>
        <w:rPr>
          <w:rFonts w:hint="eastAsia" w:ascii="仿宋_GB2312" w:hAnsi="仿宋_GB2312" w:cs="仿宋_GB2312"/>
          <w:szCs w:val="32"/>
        </w:rPr>
        <w:t>围绕鼓励引导企业发挥创新主体作用，加大研发投入，做好支持科技型企业加速聚集、独角兽和潜在独角兽企业梯次培育的专项政策文件发布和解读。</w:t>
      </w:r>
      <w:r>
        <w:rPr>
          <w:rFonts w:hint="eastAsia" w:ascii="楷体_GB2312" w:hAnsi="楷体_GB2312" w:eastAsia="楷体_GB2312" w:cs="楷体_GB2312"/>
          <w:szCs w:val="32"/>
        </w:rPr>
        <w:t>（丰台园管委会、区科信局负责落实，完成时限：2024年12月）</w:t>
      </w:r>
    </w:p>
    <w:p>
      <w:pPr>
        <w:ind w:firstLine="640" w:firstLineChars="0"/>
        <w:rPr>
          <w:rFonts w:hint="eastAsia" w:ascii="Times New Roman" w:hAnsi="Times New Roman" w:eastAsia="宋体"/>
          <w:sz w:val="21"/>
          <w:szCs w:val="22"/>
        </w:rPr>
      </w:pPr>
      <w:r>
        <w:rPr>
          <w:rFonts w:hint="eastAsia" w:ascii="仿宋_GB2312" w:hAnsi="仿宋_GB2312" w:cs="仿宋_GB2312"/>
          <w:szCs w:val="32"/>
        </w:rPr>
        <w:t>20.围绕地区腾退空间向高品质产业空间升级，做好大红门数智产业大厦更新改造、建设南中轴国际文化科技园一站式产业服务平台等方面的信息公开。</w:t>
      </w:r>
      <w:r>
        <w:rPr>
          <w:rFonts w:hint="eastAsia" w:ascii="楷体_GB2312" w:hAnsi="楷体_GB2312" w:eastAsia="楷体_GB2312" w:cs="楷体_GB2312"/>
          <w:szCs w:val="32"/>
        </w:rPr>
        <w:t>（南中轴地区建设办负责落实，完成时限：2024年10月）</w:t>
      </w:r>
    </w:p>
    <w:p>
      <w:pPr>
        <w:ind w:firstLine="640"/>
        <w:rPr>
          <w:rFonts w:ascii="楷体_GB2312" w:hAnsi="楷体_GB2312" w:eastAsia="楷体_GB2312" w:cs="楷体_GB2312"/>
          <w:szCs w:val="32"/>
        </w:rPr>
      </w:pPr>
      <w:r>
        <w:rPr>
          <w:rFonts w:hint="eastAsia" w:ascii="楷体_GB2312" w:hAnsi="楷体_GB2312" w:eastAsia="楷体_GB2312" w:cs="楷体_GB2312"/>
          <w:szCs w:val="32"/>
        </w:rPr>
        <w:t>（二）围绕城市精细化治理推进政府信息专题公开</w:t>
      </w:r>
    </w:p>
    <w:p>
      <w:pPr>
        <w:ind w:firstLine="640"/>
        <w:rPr>
          <w:rFonts w:hint="eastAsia" w:ascii="楷体_GB2312" w:hAnsi="楷体_GB2312" w:eastAsia="楷体_GB2312" w:cs="楷体_GB2312"/>
          <w:szCs w:val="32"/>
        </w:rPr>
      </w:pPr>
      <w:r>
        <w:rPr>
          <w:rFonts w:hint="eastAsia" w:ascii="仿宋_GB2312" w:hAnsi="仿宋_GB2312" w:cs="仿宋_GB2312"/>
          <w:szCs w:val="32"/>
        </w:rPr>
        <w:t>1.围绕老旧小区综合整治推进实施情况深化信息公开范围，发布老旧小区改造和加装电梯成果典型案例。加强房屋租赁政策宣传解读，做好确保房地产市场平稳运行相关政策的发布和解读，及时发布保障性住房建设、提升物业和房屋安全管理、推进建筑业转型升级、加强工程建设和管理等方面政策信息。</w:t>
      </w:r>
      <w:r>
        <w:rPr>
          <w:rFonts w:hint="eastAsia" w:ascii="楷体_GB2312" w:hAnsi="楷体_GB2312" w:eastAsia="楷体_GB2312" w:cs="楷体_GB2312"/>
          <w:szCs w:val="32"/>
        </w:rPr>
        <w:t>（区房管局、区住房城乡建设委员会负责落实，完成时限：2024年10月）</w:t>
      </w:r>
    </w:p>
    <w:p>
      <w:pPr>
        <w:ind w:firstLine="640"/>
        <w:rPr>
          <w:rFonts w:hint="eastAsia" w:ascii="仿宋_GB2312" w:hAnsi="仿宋_GB2312" w:cs="仿宋_GB2312"/>
          <w:szCs w:val="32"/>
        </w:rPr>
      </w:pPr>
      <w:r>
        <w:rPr>
          <w:rFonts w:hint="eastAsia" w:ascii="仿宋_GB2312" w:hAnsi="仿宋_GB2312" w:cs="仿宋_GB2312"/>
          <w:szCs w:val="32"/>
        </w:rPr>
        <w:t>2.持续做好生活垃圾分类、创建垃圾分类示范小区和达标小区、重点区域环境整治提升、背街小巷环境提升、通久路建设、变电站建设、充电基础设施建设、城市环境和运行突出问题攻坚执法检查等方面信息公开。</w:t>
      </w:r>
      <w:r>
        <w:rPr>
          <w:rFonts w:hint="eastAsia" w:ascii="楷体_GB2312" w:hAnsi="楷体_GB2312" w:eastAsia="楷体_GB2312" w:cs="楷体_GB2312"/>
          <w:szCs w:val="32"/>
        </w:rPr>
        <w:t>（区城市管理委、区城管执法局、供电公司负责落实，完成时限：2024年10月）</w:t>
      </w:r>
      <w:r>
        <w:rPr>
          <w:rFonts w:hint="eastAsia" w:ascii="仿宋_GB2312" w:hAnsi="仿宋_GB2312" w:cs="仿宋_GB2312"/>
          <w:szCs w:val="32"/>
        </w:rPr>
        <w:t xml:space="preserve"> </w:t>
      </w:r>
    </w:p>
    <w:p>
      <w:pPr>
        <w:adjustRightInd w:val="0"/>
        <w:snapToGrid w:val="0"/>
        <w:ind w:firstLine="720" w:firstLineChars="0"/>
        <w:rPr>
          <w:rFonts w:hint="eastAsia" w:ascii="楷体_GB2312" w:hAnsi="楷体_GB2312" w:eastAsia="楷体_GB2312" w:cs="楷体_GB2312"/>
          <w:szCs w:val="32"/>
        </w:rPr>
      </w:pPr>
      <w:r>
        <w:rPr>
          <w:rFonts w:hint="eastAsia" w:ascii="仿宋_GB2312" w:hAnsi="仿宋_GB2312" w:cs="仿宋_GB2312"/>
          <w:szCs w:val="32"/>
        </w:rPr>
        <w:t>3.做好全面实施“点靓凉水河”、河西第二水厂建设、完善供水基础管线、扩大“南水”在河西地区覆盖面等方面的信息公开。</w:t>
      </w:r>
      <w:r>
        <w:rPr>
          <w:rFonts w:hint="eastAsia" w:ascii="楷体_GB2312" w:hAnsi="楷体_GB2312" w:eastAsia="楷体_GB2312" w:cs="楷体_GB2312"/>
          <w:szCs w:val="32"/>
        </w:rPr>
        <w:t>（区水务局负责落实，完成时限：2024年10月）</w:t>
      </w:r>
    </w:p>
    <w:p>
      <w:pPr>
        <w:adjustRightInd w:val="0"/>
        <w:snapToGrid w:val="0"/>
        <w:ind w:firstLine="720" w:firstLineChars="0"/>
        <w:rPr>
          <w:rFonts w:hint="eastAsia" w:ascii="Times New Roman" w:hAnsi="Times New Roman" w:eastAsia="宋体"/>
          <w:sz w:val="21"/>
          <w:szCs w:val="22"/>
        </w:rPr>
      </w:pPr>
      <w:r>
        <w:rPr>
          <w:rFonts w:hint="eastAsia" w:ascii="仿宋_GB2312" w:hAnsi="仿宋_GB2312" w:cs="仿宋_GB2312"/>
          <w:szCs w:val="32"/>
        </w:rPr>
        <w:t>4.做好右安门段公共空间项目建设，实现南中轴段、石榴庄段主体结构完工的信息公开。</w:t>
      </w:r>
      <w:r>
        <w:rPr>
          <w:rFonts w:hint="eastAsia" w:ascii="楷体_GB2312" w:hAnsi="楷体_GB2312" w:eastAsia="楷体_GB2312" w:cs="楷体_GB2312"/>
          <w:szCs w:val="32"/>
        </w:rPr>
        <w:t>（区水务局、规划自然资源委丰台分局、文旅集团、南中轴地区建设办、右安门街道负责落实，完成时限：2024年10月）</w:t>
      </w:r>
    </w:p>
    <w:p>
      <w:pPr>
        <w:ind w:firstLine="640"/>
        <w:rPr>
          <w:rFonts w:ascii="楷体_GB2312" w:hAnsi="楷体_GB2312" w:eastAsia="楷体_GB2312" w:cs="楷体_GB2312"/>
          <w:szCs w:val="32"/>
        </w:rPr>
      </w:pPr>
      <w:r>
        <w:rPr>
          <w:rFonts w:hint="eastAsia" w:ascii="仿宋_GB2312" w:hAnsi="仿宋_GB2312" w:cs="仿宋_GB2312"/>
          <w:szCs w:val="32"/>
        </w:rPr>
        <w:t>5.做好河西国家森林公园规划建设、构建京西南生态屏障、区级生态文化建设等方面信息公开，及时发布建设花园式街区、小微绿地及口袋公园进展情况。及时公开发布轨道交通和其他重大项目建设推进情况。</w:t>
      </w:r>
      <w:r>
        <w:rPr>
          <w:rFonts w:hint="eastAsia" w:ascii="楷体_GB2312" w:hAnsi="楷体_GB2312" w:eastAsia="楷体_GB2312" w:cs="楷体_GB2312"/>
          <w:szCs w:val="32"/>
        </w:rPr>
        <w:t>（区园林绿化局、区发展改革委、规划自然资源委丰台分局、区重大项目办负责落实，完成时限：2024年10月）</w:t>
      </w:r>
    </w:p>
    <w:p>
      <w:pPr>
        <w:adjustRightInd w:val="0"/>
        <w:snapToGrid w:val="0"/>
        <w:ind w:firstLine="720" w:firstLineChars="0"/>
        <w:rPr>
          <w:rFonts w:hint="eastAsia" w:ascii="楷体_GB2312" w:hAnsi="楷体_GB2312" w:eastAsia="楷体_GB2312" w:cs="楷体_GB2312"/>
          <w:szCs w:val="32"/>
        </w:rPr>
      </w:pPr>
      <w:r>
        <w:rPr>
          <w:rFonts w:hint="eastAsia" w:ascii="仿宋_GB2312" w:hAnsi="仿宋_GB2312" w:cs="仿宋_GB2312"/>
          <w:szCs w:val="32"/>
        </w:rPr>
        <w:t>6.加强全力打好污染防治攻坚战、深化“一微克”行动、“两山”双向转化路径等相关信息公开，及时发布本市污染防治工作情况和阶段性进展信息，及时发布国家地下水污染防治试验区建设、升级地下水研究中心功能、建设地下水自动监测超级站等信息。</w:t>
      </w:r>
      <w:r>
        <w:rPr>
          <w:rFonts w:hint="eastAsia" w:ascii="楷体_GB2312" w:hAnsi="楷体_GB2312" w:eastAsia="楷体_GB2312" w:cs="楷体_GB2312"/>
          <w:szCs w:val="32"/>
        </w:rPr>
        <w:t xml:space="preserve">（区生态环境局负责落实，完成时限：2024年10月） </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7.</w:t>
      </w:r>
      <w:r>
        <w:rPr>
          <w:rFonts w:hint="eastAsia" w:ascii="仿宋_GB2312" w:hAnsi="仿宋_GB2312" w:cs="仿宋_GB2312"/>
          <w:szCs w:val="32"/>
        </w:rPr>
        <w:t>做好推进水资源节约集约利用、城乡水环境治理、加强水生态保护修复工作等方面信息公开。（</w:t>
      </w:r>
      <w:r>
        <w:rPr>
          <w:rFonts w:hint="eastAsia" w:ascii="楷体_GB2312" w:hAnsi="楷体_GB2312" w:eastAsia="楷体_GB2312" w:cs="楷体_GB2312"/>
          <w:szCs w:val="32"/>
        </w:rPr>
        <w:t xml:space="preserve">区水务局负责落实，完成时限：2024年10月） </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 xml:space="preserve">（三）围绕保障和改善民生推进政府信息专题公开 </w:t>
      </w:r>
    </w:p>
    <w:p>
      <w:pPr>
        <w:ind w:firstLine="640"/>
        <w:rPr>
          <w:rFonts w:hint="eastAsia" w:ascii="楷体_GB2312" w:hAnsi="楷体_GB2312" w:eastAsia="楷体_GB2312" w:cs="楷体_GB2312"/>
          <w:szCs w:val="32"/>
        </w:rPr>
      </w:pPr>
      <w:r>
        <w:rPr>
          <w:rFonts w:hint="eastAsia" w:ascii="仿宋_GB2312" w:hAnsi="仿宋_GB2312" w:cs="仿宋_GB2312"/>
          <w:szCs w:val="32"/>
        </w:rPr>
        <w:t>1.强化实施“智慧就业服务体系建设”“就业服务质量提升”两大工程，以更大力度促进重点群体就业等方面的信息公开。及时发布促进辖区重点群体实现就业，组织召开重点群体的招聘会，开展就业创业指导、职业指导、职业技能培训等各类培训指导活动等信息。</w:t>
      </w:r>
      <w:r>
        <w:rPr>
          <w:rFonts w:hint="eastAsia" w:ascii="楷体_GB2312" w:hAnsi="楷体_GB2312" w:eastAsia="楷体_GB2312" w:cs="楷体_GB2312"/>
          <w:szCs w:val="32"/>
        </w:rPr>
        <w:t xml:space="preserve">（区人力社保局负责落实，完成时限：2024年10月） </w:t>
      </w:r>
    </w:p>
    <w:p>
      <w:pPr>
        <w:ind w:firstLine="640"/>
        <w:rPr>
          <w:rFonts w:hint="eastAsia" w:ascii="楷体_GB2312" w:hAnsi="楷体_GB2312" w:eastAsia="楷体_GB2312" w:cs="楷体_GB2312"/>
          <w:szCs w:val="32"/>
        </w:rPr>
      </w:pPr>
      <w:r>
        <w:rPr>
          <w:rFonts w:hint="eastAsia" w:ascii="仿宋_GB2312" w:hAnsi="仿宋_GB2312" w:cs="仿宋_GB2312"/>
          <w:szCs w:val="32"/>
        </w:rPr>
        <w:t>2.持续推进健全养老服务体系、社会救助领域信息公开，及时公开完善三级养老服务网络、试点建设街镇养老服务中心、推进老年福利中心开业运营、培育养老助餐点，落实社会救助政策等方面的信息。</w:t>
      </w:r>
      <w:r>
        <w:rPr>
          <w:rFonts w:hint="eastAsia" w:ascii="楷体_GB2312" w:hAnsi="楷体_GB2312" w:eastAsia="楷体_GB2312" w:cs="楷体_GB2312"/>
          <w:szCs w:val="32"/>
        </w:rPr>
        <w:t xml:space="preserve">（区民政局负责落实，完成时限：2024年10月） </w:t>
      </w:r>
    </w:p>
    <w:p>
      <w:pPr>
        <w:ind w:firstLine="640"/>
        <w:rPr>
          <w:rFonts w:hint="eastAsia" w:ascii="楷体_GB2312" w:hAnsi="楷体_GB2312" w:eastAsia="楷体_GB2312" w:cs="楷体_GB2312"/>
          <w:szCs w:val="32"/>
        </w:rPr>
      </w:pPr>
      <w:r>
        <w:rPr>
          <w:rFonts w:hint="eastAsia" w:ascii="仿宋_GB2312" w:hAnsi="仿宋_GB2312" w:cs="仿宋_GB2312"/>
          <w:szCs w:val="32"/>
        </w:rPr>
        <w:t>3.做好卫生服务站基本诊疗设施建设信息公开，及时发布推行二三级直属医院信用医疗、优化“智慧家医”品牌服务，加快智能化诊疗“智慧医院”重点技术布局的进展情况。做好开展普惠托育服务试点、新增幼儿园普惠性托位、推进基础教育“强基工程”、加快社区办园点转型提升，实施“五育”并举等信息公开。</w:t>
      </w:r>
      <w:r>
        <w:rPr>
          <w:rFonts w:hint="eastAsia" w:ascii="楷体_GB2312" w:hAnsi="楷体_GB2312" w:eastAsia="楷体_GB2312" w:cs="楷体_GB2312"/>
          <w:szCs w:val="32"/>
        </w:rPr>
        <w:t>（区卫生健康委、区教委负责落实，完成时限：2024年10月）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4.推进完善医疗保障待遇制度、加强医药服务管理、建立医院与农村社区站多层次帮扶矩阵、推广“互联网+医保”新支付方式，实现10家二、三级定点医疗机构医保移动支付等方面信息公开。发布药品监管动态信息，持续做好“全国安全用药月”“医疗器械安全宣传周”“化妆品安全科普宣传周”等主题活动信息公开。</w:t>
      </w:r>
      <w:r>
        <w:rPr>
          <w:rFonts w:hint="eastAsia" w:ascii="楷体_GB2312" w:hAnsi="楷体_GB2312" w:eastAsia="楷体_GB2312" w:cs="楷体_GB2312"/>
          <w:szCs w:val="32"/>
        </w:rPr>
        <w:t>（区医疗保障局、区市场监管局负责落实，完成时限：2024年12月）</w:t>
      </w:r>
    </w:p>
    <w:p>
      <w:pPr>
        <w:ind w:firstLine="640"/>
        <w:rPr>
          <w:rFonts w:hint="eastAsia" w:ascii="楷体_GB2312" w:hAnsi="楷体_GB2312" w:eastAsia="楷体_GB2312" w:cs="楷体_GB2312"/>
          <w:szCs w:val="32"/>
        </w:rPr>
      </w:pPr>
      <w:r>
        <w:rPr>
          <w:rFonts w:hint="eastAsia" w:ascii="仿宋_GB2312" w:hAnsi="仿宋_GB2312" w:cs="仿宋_GB2312"/>
          <w:szCs w:val="32"/>
        </w:rPr>
        <w:t>5.做好紧盯耕地保护红线、启动新一轮高标准农田建设1700亩等方面信息公开工作。及时发布开展农村人居环境整治、推动准物业化管理全覆盖、建成10个乡村振兴“丰采村”等方面政策信息。</w:t>
      </w:r>
      <w:r>
        <w:rPr>
          <w:rFonts w:hint="eastAsia" w:ascii="楷体_GB2312" w:hAnsi="楷体_GB2312" w:eastAsia="楷体_GB2312" w:cs="楷体_GB2312"/>
          <w:szCs w:val="32"/>
        </w:rPr>
        <w:t>（区农业农村局、区房管局负责落实，完成时限：2024年10月）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6.做好打造“花开盛世 丰宜福台”四季文化旅游系列活动品牌、构建15分钟公共阅读服务体系、建设街道综合文化中心、对外开放非遗展示体验中心等方面的信息公开。</w:t>
      </w:r>
      <w:r>
        <w:rPr>
          <w:rFonts w:hint="eastAsia" w:ascii="楷体_GB2312" w:hAnsi="楷体_GB2312" w:eastAsia="楷体_GB2312" w:cs="楷体_GB2312"/>
          <w:szCs w:val="32"/>
        </w:rPr>
        <w:t>（区文化和旅游局、区商务局、区体育局、区园林绿化局负责落实，完成时限：2024年10月）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7.持续做好退役军人服务保障体系建设、移交安置、就业扶持、拥军优抚、褒扬纪念等方面信息公开。</w:t>
      </w:r>
      <w:r>
        <w:rPr>
          <w:rFonts w:hint="eastAsia" w:ascii="楷体_GB2312" w:hAnsi="楷体_GB2312" w:eastAsia="楷体_GB2312" w:cs="楷体_GB2312"/>
          <w:szCs w:val="32"/>
        </w:rPr>
        <w:t>（区退役军人局负责落实，完成时限：2024年10月）</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（四）围绕政府自身建设推进政府信息专题公开</w:t>
      </w:r>
    </w:p>
    <w:p>
      <w:pPr>
        <w:ind w:firstLine="640"/>
        <w:rPr>
          <w:rFonts w:hint="eastAsia" w:ascii="楷体_GB2312" w:hAnsi="楷体_GB2312" w:eastAsia="楷体_GB2312" w:cs="楷体_GB2312"/>
          <w:szCs w:val="32"/>
        </w:rPr>
      </w:pPr>
      <w:r>
        <w:rPr>
          <w:rFonts w:hint="eastAsia" w:ascii="仿宋_GB2312" w:hAnsi="仿宋_GB2312" w:cs="仿宋_GB2312"/>
          <w:szCs w:val="32"/>
        </w:rPr>
        <w:t>1.强化财政预决算信息公开，优化完善公开内容形式，提高规范性可读性，便于公众理解监督。</w:t>
      </w:r>
      <w:r>
        <w:rPr>
          <w:rFonts w:hint="eastAsia" w:ascii="楷体_GB2312" w:hAnsi="楷体_GB2312" w:eastAsia="楷体_GB2312" w:cs="楷体_GB2312"/>
          <w:szCs w:val="32"/>
        </w:rPr>
        <w:t>（区财政局负责落实，完成时限：2024年10月）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2.围绕高质量建设丰台法务区，及时公开执法、司法、普法以及丰台法务区建设工作成果，做好律师、公证、司法鉴定、法律援助等方面信息公开。</w:t>
      </w:r>
      <w:r>
        <w:rPr>
          <w:rFonts w:hint="eastAsia" w:ascii="楷体_GB2312" w:hAnsi="楷体_GB2312" w:eastAsia="楷体_GB2312" w:cs="楷体_GB2312"/>
          <w:szCs w:val="32"/>
        </w:rPr>
        <w:t>（区司法局负责落实，完成时限：2024年10月）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3.结合机构改革最新情况做好权责清单动态更新，并在本单位政府网站集中规范发布。按季度向社会公开市、区政府工作报告重点任务、重要民生实事项目的执行情况。</w:t>
      </w:r>
      <w:r>
        <w:rPr>
          <w:rFonts w:hint="eastAsia" w:ascii="楷体_GB2312" w:hAnsi="楷体_GB2312" w:eastAsia="楷体_GB2312" w:cs="楷体_GB2312"/>
          <w:szCs w:val="32"/>
        </w:rPr>
        <w:t>（区政府各部门负责落实，完成时限：2024年12月）</w:t>
      </w:r>
    </w:p>
    <w:p>
      <w:pPr>
        <w:ind w:firstLine="640"/>
        <w:rPr>
          <w:rFonts w:hint="eastAsia" w:ascii="楷体_GB2312" w:hAnsi="楷体_GB2312" w:eastAsia="楷体_GB2312" w:cs="楷体_GB2312"/>
          <w:szCs w:val="32"/>
        </w:rPr>
      </w:pPr>
      <w:r>
        <w:rPr>
          <w:rFonts w:hint="eastAsia" w:ascii="仿宋_GB2312" w:hAnsi="仿宋_GB2312" w:cs="仿宋_GB2312"/>
          <w:szCs w:val="32"/>
        </w:rPr>
        <w:t>4.深化公共企事业单位信息公开，教育、卫生健康、供水、供电、供气、环境保护、公共交通等行业主管部门要在本单位政府网站专题公开本行业公共企事业单位基本信息、公共服务事项目录和服务指南，方便公众查阅。</w:t>
      </w:r>
      <w:r>
        <w:rPr>
          <w:rFonts w:hint="eastAsia" w:ascii="楷体_GB2312" w:hAnsi="楷体_GB2312" w:eastAsia="楷体_GB2312" w:cs="楷体_GB2312"/>
          <w:szCs w:val="32"/>
        </w:rPr>
        <w:t>（区教委、区卫生健康委、区水务局、区城市管理委、区生态环境局、区交通委等部门负责落实，完成时限：2024年10月）</w:t>
      </w:r>
    </w:p>
    <w:p>
      <w:pPr>
        <w:ind w:firstLine="640"/>
        <w:rPr>
          <w:rFonts w:hint="eastAsia" w:ascii="国标黑体" w:hAnsi="国标黑体" w:eastAsia="国标黑体" w:cs="国标黑体"/>
          <w:szCs w:val="32"/>
        </w:rPr>
      </w:pPr>
      <w:r>
        <w:rPr>
          <w:rFonts w:ascii="国标黑体" w:hAnsi="国标黑体" w:eastAsia="国标黑体" w:cs="国标黑体"/>
          <w:szCs w:val="32"/>
        </w:rPr>
        <w:t>三、提升政策服务质效</w:t>
      </w:r>
    </w:p>
    <w:p>
      <w:pPr>
        <w:ind w:firstLine="640"/>
        <w:rPr>
          <w:rFonts w:ascii="楷体_GB2312" w:hAnsi="楷体_GB2312" w:eastAsia="楷体_GB2312" w:cs="楷体_GB2312"/>
          <w:szCs w:val="32"/>
        </w:rPr>
      </w:pPr>
      <w:r>
        <w:rPr>
          <w:rFonts w:hint="eastAsia" w:ascii="楷体_GB2312" w:hAnsi="楷体_GB2312" w:eastAsia="楷体_GB2312" w:cs="楷体_GB2312"/>
          <w:szCs w:val="32"/>
        </w:rPr>
        <w:t>（一）政策意见征集</w:t>
      </w:r>
    </w:p>
    <w:p>
      <w:pPr>
        <w:ind w:firstLine="640"/>
        <w:rPr>
          <w:rFonts w:hint="eastAsia" w:ascii="楷体_GB2312" w:hAnsi="楷体_GB2312" w:eastAsia="楷体_GB2312" w:cs="楷体_GB2312"/>
          <w:szCs w:val="32"/>
        </w:rPr>
      </w:pPr>
      <w:r>
        <w:rPr>
          <w:rFonts w:hint="eastAsia" w:ascii="仿宋_GB2312" w:hAnsi="仿宋_GB2312" w:cs="仿宋_GB2312"/>
          <w:szCs w:val="32"/>
        </w:rPr>
        <w:t>1.强化群众企业参与政策制定机制，通过调研座谈、问卷调查、大数据分析等方式，对于涉及公众切身利益的政策，每半年至少开展政策需求征集一次，主动问计求策，汇集公众需求及意见建议，增强政策有效性。</w:t>
      </w:r>
      <w:r>
        <w:rPr>
          <w:rFonts w:hint="eastAsia" w:ascii="楷体_GB2312" w:hAnsi="楷体_GB2312" w:eastAsia="楷体_GB2312" w:cs="楷体_GB2312"/>
          <w:szCs w:val="32"/>
        </w:rPr>
        <w:t>（区政府各部门、各街镇负责落实，完成时限：2024年10月）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2.在政策草案形成后，应优先通过市区两级政策意见征集栏目向社会公开征集意见，并充分利用政务新媒体、报纸报刊、广播电视等渠道，扩大政策意见征集的知晓面和参与度。</w:t>
      </w:r>
      <w:r>
        <w:rPr>
          <w:rFonts w:hint="eastAsia" w:ascii="楷体_GB2312" w:hAnsi="楷体_GB2312" w:eastAsia="楷体_GB2312" w:cs="楷体_GB2312"/>
          <w:szCs w:val="32"/>
        </w:rPr>
        <w:t>（区政府各部门、各街镇负责落实，完成时限：2024年10月）</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（二）政策制定审核</w:t>
      </w:r>
    </w:p>
    <w:p>
      <w:pPr>
        <w:ind w:firstLine="640"/>
        <w:rPr>
          <w:rFonts w:hint="eastAsia" w:ascii="楷体_GB2312" w:hAnsi="楷体_GB2312" w:eastAsia="楷体_GB2312" w:cs="楷体_GB2312"/>
          <w:szCs w:val="32"/>
        </w:rPr>
      </w:pPr>
      <w:r>
        <w:rPr>
          <w:rFonts w:hint="eastAsia" w:ascii="仿宋_GB2312" w:hAnsi="仿宋_GB2312" w:cs="仿宋_GB2312"/>
          <w:szCs w:val="32"/>
        </w:rPr>
        <w:t>1.细化政策制定标准。政策制定时应从群众企业使用政策角度认真研究，根据宏观规划、计划方案、兑现办事等类型编制政策内容，确保政策的可操作性。宏观规划、计划方案类政策原则上不再另行出台配套细则，确需出台配套细则的，应当与政策同步制定、同步发布。</w:t>
      </w:r>
      <w:r>
        <w:rPr>
          <w:rFonts w:hint="eastAsia" w:ascii="楷体_GB2312" w:hAnsi="楷体_GB2312" w:eastAsia="楷体_GB2312" w:cs="楷体_GB2312"/>
          <w:szCs w:val="32"/>
        </w:rPr>
        <w:t>（区政府各部门、各街镇负责落实，完成时限：2024年10月）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2.建立政策前置审核工作制度。政策发布前，政策制定部门应按要求开展“制定标准性、公开合规性、解读规范性、兑现操作性、测算必要性”等审核工作。多部门联合印发的政策，由牵头部门会同其他起草部门开展政策审核。未按要求审核的政策不得发布实施。</w:t>
      </w:r>
      <w:r>
        <w:rPr>
          <w:rFonts w:hint="eastAsia" w:ascii="楷体_GB2312" w:hAnsi="楷体_GB2312" w:eastAsia="楷体_GB2312" w:cs="楷体_GB2312"/>
          <w:szCs w:val="32"/>
        </w:rPr>
        <w:t>（区政府各部门、各街镇负责落实，完成时限：2024年10月）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3.健全政策动态清理工作机制。梳理本单位政策清单，每年至少开展一次政策有效性集中确认和失效政策标注工作，并同步在政府网站更新，提升政策集中公开的质量实效。</w:t>
      </w:r>
      <w:r>
        <w:rPr>
          <w:rFonts w:hint="eastAsia" w:ascii="楷体_GB2312" w:hAnsi="楷体_GB2312" w:eastAsia="楷体_GB2312" w:cs="楷体_GB2312"/>
          <w:szCs w:val="32"/>
        </w:rPr>
        <w:t>（区政府各部门、各街镇负责落实，完成时限：2024年12月）</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（三）政策发布解读</w:t>
      </w:r>
    </w:p>
    <w:p>
      <w:pPr>
        <w:ind w:firstLine="640"/>
        <w:rPr>
          <w:rFonts w:hint="eastAsia" w:ascii="楷体_GB2312" w:hAnsi="楷体_GB2312" w:eastAsia="楷体_GB2312" w:cs="楷体_GB2312"/>
          <w:szCs w:val="32"/>
        </w:rPr>
      </w:pPr>
      <w:r>
        <w:rPr>
          <w:rFonts w:hint="eastAsia" w:ascii="仿宋_GB2312" w:hAnsi="仿宋_GB2312" w:cs="仿宋_GB2312"/>
          <w:szCs w:val="32"/>
        </w:rPr>
        <w:t>1.建立政策集中规范发布制度。将政府网站作为政策发布的第一平台，按照政府网站最新政策视图管理要求，在本单位政府网站“政策文件”栏目集中发布政策，以便“京策”平台及时全量汇聚本市政策。</w:t>
      </w:r>
      <w:r>
        <w:rPr>
          <w:rFonts w:hint="eastAsia" w:ascii="楷体_GB2312" w:hAnsi="楷体_GB2312" w:eastAsia="楷体_GB2312" w:cs="楷体_GB2312"/>
          <w:szCs w:val="32"/>
        </w:rPr>
        <w:t>（区政府各部门、各街镇负责落实，完成时限：2024年10月）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2.严格落实政策解读“三同步”原则，加强对宏观规划、计划方案、兑现办事等政策的分类解读，结合政策内容，注重解读政策的背景依据、目标任务、主要内容、创新特点、专有名词、涉及范围、执行标准、注意事项、新旧政策差异等。丰富政策解读形式，鼓励通过简明问答、一图读懂、视频音频等群众企业喜闻乐见的方式开展形象化、通俗化解读，综合运用“报、网、端、微、屏”等平台加强政策的发布和解读。</w:t>
      </w:r>
      <w:r>
        <w:rPr>
          <w:rFonts w:hint="eastAsia" w:ascii="楷体_GB2312" w:hAnsi="楷体_GB2312" w:eastAsia="楷体_GB2312" w:cs="楷体_GB2312"/>
          <w:szCs w:val="32"/>
        </w:rPr>
        <w:t>（区政府各部门、各街镇负责落实，完成时限：2024年10月）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3.建立政策舆情收集、研判、处置和回应机制，按照“谁起草、谁负责”的原则，压实主体责任。政策发布前，应充分评估可能产生的舆情风险；政策发布后，要加强监测预警和分析研判，发现问题快速反应，及时回应社会关切。</w:t>
      </w:r>
      <w:r>
        <w:rPr>
          <w:rFonts w:hint="eastAsia" w:ascii="楷体_GB2312" w:hAnsi="楷体_GB2312" w:eastAsia="楷体_GB2312" w:cs="楷体_GB2312"/>
          <w:szCs w:val="32"/>
        </w:rPr>
        <w:t>（区政府各部门、各街镇负责落实，完成时限：2024年10月）</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（四）政策兑现评价</w:t>
      </w:r>
    </w:p>
    <w:p>
      <w:pPr>
        <w:ind w:firstLine="640"/>
        <w:rPr>
          <w:rFonts w:hint="eastAsia" w:ascii="楷体_GB2312" w:hAnsi="楷体_GB2312" w:eastAsia="楷体_GB2312" w:cs="楷体_GB2312"/>
          <w:szCs w:val="32"/>
        </w:rPr>
      </w:pPr>
      <w:r>
        <w:rPr>
          <w:rFonts w:hint="eastAsia" w:ascii="仿宋_GB2312" w:hAnsi="仿宋_GB2312" w:cs="仿宋_GB2312"/>
          <w:szCs w:val="32"/>
        </w:rPr>
        <w:t>1.建立政策兑现事项报送机制。区政府各部门发布涉及财政资金的惠企政策时，应按市政府门户网站“政策兑现专区”的工作要求，进行政策标签化处理，明确政策核心要素，同步经政务服务和数据管理局报送至市政府门户网站“政策兑现专区”，确保全区所有涉及财政资金的惠企政策集中兑现、一站式申报。</w:t>
      </w:r>
      <w:r>
        <w:rPr>
          <w:rFonts w:hint="eastAsia" w:ascii="楷体_GB2312" w:hAnsi="楷体_GB2312" w:eastAsia="楷体_GB2312" w:cs="楷体_GB2312"/>
          <w:szCs w:val="32"/>
        </w:rPr>
        <w:t>（区政务服务和数据管理局牵头，区政府各部门、各街镇负责落实，完成时限：2024年10月）</w:t>
      </w:r>
    </w:p>
    <w:p>
      <w:pPr>
        <w:ind w:firstLine="640"/>
        <w:rPr>
          <w:rFonts w:hint="eastAsia" w:ascii="楷体_GB2312" w:hAnsi="楷体_GB2312" w:eastAsia="楷体_GB2312" w:cs="楷体_GB2312"/>
          <w:szCs w:val="32"/>
        </w:rPr>
      </w:pPr>
      <w:r>
        <w:rPr>
          <w:rFonts w:hint="eastAsia" w:ascii="仿宋_GB2312" w:hAnsi="仿宋_GB2312" w:cs="仿宋_GB2312"/>
          <w:szCs w:val="32"/>
        </w:rPr>
        <w:t>2.依托全市权威统一的政策标签库，细化政策适用对象，建立政策标签体系，落实与各类企业服务平台、企业协会商会、社会咨询机构、第三方政策咨询平台等联络协作的工作机制，不断扩大政策服务覆盖面。</w:t>
      </w:r>
      <w:r>
        <w:rPr>
          <w:rFonts w:hint="eastAsia" w:ascii="楷体_GB2312" w:hAnsi="楷体_GB2312" w:eastAsia="楷体_GB2312" w:cs="楷体_GB2312"/>
          <w:szCs w:val="32"/>
        </w:rPr>
        <w:t>（区政务服务和数据管理局牵头，区政府各部门、各街镇负责落实，完成时限：2024年10月）</w:t>
      </w:r>
    </w:p>
    <w:p>
      <w:pPr>
        <w:ind w:firstLine="640"/>
        <w:rPr>
          <w:rFonts w:hint="eastAsia" w:ascii="仿宋_GB2312" w:hAnsi="仿宋_GB2312" w:cs="仿宋_GB2312"/>
          <w:szCs w:val="32"/>
        </w:rPr>
      </w:pPr>
      <w:r>
        <w:rPr>
          <w:rFonts w:hint="eastAsia" w:ascii="仿宋_GB2312" w:hAnsi="仿宋_GB2312" w:cs="仿宋_GB2312"/>
          <w:szCs w:val="32"/>
        </w:rPr>
        <w:t>3.开展政策效果评价应用试点。发展改革、科技、经济信息化、人力社保、商务、民政等政策服务重点区级部门应结合本单位政策在“京策”平台的应用情况开展政策评估分析，全面掌握政策落地情况，并适时转化为调整政策制定的措施。</w:t>
      </w:r>
      <w:r>
        <w:rPr>
          <w:rFonts w:hint="eastAsia" w:ascii="楷体_GB2312" w:hAnsi="楷体_GB2312" w:eastAsia="楷体_GB2312" w:cs="楷体_GB2312"/>
          <w:szCs w:val="32"/>
        </w:rPr>
        <w:t xml:space="preserve">（区发展改革委、区科信局、区人力社保局、区商务局、区民政局、丰台园管委、丽泽商务区管委会等相关部门负责落实，完成时限：2024年12月）  </w:t>
      </w:r>
      <w:r>
        <w:rPr>
          <w:rFonts w:hint="eastAsia" w:ascii="仿宋_GB2312" w:hAnsi="仿宋_GB2312" w:cs="仿宋_GB2312"/>
          <w:szCs w:val="32"/>
        </w:rPr>
        <w:t xml:space="preserve">                         </w:t>
      </w:r>
    </w:p>
    <w:p>
      <w:pPr>
        <w:ind w:firstLine="640"/>
        <w:rPr>
          <w:rFonts w:hint="eastAsia" w:ascii="国标黑体" w:hAnsi="国标黑体" w:eastAsia="国标黑体" w:cs="国标黑体"/>
          <w:szCs w:val="32"/>
        </w:rPr>
      </w:pPr>
      <w:r>
        <w:rPr>
          <w:rFonts w:ascii="国标黑体" w:hAnsi="国标黑体" w:eastAsia="国标黑体" w:cs="国标黑体"/>
          <w:szCs w:val="32"/>
        </w:rPr>
        <w:t>四、加强政务公开能力建设</w:t>
      </w:r>
    </w:p>
    <w:p>
      <w:pPr>
        <w:ind w:firstLine="640"/>
        <w:rPr>
          <w:rFonts w:ascii="楷体_GB2312" w:hAnsi="楷体_GB2312" w:eastAsia="楷体_GB2312" w:cs="楷体_GB2312"/>
          <w:szCs w:val="32"/>
        </w:rPr>
      </w:pPr>
      <w:r>
        <w:rPr>
          <w:rFonts w:hint="eastAsia" w:ascii="楷体_GB2312" w:hAnsi="楷体_GB2312" w:eastAsia="楷体_GB2312" w:cs="楷体_GB2312"/>
          <w:szCs w:val="32"/>
        </w:rPr>
        <w:t>（一）强化政务公开平台智能集约</w:t>
      </w:r>
    </w:p>
    <w:p>
      <w:pPr>
        <w:ind w:firstLine="640"/>
        <w:rPr>
          <w:rFonts w:hint="eastAsia" w:ascii="楷体_GB2312" w:hAnsi="楷体_GB2312" w:eastAsia="楷体_GB2312" w:cs="楷体_GB2312"/>
          <w:szCs w:val="32"/>
        </w:rPr>
      </w:pPr>
      <w:r>
        <w:rPr>
          <w:rFonts w:hint="eastAsia" w:ascii="仿宋_GB2312" w:hAnsi="仿宋_GB2312" w:cs="仿宋_GB2312"/>
          <w:szCs w:val="32"/>
        </w:rPr>
        <w:t>1.以用户体验为中心推动北京市政策服务平台（“京策”）在丰台区开展应用。坚持业务融合、系统融合、技术融合，统筹政策制定各行业和领域，集成政策服务各环节和流程，细化政策制定内容要素，推动政策全量数据汇聚、现有政策服务平台全部贯通，实现全市政策制定标准规范、政策资金科学预判、政策发布集中统一、政策推送精准有效、政策兑现直达快享、政策评估量化客观。</w:t>
      </w:r>
      <w:r>
        <w:rPr>
          <w:rFonts w:hint="eastAsia" w:ascii="楷体_GB2312" w:hAnsi="楷体_GB2312" w:eastAsia="楷体_GB2312" w:cs="楷体_GB2312"/>
          <w:szCs w:val="32"/>
        </w:rPr>
        <w:t>（区政务服务和数据管理局牵头，区政府各部门、各街镇负责落实，完成时限：2024年12月）</w:t>
      </w:r>
    </w:p>
    <w:p>
      <w:pPr>
        <w:ind w:firstLine="640"/>
        <w:rPr>
          <w:rFonts w:hint="eastAsia" w:ascii="仿宋_GB2312" w:hAnsi="仿宋_GB2312" w:cs="仿宋_GB2312"/>
          <w:szCs w:val="32"/>
        </w:rPr>
      </w:pPr>
      <w:r>
        <w:rPr>
          <w:rFonts w:hint="eastAsia" w:ascii="仿宋_GB2312" w:hAnsi="仿宋_GB2312" w:cs="仿宋_GB2312"/>
          <w:szCs w:val="32"/>
        </w:rPr>
        <w:t>2.强化政府网站和政务新媒体服务能力。围绕提升群众企业使用感受，发挥多渠道服务优势，推动政府网站和政务新媒体平台协同互补、一体化服务。加强政府网站、政务新媒体、电话端一体化监管，推动检查指标数据实时监测，着力提升全程跟踪、督办、预警效果。</w:t>
      </w:r>
      <w:r>
        <w:rPr>
          <w:rFonts w:hint="eastAsia" w:ascii="楷体_GB2312" w:hAnsi="楷体_GB2312" w:eastAsia="楷体_GB2312" w:cs="楷体_GB2312"/>
          <w:szCs w:val="32"/>
        </w:rPr>
        <w:t xml:space="preserve">（区政府各部门、各街镇负责落实，完成时限：2024年12月）  </w:t>
      </w:r>
    </w:p>
    <w:p>
      <w:pPr>
        <w:ind w:firstLine="640"/>
        <w:rPr>
          <w:rFonts w:hint="eastAsia" w:ascii="仿宋_GB2312" w:hAnsi="仿宋_GB2312" w:cs="仿宋_GB2312"/>
          <w:szCs w:val="32"/>
        </w:rPr>
      </w:pPr>
      <w:r>
        <w:rPr>
          <w:rFonts w:hint="eastAsia" w:ascii="仿宋_GB2312" w:hAnsi="仿宋_GB2312" w:cs="仿宋_GB2312"/>
          <w:szCs w:val="32"/>
        </w:rPr>
        <w:t>3.严格落实信息发布审核制度，及时更新栏目内容，避免出现错别字、表述不规范等问题。定期排查网站、新媒体的错链断链，提升网站服务质量。用好用户行为数据和政府部门履职数据，形成大数据分析报告，赋能各部门网上履职和服务能力。严格落实网络意识形态责任制，确保政府网站和政务新媒体安全平稳运行。</w:t>
      </w:r>
      <w:r>
        <w:rPr>
          <w:rFonts w:hint="eastAsia" w:ascii="楷体_GB2312" w:hAnsi="楷体_GB2312" w:eastAsia="楷体_GB2312" w:cs="楷体_GB2312"/>
          <w:szCs w:val="32"/>
        </w:rPr>
        <w:t xml:space="preserve">（区政府各部门、各街镇负责落实，完成时限：2024年12月）                              </w:t>
      </w:r>
      <w:r>
        <w:rPr>
          <w:rFonts w:hint="eastAsia" w:ascii="仿宋_GB2312" w:hAnsi="仿宋_GB2312" w:cs="仿宋_GB2312"/>
          <w:szCs w:val="32"/>
        </w:rPr>
        <w:t xml:space="preserve">                      </w:t>
      </w:r>
    </w:p>
    <w:p>
      <w:pPr>
        <w:ind w:firstLine="640"/>
        <w:rPr>
          <w:rFonts w:hint="eastAsia" w:ascii="楷体_GB2312" w:hAnsi="楷体_GB2312" w:eastAsia="楷体_GB2312" w:cs="楷体_GB2312"/>
          <w:szCs w:val="32"/>
        </w:rPr>
      </w:pPr>
      <w:r>
        <w:rPr>
          <w:rFonts w:hint="eastAsia" w:ascii="仿宋_GB2312" w:hAnsi="仿宋_GB2312" w:cs="仿宋_GB2312"/>
          <w:szCs w:val="32"/>
        </w:rPr>
        <w:t>4.强化政府公报数字化服务功能。发挥好政府公报权威发布和标准文本作用，推动政府规章、规范性文件通过政府公报统一刊登。做好政府公报数字文件库应用，有效拓宽数字公报传播应用渠道。</w:t>
      </w:r>
      <w:r>
        <w:rPr>
          <w:rFonts w:hint="eastAsia" w:ascii="楷体_GB2312" w:hAnsi="楷体_GB2312" w:eastAsia="楷体_GB2312" w:cs="楷体_GB2312"/>
          <w:szCs w:val="32"/>
        </w:rPr>
        <w:t xml:space="preserve">（区政务服务和数据管理局牵头，区政府各部门、各街镇负责落实，完成时限：2024年10月）  </w:t>
      </w:r>
    </w:p>
    <w:p>
      <w:pPr>
        <w:ind w:firstLine="640"/>
        <w:rPr>
          <w:rFonts w:hint="eastAsia" w:ascii="楷体_GB2312" w:hAnsi="楷体_GB2312" w:eastAsia="楷体_GB2312" w:cs="楷体_GB2312"/>
          <w:szCs w:val="32"/>
        </w:rPr>
      </w:pPr>
      <w:r>
        <w:rPr>
          <w:rFonts w:hint="eastAsia" w:ascii="仿宋_GB2312" w:hAnsi="仿宋_GB2312" w:cs="仿宋_GB2312"/>
          <w:szCs w:val="32"/>
        </w:rPr>
        <w:t>5.强化区政务服务中心政务公开专区建设，为基层群众提供政府信息网上查询、政府信息公开申请接收、政策咨询等服务。提高大厅政策咨询服务水平，设置政策咨询窗口，加强电话解答、现场解答等政策咨询渠道建设，更好解答就业、创业、养老、医疗、纳税等方面与人民群众切身利益密切相关的问题。</w:t>
      </w:r>
      <w:r>
        <w:rPr>
          <w:rFonts w:hint="eastAsia" w:ascii="楷体_GB2312" w:hAnsi="楷体_GB2312" w:eastAsia="楷体_GB2312" w:cs="楷体_GB2312"/>
          <w:szCs w:val="32"/>
        </w:rPr>
        <w:t xml:space="preserve">（区政务服务和数据管理局牵头，区政府各部门、各街镇负责落实，完成时限：2024年10月） </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（二）优化政企政民互动渠道</w:t>
      </w:r>
    </w:p>
    <w:p>
      <w:pPr>
        <w:ind w:firstLine="640"/>
        <w:rPr>
          <w:rFonts w:hint="eastAsia" w:ascii="楷体_GB2312" w:hAnsi="楷体_GB2312" w:eastAsia="楷体_GB2312" w:cs="楷体_GB2312"/>
          <w:szCs w:val="32"/>
        </w:rPr>
      </w:pPr>
      <w:r>
        <w:rPr>
          <w:rFonts w:hint="eastAsia" w:ascii="仿宋_GB2312" w:hAnsi="仿宋_GB2312" w:cs="仿宋_GB2312"/>
          <w:szCs w:val="32"/>
        </w:rPr>
        <w:t>1.围绕群众企业热点政策需求，依托“政务服务面对面”“丰企通”“丰帆行动”等平台，常态化开展“政策公开讲”活动，邀请政策制定人讲明讲透政策重点，制作简明扼要、轻松易懂的政策短视频，通过市政府门户网站专栏发布，供公众随时下载查看。（</w:t>
      </w:r>
      <w:r>
        <w:rPr>
          <w:rFonts w:hint="eastAsia" w:ascii="楷体_GB2312" w:hAnsi="楷体_GB2312" w:eastAsia="楷体_GB2312" w:cs="楷体_GB2312"/>
          <w:szCs w:val="32"/>
        </w:rPr>
        <w:t xml:space="preserve">区政府各部门、各街镇负责落实，完成时限：2024年10月） </w:t>
      </w:r>
    </w:p>
    <w:p>
      <w:pPr>
        <w:ind w:firstLine="640"/>
        <w:rPr>
          <w:rFonts w:hint="eastAsia" w:ascii="楷体_GB2312" w:hAnsi="楷体_GB2312" w:eastAsia="楷体_GB2312" w:cs="楷体_GB2312"/>
          <w:szCs w:val="32"/>
        </w:rPr>
      </w:pPr>
      <w:r>
        <w:rPr>
          <w:rFonts w:hint="eastAsia" w:ascii="仿宋_GB2312" w:hAnsi="仿宋_GB2312" w:cs="仿宋_GB2312"/>
          <w:szCs w:val="32"/>
        </w:rPr>
        <w:t>2.每半年至少组织开展一次“政务开放日”“社会观察员”等活动，通过线上线下多种形式活动，设置答疑、座谈、问卷调查等环节，让公众体验政府工作、开展交流互动、收集意见建议，有序引导公众参与城市管理和基层治理。（</w:t>
      </w:r>
      <w:r>
        <w:rPr>
          <w:rFonts w:hint="eastAsia" w:ascii="楷体_GB2312" w:hAnsi="楷体_GB2312" w:eastAsia="楷体_GB2312" w:cs="楷体_GB2312"/>
          <w:szCs w:val="32"/>
        </w:rPr>
        <w:t xml:space="preserve">区政府各部门、各街镇负责落实，完成时限：2024年10月）                                      </w:t>
      </w:r>
    </w:p>
    <w:p>
      <w:pPr>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（三）规范政府信息公开程序标准</w:t>
      </w:r>
    </w:p>
    <w:p>
      <w:pPr>
        <w:ind w:firstLine="640"/>
        <w:rPr>
          <w:rFonts w:hint="eastAsia" w:ascii="楷体_GB2312" w:hAnsi="楷体_GB2312" w:eastAsia="楷体_GB2312" w:cs="楷体_GB2312"/>
          <w:szCs w:val="32"/>
        </w:rPr>
      </w:pPr>
      <w:r>
        <w:rPr>
          <w:rFonts w:hint="eastAsia" w:ascii="仿宋_GB2312" w:hAnsi="仿宋_GB2312" w:cs="仿宋_GB2312"/>
          <w:szCs w:val="32"/>
        </w:rPr>
        <w:t>1.严格执行政府信息公开制度。完善政府信息公开保密审查制度，对拟公开的政府信息依法依规严格做好保密审查，防止泄露国家秘密、工作秘密和敏感信息，防范数据汇聚引发泄密风险。（</w:t>
      </w:r>
      <w:r>
        <w:rPr>
          <w:rFonts w:hint="eastAsia" w:ascii="楷体_GB2312" w:hAnsi="楷体_GB2312" w:eastAsia="楷体_GB2312" w:cs="楷体_GB2312"/>
          <w:szCs w:val="32"/>
        </w:rPr>
        <w:t xml:space="preserve">区政府各部门、各街镇负责落实，完成时限：2024年10月） </w:t>
      </w:r>
    </w:p>
    <w:p>
      <w:pPr>
        <w:ind w:firstLine="640"/>
        <w:rPr>
          <w:rFonts w:hint="eastAsia" w:ascii="楷体_GB2312" w:hAnsi="楷体_GB2312" w:eastAsia="楷体_GB2312" w:cs="楷体_GB2312"/>
          <w:szCs w:val="32"/>
        </w:rPr>
      </w:pPr>
      <w:r>
        <w:rPr>
          <w:rFonts w:hint="eastAsia" w:ascii="仿宋_GB2312" w:hAnsi="仿宋_GB2312" w:cs="仿宋_GB2312"/>
          <w:szCs w:val="32"/>
        </w:rPr>
        <w:t>2.规范设置政府信息公开专栏，及时、集中、规范发布法定主动公开内容。依法依规办理政府信息公开申请，确保申请渠道畅通，法定答复时限准确。提升政府信息公开在线服务水平，推广电子印章网页答复应用。加强政府信息公开复议、诉讼案件报备管理，强化业务统筹和案例指导，提升答复文书规范化水平，有效降低败诉、纠错率。（</w:t>
      </w:r>
      <w:r>
        <w:rPr>
          <w:rFonts w:hint="eastAsia" w:ascii="楷体_GB2312" w:hAnsi="楷体_GB2312" w:eastAsia="楷体_GB2312" w:cs="楷体_GB2312"/>
          <w:szCs w:val="32"/>
        </w:rPr>
        <w:t xml:space="preserve">区政府各部门、各街镇负责落实，完成时限：2024年10月） </w:t>
      </w:r>
    </w:p>
    <w:p>
      <w:pPr>
        <w:ind w:firstLine="640"/>
        <w:rPr>
          <w:rFonts w:hint="eastAsia" w:ascii="Times New Roman" w:hAnsi="Times New Roman" w:eastAsia="宋体"/>
          <w:sz w:val="21"/>
          <w:szCs w:val="22"/>
        </w:rPr>
      </w:pPr>
      <w:r>
        <w:rPr>
          <w:rFonts w:hint="eastAsia" w:ascii="仿宋_GB2312" w:hAnsi="仿宋_GB2312" w:cs="仿宋_GB2312"/>
          <w:color w:val="000000"/>
          <w:szCs w:val="32"/>
        </w:rPr>
        <w:t>3.强化政务公开全清单管理。依据法律法规规章、行业主管部门关于信息公开工作的最新要求，及时更新本单位政务公开全清单。涉及机构改革的单位要对政务公开全清单做相应调整，确保清单事项完整。</w:t>
      </w:r>
      <w:r>
        <w:rPr>
          <w:rFonts w:hint="eastAsia" w:ascii="仿宋_GB2312" w:hAnsi="仿宋_GB2312" w:cs="仿宋_GB2312"/>
          <w:szCs w:val="32"/>
        </w:rPr>
        <w:t>（</w:t>
      </w:r>
      <w:r>
        <w:rPr>
          <w:rFonts w:hint="eastAsia" w:ascii="楷体_GB2312" w:hAnsi="楷体_GB2312" w:eastAsia="楷体_GB2312" w:cs="楷体_GB2312"/>
          <w:szCs w:val="32"/>
        </w:rPr>
        <w:t xml:space="preserve">区政府各部门、各街镇负责落实，完成时限：2024年12月） </w:t>
      </w:r>
    </w:p>
    <w:p>
      <w:pPr>
        <w:ind w:firstLine="640"/>
        <w:rPr>
          <w:rFonts w:ascii="楷体_GB2312" w:hAnsi="楷体_GB2312" w:eastAsia="楷体_GB2312" w:cs="楷体_GB2312"/>
          <w:szCs w:val="32"/>
        </w:rPr>
      </w:pPr>
      <w:r>
        <w:rPr>
          <w:rFonts w:hint="eastAsia" w:ascii="楷体_GB2312" w:hAnsi="楷体_GB2312" w:eastAsia="楷体_GB2312" w:cs="楷体_GB2312"/>
          <w:szCs w:val="32"/>
        </w:rPr>
        <w:t>（四）加强政务公开组织保障</w:t>
      </w:r>
    </w:p>
    <w:p>
      <w:pPr>
        <w:ind w:firstLine="640"/>
        <w:rPr>
          <w:rFonts w:hint="eastAsia" w:ascii="楷体_GB2312" w:hAnsi="楷体_GB2312" w:eastAsia="楷体_GB2312" w:cs="楷体_GB2312"/>
          <w:szCs w:val="32"/>
        </w:rPr>
      </w:pPr>
      <w:r>
        <w:rPr>
          <w:rFonts w:hint="eastAsia" w:ascii="仿宋_GB2312" w:hAnsi="仿宋_GB2312" w:cs="仿宋_GB2312"/>
          <w:szCs w:val="32"/>
        </w:rPr>
        <w:t>1.强化组织领导。各部门要健全政务公开协调联络工作机制，指导协调和督促推动各业务科室按要求开展各项工作。（</w:t>
      </w:r>
      <w:r>
        <w:rPr>
          <w:rFonts w:hint="eastAsia" w:ascii="楷体_GB2312" w:hAnsi="楷体_GB2312" w:eastAsia="楷体_GB2312" w:cs="楷体_GB2312"/>
          <w:szCs w:val="32"/>
        </w:rPr>
        <w:t xml:space="preserve">区政府各部门、各街镇负责落实，完成时限：2024年10月） </w:t>
      </w:r>
    </w:p>
    <w:p>
      <w:pPr>
        <w:ind w:firstLine="640"/>
        <w:rPr>
          <w:rFonts w:hint="eastAsia" w:ascii="楷体_GB2312" w:hAnsi="楷体_GB2312" w:eastAsia="楷体_GB2312" w:cs="楷体_GB2312"/>
          <w:szCs w:val="32"/>
        </w:rPr>
      </w:pPr>
      <w:r>
        <w:rPr>
          <w:rFonts w:hint="eastAsia" w:ascii="仿宋_GB2312" w:hAnsi="仿宋_GB2312" w:cs="仿宋_GB2312"/>
          <w:szCs w:val="32"/>
        </w:rPr>
        <w:t>2.强化队伍建设及培训。区政府各部门要强化队伍建设，明确政务公开和政策服务的工作机构，配齐配强工作人员,落实领导干部应知应会党内法规和国家法律清单制度要求，将学习政务公开有关行政法规作为领导干部培训基础课程和公务员初任培训必修课程，积极通过集中授课、业务研讨、线上答疑等方式加强培训。（</w:t>
      </w:r>
      <w:r>
        <w:rPr>
          <w:rFonts w:hint="eastAsia" w:ascii="楷体_GB2312" w:hAnsi="楷体_GB2312" w:eastAsia="楷体_GB2312" w:cs="楷体_GB2312"/>
          <w:szCs w:val="32"/>
        </w:rPr>
        <w:t xml:space="preserve">区政府各部门、各街镇负责落实，完成时限：2024年12月） </w:t>
      </w:r>
    </w:p>
    <w:p>
      <w:pPr>
        <w:adjustRightInd w:val="0"/>
        <w:snapToGrid w:val="0"/>
        <w:ind w:firstLine="640"/>
        <w:rPr>
          <w:rFonts w:hint="eastAsia" w:ascii="楷体_GB2312" w:hAnsi="楷体_GB2312" w:eastAsia="楷体_GB2312" w:cs="楷体_GB2312"/>
          <w:szCs w:val="32"/>
        </w:rPr>
      </w:pPr>
      <w:r>
        <w:rPr>
          <w:rFonts w:hint="eastAsia" w:ascii="仿宋_GB2312" w:hAnsi="仿宋_GB2312" w:cs="仿宋_GB2312"/>
          <w:szCs w:val="32"/>
        </w:rPr>
        <w:t>3.</w:t>
      </w:r>
      <w:r>
        <w:rPr>
          <w:rFonts w:hint="eastAsia" w:ascii="仿宋_GB2312" w:hAnsi="仿宋_GB2312" w:cs="仿宋_GB2312"/>
          <w:color w:val="000000"/>
          <w:szCs w:val="32"/>
        </w:rPr>
        <w:t>强化任务落实及监督考核。本工作要点印发后，各部门要结合本单位工作细化任务要求，逐项推动落实。在市区两级政府门户网站开设的专题栏目中，集中公开本单位涉及的政务公开重点工作落实情况。</w:t>
      </w:r>
      <w:r>
        <w:rPr>
          <w:rFonts w:hint="eastAsia" w:ascii="仿宋_GB2312" w:hAnsi="仿宋_GB2312" w:cs="仿宋_GB2312"/>
          <w:szCs w:val="32"/>
        </w:rPr>
        <w:t>（</w:t>
      </w:r>
      <w:r>
        <w:rPr>
          <w:rFonts w:hint="eastAsia" w:ascii="楷体_GB2312" w:hAnsi="楷体_GB2312" w:eastAsia="楷体_GB2312" w:cs="楷体_GB2312"/>
          <w:szCs w:val="32"/>
        </w:rPr>
        <w:t xml:space="preserve">区政府各部门、各街镇负责落实，完成时限：2024年12月） </w:t>
      </w:r>
    </w:p>
    <w:p>
      <w:pPr>
        <w:ind w:firstLine="640"/>
        <w:rPr>
          <w:rFonts w:hint="eastAsia" w:ascii="仿宋_GB2312" w:hAnsi="仿宋_GB2312" w:cs="仿宋_GB2312"/>
          <w:szCs w:val="32"/>
        </w:rPr>
      </w:pPr>
      <w:r>
        <w:rPr>
          <w:rFonts w:hint="eastAsia" w:ascii="仿宋_GB2312" w:hAnsi="仿宋_GB2312" w:cs="仿宋_GB2312"/>
          <w:szCs w:val="32"/>
        </w:rPr>
        <w:t>4.重视监督考核机制。2024年市级将加大评估通报力度，区级也继续将政务公开和政策服务重点工作纳入绩效考核体系，各部门要持续强化“以评促改”，定期开展检查，接受社会监督，促进政务公开工作提升。（</w:t>
      </w:r>
      <w:r>
        <w:rPr>
          <w:rFonts w:hint="eastAsia" w:ascii="楷体_GB2312" w:hAnsi="楷体_GB2312" w:eastAsia="楷体_GB2312" w:cs="楷体_GB2312"/>
          <w:szCs w:val="32"/>
        </w:rPr>
        <w:t xml:space="preserve">区政府各部门、各街镇负责落实，完成时限：2024年12月） </w:t>
      </w:r>
    </w:p>
    <w:p>
      <w:pPr>
        <w:ind w:firstLine="420" w:firstLineChars="0"/>
        <w:rPr>
          <w:rFonts w:hint="eastAsia" w:ascii="Times New Roman" w:hAnsi="Times New Roman" w:eastAsia="宋体"/>
          <w:sz w:val="21"/>
          <w:szCs w:val="22"/>
        </w:rPr>
      </w:pPr>
    </w:p>
    <w:p>
      <w:pPr>
        <w:spacing w:line="600" w:lineRule="exact"/>
        <w:ind w:firstLine="640"/>
        <w:rPr>
          <w:rFonts w:ascii="仿宋_GB2312" w:hAnsi="仿宋_GB2312" w:cs="仿宋_GB231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992" w:gutter="0"/>
          <w:pgNumType w:start="1"/>
          <w:cols w:space="425" w:num="1"/>
          <w:docGrid w:type="lines" w:linePitch="435" w:charSpace="0"/>
        </w:sectPr>
      </w:pPr>
      <w:r>
        <w:rPr>
          <w:rFonts w:hint="eastAsia" w:ascii="仿宋_GB2312" w:hAnsi="仿宋_GB2312" w:cs="仿宋_GB2312"/>
          <w:szCs w:val="32"/>
        </w:rPr>
        <w:t>附：丰台区2024年政务公开工作要点任务分解</w:t>
      </w:r>
    </w:p>
    <w:p>
      <w:pPr>
        <w:spacing w:line="600" w:lineRule="exact"/>
        <w:ind w:firstLine="0" w:firstLineChars="0"/>
        <w:rPr>
          <w:rFonts w:hint="eastAsia" w:ascii="方正小标宋简体" w:hAnsi="仿宋_GB2312" w:eastAsia="方正小标宋简体" w:cs="仿宋_GB2312"/>
          <w:szCs w:val="32"/>
        </w:rPr>
      </w:pPr>
      <w:r>
        <w:rPr>
          <w:rFonts w:hint="eastAsia" w:ascii="方正小标宋简体" w:hAnsi="仿宋_GB2312" w:eastAsia="方正小标宋简体" w:cs="仿宋_GB2312"/>
          <w:szCs w:val="32"/>
        </w:rPr>
        <w:t>附</w:t>
      </w:r>
    </w:p>
    <w:p>
      <w:pPr>
        <w:pStyle w:val="2"/>
        <w:ind w:firstLine="640"/>
        <w:rPr>
          <w:rFonts w:hint="eastAsia"/>
        </w:rPr>
      </w:pPr>
    </w:p>
    <w:p>
      <w:pPr>
        <w:spacing w:line="600" w:lineRule="exact"/>
        <w:ind w:firstLine="0" w:firstLineChars="0"/>
        <w:jc w:val="center"/>
        <w:rPr>
          <w:rFonts w:hint="eastAsia" w:ascii="方正小标宋简体" w:hAnsi="仿宋_GB2312" w:eastAsia="方正小标宋简体" w:cs="仿宋_GB2312"/>
          <w:szCs w:val="32"/>
        </w:rPr>
      </w:pPr>
      <w:r>
        <w:rPr>
          <w:rFonts w:hint="eastAsia" w:ascii="方正小标宋_GBK" w:hAnsi="宋体" w:eastAsia="方正小标宋_GBK" w:cs="宋体"/>
          <w:kern w:val="0"/>
          <w:sz w:val="44"/>
          <w:szCs w:val="44"/>
        </w:rPr>
        <w:t>丰台区2024年政务公开工作要点任务分解</w:t>
      </w:r>
    </w:p>
    <w:tbl>
      <w:tblPr>
        <w:tblStyle w:val="8"/>
        <w:tblW w:w="14787" w:type="dxa"/>
        <w:jc w:val="center"/>
        <w:tblLayout w:type="autofit"/>
        <w:tblCellMar>
          <w:top w:w="0" w:type="dxa"/>
          <w:left w:w="108" w:type="dxa"/>
          <w:bottom w:w="0" w:type="dxa"/>
          <w:right w:w="108" w:type="dxa"/>
        </w:tblCellMar>
      </w:tblPr>
      <w:tblGrid>
        <w:gridCol w:w="565"/>
        <w:gridCol w:w="1276"/>
        <w:gridCol w:w="1565"/>
        <w:gridCol w:w="7391"/>
        <w:gridCol w:w="2268"/>
        <w:gridCol w:w="1722"/>
      </w:tblGrid>
      <w:tr>
        <w:tblPrEx>
          <w:tblCellMar>
            <w:top w:w="0" w:type="dxa"/>
            <w:left w:w="108" w:type="dxa"/>
            <w:bottom w:w="0" w:type="dxa"/>
            <w:right w:w="108" w:type="dxa"/>
          </w:tblCellMar>
        </w:tblPrEx>
        <w:trPr>
          <w:trHeight w:val="810" w:hRule="atLeast"/>
          <w:tblHeader/>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序号</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一级指标</w:t>
            </w:r>
          </w:p>
        </w:tc>
        <w:tc>
          <w:tcPr>
            <w:tcW w:w="156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二级指标</w:t>
            </w:r>
          </w:p>
        </w:tc>
        <w:tc>
          <w:tcPr>
            <w:tcW w:w="73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内容</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牵头、落实涉及单位</w:t>
            </w:r>
          </w:p>
        </w:tc>
        <w:tc>
          <w:tcPr>
            <w:tcW w:w="172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完成时限</w:t>
            </w:r>
          </w:p>
        </w:tc>
      </w:tr>
      <w:tr>
        <w:tblPrEx>
          <w:tblCellMar>
            <w:top w:w="0" w:type="dxa"/>
            <w:left w:w="108" w:type="dxa"/>
            <w:bottom w:w="0" w:type="dxa"/>
            <w:right w:w="108" w:type="dxa"/>
          </w:tblCellMar>
        </w:tblPrEx>
        <w:trPr>
          <w:trHeight w:val="108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一、深化重点领域政府信息公开</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（一）围绕高质量发展推进政府信息专题公开</w:t>
            </w: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做好京津冀协同发展、疏解整治促提升、举办第二届倍增追赶合作发展大会等方面的信息公开，及时发布丰台区经济社会发展等相关政策信息等重点领域改革措施的发布解读。</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区发展改革委、区科信局、区商务局、丰台园管委</w:t>
            </w:r>
          </w:p>
        </w:tc>
        <w:tc>
          <w:tcPr>
            <w:tcW w:w="172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26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围绕推动京雄科创走廊建设，完善京津冀产业创新服务体系，做好支持区内企业在津冀布局生产基地，完善区域产业链、供应链等工作的信息公开。</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区发展改革委、区科信局</w:t>
            </w:r>
            <w:bookmarkStart w:id="0" w:name="_GoBack"/>
            <w:bookmarkEnd w:id="0"/>
          </w:p>
        </w:tc>
        <w:tc>
          <w:tcPr>
            <w:tcW w:w="172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73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深化京津冀三地人才“一体化”合作，加快构建人才发展新高地的相关信息公开。</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区人力社保局</w:t>
            </w:r>
          </w:p>
        </w:tc>
        <w:tc>
          <w:tcPr>
            <w:tcW w:w="172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73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4</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做好打造未来产业培育行动计划等产业政策的信息发布解读。</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区发展改革委、区科信局、丰台园管委</w:t>
            </w:r>
          </w:p>
        </w:tc>
        <w:tc>
          <w:tcPr>
            <w:tcW w:w="172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5</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做好“丽泽×首都商务新区”国际消费体验区建设等方面的信息公开。</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color w:val="000000"/>
                <w:kern w:val="0"/>
                <w:sz w:val="22"/>
                <w:szCs w:val="22"/>
              </w:rPr>
            </w:pPr>
            <w:r>
              <w:rPr>
                <w:rFonts w:hint="eastAsia" w:ascii="仿宋_GB2312" w:hAnsi="宋体" w:cs="宋体"/>
                <w:color w:val="000000"/>
                <w:kern w:val="0"/>
                <w:sz w:val="22"/>
                <w:szCs w:val="22"/>
              </w:rPr>
              <w:t>区商务局、丽泽商务区管委、南中轴地区建设办</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94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6</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围绕“两区”建设、高水平培育建设国际消费中心城市、加快重点商圈“一圈一策”升级改造、建设“一刻钟便民生活圈”等方面的信息公开。</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区商务局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24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7</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做好深化商事登记制度改革、一体化综合监管信息公开，及时发布阶段性政策措施和成果。持续推进反垄断和反不正当竞争执法信息公开。</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区市场监管局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96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8</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做好审批制度改革、高效办成“一件事”和“一业一证”集成服务改革、智慧城市建设等方面信息公开。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区政务服务和数据管理局、区市场监管局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96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9</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做好设立“丰台创新会客厅”，推动一批跨区域典型项目落地，马家堡、花乡奥莱等10大区域活力中心建设的信息公开。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区发展改革委、区科信局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94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10</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做好稳定和扩大传统消费，提振新能源汽车、电子产品等大宗消费，培育文旅体商、国货潮品等新的消费增长点的信息公开。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区商务局、区文化和旅游局、区体育局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09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一、深化重点领域政府信息公开</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（一）围绕高质量发展推进政府信息专题公开</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围绕深入实施“花香中国”战略计划，做好筹备申办第十二届中国花卉博览会，启动北京国际花卉交易中心建设的信息公开。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区园林绿化局、区文化和旅游局、玉泉营街道</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09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围绕大力培育新质生产力，聚焦重点领域积极建设科技创新重大平台项目，做好构建高精尖产业孵化体系、促进科技创新与产业创新深度融合的信息公开。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区科信局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97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立足区域产业优势，做好打造商业航天、生物制造、高端医疗器械、光电子等新的产业增长点的信息公开。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区科信局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14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14</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围绕深化数字技术创新应用，提升人工智能、工业互联网等技术发展水平，做好推动算力中心项目落地的信息公开。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区科信局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18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15</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围绕营造尊商重企、亲商暖企的氛围，不遗余力支持服务企业发展，做好“服务包”优化，完善“九促”服务体系的信息公开。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区发展改革委</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18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16</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做好开展“京策”政策服务、智慧政务升级等先行先试，推动创建“全国网络市场监管与服务示范区”、国家知识产权强市建设示范城市等方面的信息公开。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区政务服务和数据管理局、区市场监管局、区科信局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03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17</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围绕高标准推进“两区”建设，落实深化服务业扩大开放综合示范区方案，做好积极参与金融、科技、离岸贸易等重点任务实施的信息公开。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区商务局、区投资促进服务中心、区发展改革委、区科信局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82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18</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围绕提升北京市RCEP知识产权公共服务平台功能，做好拓展国际经贸合作新空间的信息公开。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区商务局、区市场监管局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97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19</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围绕区域高质量发展、聚才引智，做好强化“丰泽人才”服务，推进“欢迎学子回家”招聘活动的信息公开。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区人力社保局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9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一、深化重点领域政府信息公开</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（一）围绕高质量发展推进政府信息专题公开</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做好建设中国手工坊等公共文化新地标，完成滨水公园二期园林景观建设等方面的信息公开。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丽泽商务区管委、区园林绿化局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08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21</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围绕鼓励引导企业发挥创新主体作用，加大研发投入，做好支持科技型企业加速聚集、独角兽和潜在独角兽企业梯次培育的专项政策文件发布和解读。</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丰台园管委、区科信局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r>
        <w:tblPrEx>
          <w:tblCellMar>
            <w:top w:w="0" w:type="dxa"/>
            <w:left w:w="108" w:type="dxa"/>
            <w:bottom w:w="0" w:type="dxa"/>
            <w:right w:w="108" w:type="dxa"/>
          </w:tblCellMar>
        </w:tblPrEx>
        <w:trPr>
          <w:trHeight w:val="118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围绕地区腾退空间向高品质产业空间升级，做好大红门数智产业大厦更新改造、建设南中轴国际文化科技园一站式产业服务平台等方面的信息公开。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南中轴地区建设办</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48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（二）围绕城市精细化治理推进政府信息专题公开</w:t>
            </w: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围绕老旧小区综合整治推进实施情况深化信息公开范围，发布老旧小区改造和加装电梯成果典型案例。加强房屋租赁政策宣传解读，做好确保房地产市场平稳运行相关政策的发布和解读，及时发布保障性住房建设、提升物业和房屋安全管理、推进建筑业转型升级、加强工程建设和管理等方面政策信息。</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区房管局、区住房城乡建设委员会</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2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持续做好生活垃圾分类、创建垃圾分类示范小区和达标小区、重点区域环境整治提升、背街小巷环境提升、通久路建设、变电站建设、充电基础设施建设、城市环境和运行突出问题攻坚执法检查等方面信息公开。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区城市管理委、区城管执法局、供电公司</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78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做好全面实施“点靓凉水河”、河西第二水厂建设、完善供水基础管线、扩大“南水”在河西地区覆盖面等方面的信息公开。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区水务局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2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4</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做好右安门段公共空间项目建设，实现南中轴段、石榴庄段主体结构完工的信息公开。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区水务局、规划自然资源委丰台分局、文旅集团、南中轴地区建设办、右安门街道</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78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5</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（二）围绕城市精细化治理推进政府信息专题公开</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做好河西国家森林公园规划建设、构建京西南生态屏障、区级生态文化建设等方面信息公开，及时发布建设花园式街区、小微绿地及口袋公园进展情况。</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区园林绿化局、区发展改革委、规划自然资源委丰台分局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78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6</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及时公开发布轨道交通和其他重大项目建设推进情况。</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区重大项目办</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44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7</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加强全力打好污染防治攻坚战、深化“一微克”行动、“两山”双向转化路径等相关信息公开，及时发布本市污染防治工作情况和阶段性进展信息，及时发布国家地下水污染防治试验区建设、升级地下水研究中心功能、建设地下水自动监测超级站等信息。</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区生态环境局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78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8</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做好推进水资源节约集约利用、城乡水环境治理、加强水生态保护修复工作等方面信息公开。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区水务局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69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一、深化重点领域政府信息公开</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（三）围绕保障和改善民生推进政府信息专题公开</w:t>
            </w: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强化实施“智慧就业服务体系建设”“就业服务质量提升”两大工程，以更大力度促进重点群体就业等方面的信息公开。及时发布促进辖区重点群体实现就业，组织召开重点群体的招聘会，开展就业创业指导、职业指导、职业技能培训等各类培训指导活动等信息。</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区人力社保局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00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持续推进健全养老服务体系、社会救助领域信息公开，及时公开完善三级养老服务网络、试点建设街镇养老服务中心、推进老年福利中心开业运营、培育养老助餐点，落实社会救助政策等方面的信息。</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区民政局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66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做好卫生服务站基本诊疗设施建设信息公开，及时发布推行二三级直属医院信用医疗、优化“智慧家医”品牌服务，加快智能化诊疗“智慧医院”重点技术布局的进展情况。</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区卫生健康委</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8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4</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做好开展普惠托育服务试点、新增幼儿园普惠性托位等信息公开。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区卫健委、区教委</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8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5</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做好推进基础教育“强基工程”、加快社区办园点转型提升，实施“五育”并举等信息公开。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区教委</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8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6</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推进完善医疗保障待遇制度、加强医药服务管理、建立医院与农村社区站多层次帮扶矩阵、推广“互联网+医保”新支付方式，实现10家二、三级定点医疗机构医保移动支付等方面信息公开。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区医保局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12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7</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发布药品监管动态信息，持续做好“全国安全用药月”“医疗器械安全宣传周”“化妆品安全科普宣传周”等主题活动信息公开。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区市场监管局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r>
        <w:tblPrEx>
          <w:tblCellMar>
            <w:top w:w="0" w:type="dxa"/>
            <w:left w:w="108" w:type="dxa"/>
            <w:bottom w:w="0" w:type="dxa"/>
            <w:right w:w="108" w:type="dxa"/>
          </w:tblCellMar>
        </w:tblPrEx>
        <w:trPr>
          <w:trHeight w:val="112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8</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做好紧盯耕地保护红线、启动新一轮高标准农田建设1700亩等方面信息公开工作。</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区农业农村局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12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9</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及时发布开展农村人居环境整治等方面政策信息。</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区农业农村局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12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10</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及时发布推动准物业化管理全覆盖、建成10个乡村振兴“丰采村”等方面政策信息。</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区农业农村局、区房管局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12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11</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做好打造“花开盛世 丰宜福台”四季文化旅游系列活动品牌、构建15分钟公共阅读服务体系、建设街道综合文化中心、对外开放非遗展示体验中心等方面的信息公开。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区文化和旅游局、区商务局、区体育局、区园林绿化局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14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持续做好退役军人服务保障体系建设、移交安置、就业扶持、拥军优抚、褒扬纪念等方面信息公开。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区退役军人局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85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一、深化重点领域政府信息公开</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（四）围绕政府自身建设推进政府信息专题公开</w:t>
            </w: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强化财政预决算信息公开，优化完善公开内容形式，提高规范性可读性，便于公众理解监督。</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区财政局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12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围绕高质量建设丰台法务区，及时公开执法、司法、普法以及丰台法务区建设工作成果，做好律师、公证、司法鉴定、法律援助等方面信息公开。</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区司法局</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5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结合机构改革最新情况做好权责清单动态更新，并在本单位政府网站集中规范发布。按季度向社会公开市、区政府工作报告重点任务、重要民生实事项目的执行情况。</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r>
        <w:tblPrEx>
          <w:tblCellMar>
            <w:top w:w="0" w:type="dxa"/>
            <w:left w:w="108" w:type="dxa"/>
            <w:bottom w:w="0" w:type="dxa"/>
            <w:right w:w="108" w:type="dxa"/>
          </w:tblCellMar>
        </w:tblPrEx>
        <w:trPr>
          <w:trHeight w:val="18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4</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深化公共企事业单位信息公开，教育、卫生健康、供水、供电、供气、环境保护、公共交通等行业主管部门要在本单位政府网站专题公开本行业公共企事业单位基本信息、公共服务事项目录和服务指南，方便公众查阅。</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区教委、区卫生健康委、区水务局、区城市管理委、区生态环境局、区交通委等部门</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00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二、提升政策服务质效</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color w:val="000000"/>
                <w:kern w:val="0"/>
                <w:sz w:val="22"/>
                <w:szCs w:val="22"/>
              </w:rPr>
            </w:pPr>
            <w:r>
              <w:rPr>
                <w:rFonts w:hint="eastAsia" w:ascii="仿宋_GB2312" w:hAnsi="宋体" w:cs="宋体"/>
                <w:color w:val="000000"/>
                <w:kern w:val="0"/>
                <w:sz w:val="22"/>
                <w:szCs w:val="22"/>
              </w:rPr>
              <w:t>（一）政策意见征集</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强化群众企业参与政策制定机制，通过调研座谈、问卷调查、大数据分析等方式，对于涉及公众切身利益的政策，每半年至少开展政策需求征集一次，主动问计求策，汇集公众需求及意见建议，增强政策有效性。</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97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color w:val="000000"/>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在政策草案形成后，应优先通过市区两级政策意见征集栏目向社会公开征集意见，并充分利用政务新媒体、报纸报刊、广播电视等渠道，扩大政策意见征集的知晓面和参与度。</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36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（二）政策制定审核</w:t>
            </w: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细化政策制定标准。政策制定时应从群众企业使用政策角度认真研究，根据宏观规划、计划方案、兑现办事等类型编制政策内容，确保政策的可操作性。宏观规划、计划方案类政策原则上不再另行出台配套细则，确需出台配套细则的，应当与政策同步制定、同步发布。</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403"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建立政策前置审核工作制度。政策发布前，政策制定部门应按要求开展“制定标准性、公开合规性、解读规范性、兑现操作性、测算必要性”等审核工作。多部门联合印发的政策，由牵头部门会同其他起草部门开展政策审核。未按要求审核的政策不得发布实施。</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24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健全政策动态清理工作机制。梳理本单位政策清单，每年至少开展一次政策有效性集中确认和失效政策标注工作，并同步在政府网站更新，提升政策集中公开的质量实效。</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24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二、提升政策服务质效</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（三）政策发布解读</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建立政策集中规范发布制度。将政府网站作为政策发布的第一平台，按照政府网站最新政策视图管理要求，在本单位政府网站“政策文件”栏目集中发布政策，以便“京策”平台及时全量汇聚本市政策。</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99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严格落实政策解读“三同步”原则，加强对宏观规划、计划方案、兑现办事等政策的分类解读，结合政策内容，注重解读政策的背景依据、目标任务、主要内容、创新特点、专有名词、涉及范围、执行标准、注意事项、新旧政策差异等。丰富政策解读形式，鼓励通过简明问答、一图读懂、视频音频等群众企业喜闻乐见的方式开展形象化、通俗化解读，综合运用“报、网、端、微、屏”等平台加强政策的发布和解读。</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30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二、提升政策服务质效</w:t>
            </w: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建立政策舆情收集、研判、处置和回应机制，按照“谁起草、谁负责”的原则，压实主体责任。政策发布前，应充分评估可能产生的舆情风险；政策发布后，要加强监测预警和分析研判，发现问题快速反应，及时回应社会关切。</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39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（四）政策兑现评价</w:t>
            </w: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建立政策兑现事项报送机制。区政府各部门发布涉及财政资金的惠企政策时，应按市政府门户网站“政策兑现专区”的工作要求，进行政策标签化处理，明确政策核心要素，同步经政务服务和数据管理局报送至市政府门户网站“政策兑现专区”，确保全区所有涉及财政资金的惠企政策集中兑现、一站式申报。</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区政务服务和数据管理局牵头，区政府各部门、各街镇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09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依托全市权威统一的政策标签库，细化政策适用对象，建立政策标签体系，落实与各类企业服务平台、企业协会商会、社会咨询机构、第三方政策咨询平台等联络协作的工作机制，不断扩大政策服务覆盖面。</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区政务服务和数据管理局牵头，区政府各部门、各街镇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2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开展政策效果评价应用试点。发展改革、科技、经济信息化、人力社保、商务、民政等政策服务重点区级部门应结合本单位政策在“京策”平台的应用情况开展政策评估分析，全面掌握政策落地情况，并适时转化为调整政策制定的措施。</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区发展改革委、区科信局、区人力社保局、区商务局、区民政局、丰台园管委、丽泽商务区管委会</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r>
        <w:tblPrEx>
          <w:tblCellMar>
            <w:top w:w="0" w:type="dxa"/>
            <w:left w:w="108" w:type="dxa"/>
            <w:bottom w:w="0" w:type="dxa"/>
            <w:right w:w="108" w:type="dxa"/>
          </w:tblCellMar>
        </w:tblPrEx>
        <w:trPr>
          <w:trHeight w:val="168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三、加强政务公开能力建设</w:t>
            </w:r>
          </w:p>
        </w:tc>
        <w:tc>
          <w:tcPr>
            <w:tcW w:w="1565"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（一）强化政务公开平台智能集约</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以用户体验为中心深化北京市政策服务平台（“京策”）建设。坚持业务融合、系统融合、技术融合，统筹政策制定各行业和领域，集成政策服务各环节和流程，细化政策制定内容要素，推动政策全量数据汇聚、现有政策服务平台全部贯通，实现全市政策制定标准规范、政策资金科学预判、政策发布集中统一、政策推送精准有效、政策兑现直达快享、政策评估量化客观。</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区政务服务和数据管理局牵头，区政府各部门、各街镇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r>
        <w:tblPrEx>
          <w:tblCellMar>
            <w:top w:w="0" w:type="dxa"/>
            <w:left w:w="108" w:type="dxa"/>
            <w:bottom w:w="0" w:type="dxa"/>
            <w:right w:w="108" w:type="dxa"/>
          </w:tblCellMar>
        </w:tblPrEx>
        <w:trPr>
          <w:trHeight w:val="18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强化政府网站和政务新媒体服务能力。围绕提升群众企业使用感受，发挥多渠道服务优势，推动政府网站和政务新媒体平台协同互补、一体化服务。加强政府网站、政务新媒体、电话端一体化监管，推动检查指标数据实时监测，着力提升全程跟踪、督办、预警效果。</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r>
        <w:tblPrEx>
          <w:tblCellMar>
            <w:top w:w="0" w:type="dxa"/>
            <w:left w:w="108" w:type="dxa"/>
            <w:bottom w:w="0" w:type="dxa"/>
            <w:right w:w="108" w:type="dxa"/>
          </w:tblCellMar>
        </w:tblPrEx>
        <w:trPr>
          <w:trHeight w:val="18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（一）强化政务公开平台智能集约</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严格落实信息发布审核制度，及时更新栏目内容，避免出现错别字、表述不规范等问题。定期排查网站、新媒体的错链断链，提升网站服务质量。用好用户行为数据和政府部门履职数据，形成大数据分析报告，赋能各部门网上履职和服务能力。严格落实网络意识形态责任制，确保政府网站和政务新媒体安全平稳运行。</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r>
        <w:tblPrEx>
          <w:tblCellMar>
            <w:top w:w="0" w:type="dxa"/>
            <w:left w:w="108" w:type="dxa"/>
            <w:bottom w:w="0" w:type="dxa"/>
            <w:right w:w="108" w:type="dxa"/>
          </w:tblCellMar>
        </w:tblPrEx>
        <w:trPr>
          <w:trHeight w:val="12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4</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强化政府公报数字化服务功能。发挥好政府公报权威发布和标准文本作用，推动政府规章、规范性文件通过政府公报统一刊登。做好政府公报数字文件库应用，有效拓宽数字公报传播应用渠道。</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区政务服务和数据管理局牵头，区政府各部门、各街镇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200"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5</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强化区政务服务中心政务公开专区建设，为基层群众提供政府信息网上查询、政府信息公开申请接收、政策咨询等服务。提高大厅政策咨询服务水平，设置政策咨询窗口，加强电话解答、现场解答等政策咨询渠道建设，更好解答就业、创业、养老、医疗、纳税等方面与人民群众切身利益密切相关的问题。</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区政务服务和数据管理局牵头，区政府各部门、各街镇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36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（二）优化政企政民互动渠道</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围绕群众企业热点政策需求，依托“政务服务面对面”“丰企通”“丰帆行动”等平台，常态化开展“政策公开讲”活动，邀请政策制定人讲明讲透政策重点，制作简明扼要、轻松易懂的政策短视频，通过市政府门户网站专栏发布，供公众随时下载查看。</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39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每半年至少组织开展一次“政务开放日”“社会观察员”等活动，通过线上线下多种形式活动，设置答疑、座谈、问卷调查等环节，让公众体验政府工作、开展交流互动、收集意见建议，有序引导公众参与城市管理和基层治理。</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39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b/>
                <w:bCs/>
                <w:kern w:val="0"/>
                <w:sz w:val="22"/>
                <w:szCs w:val="22"/>
              </w:rPr>
            </w:pPr>
            <w:r>
              <w:rPr>
                <w:rFonts w:hint="eastAsia" w:ascii="仿宋_GB2312" w:hAnsi="宋体" w:cs="宋体"/>
                <w:b/>
                <w:bCs/>
                <w:kern w:val="0"/>
                <w:sz w:val="22"/>
                <w:szCs w:val="22"/>
              </w:rPr>
              <w:t>三、加强政务公开能力建设</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（三）规范政府信息公开程序标准</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严格执行政府信息公开制度。完善政府信息公开保密审查制度，对拟公开的政府信息依法依规严格做好保密审查，防止泄露国家秘密、工作秘密和敏感信息，防范数据汇聚引发泄密风险。</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63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规范设置政府信息公开专栏，及时、集中、规范发布法定主动公开内容。依法依规办理政府信息公开申请，确保申请渠道畅通，法定答复时限准确。提升政府信息公开在线服务水平，推广电子印章网页答复应用。加强政府信息公开复议、诉讼案件报备管理，强化业务统筹和案例指导，提升答复文书规范化水平，有效降低败诉、纠错率。</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27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强化政务公开全清单管理。依据法律法规规章、行业主管部门关于信息公开工作的最新要求，及时更新本单位政务公开全清单。涉及机构改革的单位要对政务公开全清单做相应调整，确保清单事项完整。</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r>
        <w:tblPrEx>
          <w:tblCellMar>
            <w:top w:w="0" w:type="dxa"/>
            <w:left w:w="108" w:type="dxa"/>
            <w:bottom w:w="0" w:type="dxa"/>
            <w:right w:w="108" w:type="dxa"/>
          </w:tblCellMar>
        </w:tblPrEx>
        <w:trPr>
          <w:trHeight w:val="85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1</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（四）加强政务公开组织保障</w:t>
            </w: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各部门要健全政务公开协调联络工作机制，指导协调和督促推动各业务科室按要求开展各项工作。</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60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强化队伍建设及培训。区政府各部门要强化队伍建设，明确政务公开和政策服务的工作机构，配齐配强工作人员,落实领导干部应知应会党内法规和国家法律清单制度要求，将学习政务公开有关行政法规作为领导干部培训基础课程和公务员初任培训必修课程，积极通过集中授课、业务研讨、线上答疑等方式加强培训。</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r>
        <w:tblPrEx>
          <w:tblCellMar>
            <w:top w:w="0" w:type="dxa"/>
            <w:left w:w="108" w:type="dxa"/>
            <w:bottom w:w="0" w:type="dxa"/>
            <w:right w:w="108" w:type="dxa"/>
          </w:tblCellMar>
        </w:tblPrEx>
        <w:trPr>
          <w:trHeight w:val="1122"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3</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强化任务落实及监督考核。本工作要点印发后，各部门要结合本单位工作细化任务要求，逐项推动落实。在市区两级政府门户网站开设的专题栏目中，集中公开本单位涉及的政务公开重点工作落实情况。</w:t>
            </w:r>
          </w:p>
        </w:tc>
        <w:tc>
          <w:tcPr>
            <w:tcW w:w="226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_GB2312" w:hAnsi="宋体" w:cs="宋体"/>
                <w:kern w:val="0"/>
                <w:sz w:val="22"/>
                <w:szCs w:val="22"/>
              </w:rPr>
            </w:pPr>
            <w:r>
              <w:rPr>
                <w:rFonts w:hint="eastAsia" w:ascii="仿宋_GB2312" w:hAnsi="宋体" w:cs="宋体"/>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2024年10月</w:t>
            </w:r>
          </w:p>
        </w:tc>
      </w:tr>
      <w:tr>
        <w:tblPrEx>
          <w:tblCellMar>
            <w:top w:w="0" w:type="dxa"/>
            <w:left w:w="108" w:type="dxa"/>
            <w:bottom w:w="0" w:type="dxa"/>
            <w:right w:w="108" w:type="dxa"/>
          </w:tblCellMar>
        </w:tblPrEx>
        <w:trPr>
          <w:trHeight w:val="1099" w:hRule="atLeast"/>
          <w:jc w:val="center"/>
        </w:trPr>
        <w:tc>
          <w:tcPr>
            <w:tcW w:w="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4</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b/>
                <w:bCs/>
                <w:kern w:val="0"/>
                <w:sz w:val="22"/>
                <w:szCs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_GB2312" w:hAnsi="宋体" w:cs="宋体"/>
                <w:kern w:val="0"/>
                <w:sz w:val="22"/>
                <w:szCs w:val="22"/>
              </w:rPr>
            </w:pPr>
          </w:p>
        </w:tc>
        <w:tc>
          <w:tcPr>
            <w:tcW w:w="739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重视监督考核机制。2024年市级将加大评估通报力度，区级也继续将政务公开和政策服务重点工作纳入绩效考核体系，各部门要持续强化“以评促改”，定期开展检查，接受社会监督，促进政务公开工作提升。</w:t>
            </w:r>
          </w:p>
        </w:tc>
        <w:tc>
          <w:tcPr>
            <w:tcW w:w="226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hint="eastAsia" w:ascii="仿宋_GB2312" w:hAnsi="宋体" w:cs="宋体"/>
                <w:color w:val="000000"/>
                <w:kern w:val="0"/>
                <w:sz w:val="22"/>
                <w:szCs w:val="22"/>
              </w:rPr>
            </w:pPr>
            <w:r>
              <w:rPr>
                <w:rFonts w:hint="eastAsia" w:ascii="仿宋_GB2312" w:hAnsi="宋体" w:cs="宋体"/>
                <w:color w:val="000000"/>
                <w:kern w:val="0"/>
                <w:sz w:val="22"/>
                <w:szCs w:val="22"/>
              </w:rPr>
              <w:t>区政府各部门、各街镇</w:t>
            </w:r>
          </w:p>
        </w:tc>
        <w:tc>
          <w:tcPr>
            <w:tcW w:w="172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宋体" w:cs="宋体"/>
                <w:kern w:val="0"/>
                <w:sz w:val="22"/>
                <w:szCs w:val="22"/>
              </w:rPr>
            </w:pPr>
            <w:r>
              <w:rPr>
                <w:rFonts w:hint="eastAsia" w:ascii="仿宋_GB2312" w:hAnsi="宋体" w:cs="宋体"/>
                <w:kern w:val="0"/>
                <w:sz w:val="22"/>
                <w:szCs w:val="22"/>
              </w:rPr>
              <w:t>2024年12月</w:t>
            </w:r>
          </w:p>
        </w:tc>
      </w:tr>
    </w:tbl>
    <w:p>
      <w:pPr>
        <w:pStyle w:val="2"/>
        <w:ind w:firstLine="640"/>
        <w:rPr>
          <w:rFonts w:hint="eastAsia" w:ascii="仿宋_GB2312"/>
        </w:rPr>
      </w:pPr>
    </w:p>
    <w:sectPr>
      <w:pgSz w:w="16838" w:h="11906" w:orient="landscape"/>
      <w:pgMar w:top="1531" w:right="2098" w:bottom="1531" w:left="1985"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0000000000000000000"/>
    <w:charset w:val="00"/>
    <w:family w:val="auto"/>
    <w:pitch w:val="default"/>
    <w:sig w:usb0="00000000" w:usb1="00000000" w:usb2="00000000" w:usb3="00000000" w:csb0="00060007"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8447689"/>
      <w:docPartObj>
        <w:docPartGallery w:val="AutoText"/>
      </w:docPartObj>
    </w:sdtPr>
    <w:sdtContent>
      <w:p>
        <w:pPr>
          <w:pStyle w:val="5"/>
          <w:ind w:firstLine="360"/>
          <w:jc w:val="right"/>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360240"/>
      <w:docPartObj>
        <w:docPartGallery w:val="AutoText"/>
      </w:docPartObj>
    </w:sdtPr>
    <w:sdtContent>
      <w:p>
        <w:pPr>
          <w:pStyle w:val="5"/>
          <w:ind w:firstLine="360"/>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54"/>
    <w:rsid w:val="00494450"/>
    <w:rsid w:val="00790354"/>
    <w:rsid w:val="00953222"/>
    <w:rsid w:val="0CD87434"/>
    <w:rsid w:val="0E9525CA"/>
    <w:rsid w:val="17A06A85"/>
    <w:rsid w:val="17B948FA"/>
    <w:rsid w:val="17F06E1C"/>
    <w:rsid w:val="196D19DB"/>
    <w:rsid w:val="1AAA3286"/>
    <w:rsid w:val="23E31387"/>
    <w:rsid w:val="462D49C1"/>
    <w:rsid w:val="4FB76026"/>
    <w:rsid w:val="6C5708D6"/>
    <w:rsid w:val="79D336D3"/>
    <w:rsid w:val="7BC1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next w:val="1"/>
    <w:link w:val="16"/>
    <w:qFormat/>
    <w:uiPriority w:val="99"/>
    <w:rPr>
      <w:rFonts w:ascii="宋体" w:hAnsi="Courier New"/>
    </w:rPr>
  </w:style>
  <w:style w:type="paragraph" w:styleId="4">
    <w:name w:val="Balloon Text"/>
    <w:basedOn w:val="1"/>
    <w:link w:val="15"/>
    <w:qFormat/>
    <w:uiPriority w:val="99"/>
    <w:pPr>
      <w:spacing w:line="240" w:lineRule="auto"/>
    </w:pPr>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WW-普通 (Web)"/>
    <w:basedOn w:val="1"/>
    <w:qFormat/>
    <w:uiPriority w:val="0"/>
    <w:pPr>
      <w:widowControl/>
      <w:suppressAutoHyphens/>
      <w:spacing w:before="280" w:after="280"/>
      <w:jc w:val="left"/>
    </w:pPr>
    <w:rPr>
      <w:rFonts w:ascii="宋体" w:hAnsi="宋体" w:eastAsia="宋体"/>
      <w:sz w:val="24"/>
      <w:lang w:eastAsia="ar-SA"/>
    </w:rPr>
  </w:style>
  <w:style w:type="character" w:customStyle="1" w:styleId="15">
    <w:name w:val="批注框文本 Char"/>
    <w:basedOn w:val="10"/>
    <w:link w:val="4"/>
    <w:qFormat/>
    <w:uiPriority w:val="99"/>
    <w:rPr>
      <w:rFonts w:ascii="Calibri" w:hAnsi="Calibri" w:eastAsia="仿宋_GB2312" w:cs="Times New Roman"/>
      <w:kern w:val="2"/>
      <w:sz w:val="18"/>
      <w:szCs w:val="18"/>
    </w:rPr>
  </w:style>
  <w:style w:type="character" w:customStyle="1" w:styleId="16">
    <w:name w:val="纯文本 Char"/>
    <w:basedOn w:val="10"/>
    <w:link w:val="3"/>
    <w:qFormat/>
    <w:uiPriority w:val="99"/>
    <w:rPr>
      <w:rFonts w:ascii="宋体" w:hAnsi="Courier New" w:eastAsia="仿宋_GB2312" w:cs="Times New Roman"/>
      <w:kern w:val="2"/>
      <w:sz w:val="32"/>
      <w:szCs w:val="24"/>
    </w:rPr>
  </w:style>
  <w:style w:type="paragraph" w:styleId="17">
    <w:name w:val="List Paragraph"/>
    <w:basedOn w:val="1"/>
    <w:qFormat/>
    <w:uiPriority w:val="99"/>
    <w:pPr>
      <w:spacing w:line="240" w:lineRule="auto"/>
      <w:ind w:firstLine="420"/>
    </w:pPr>
    <w:rPr>
      <w:rFonts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DA803-82DD-4E3F-99E8-D277A3A031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2760</Words>
  <Characters>15738</Characters>
  <Lines>131</Lines>
  <Paragraphs>36</Paragraphs>
  <TotalTime>1</TotalTime>
  <ScaleCrop>false</ScaleCrop>
  <LinksUpToDate>false</LinksUpToDate>
  <CharactersWithSpaces>18462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2024-05-24T02:01:00Z</dcterms:created>
  <dc:creator>常思淼</dc:creator>
  <cp:lastModifiedBy>lc</cp:lastModifiedBy>
  <cp:lastPrinted>2024-05-20T09:22:00Z</cp:lastPrinted>
  <dcterms:modified xsi:type="dcterms:W3CDTF">2024-05-28T03:03:17Z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E9BEF0C0D9EC448A81D5F20435308266</vt:lpwstr>
  </property>
</Properties>
</file>