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tabs>
          <w:tab w:val="left" w:pos="720"/>
        </w:tabs>
        <w:spacing w:line="74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北京市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石景山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区人民政府</w:t>
      </w:r>
    </w:p>
    <w:p>
      <w:pPr>
        <w:shd w:val="clear" w:color="auto" w:fill="FFFFFF"/>
        <w:tabs>
          <w:tab w:val="left" w:pos="720"/>
        </w:tabs>
        <w:spacing w:line="740" w:lineRule="exact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关于落实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“三重一大”决策制度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的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实施办法</w:t>
      </w:r>
    </w:p>
    <w:p>
      <w:pPr>
        <w:shd w:val="clear" w:color="auto" w:fill="FFFFFF"/>
        <w:spacing w:line="560" w:lineRule="exact"/>
        <w:jc w:val="center"/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征求意见稿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  <w:t>）</w:t>
      </w:r>
    </w:p>
    <w:p>
      <w:pPr>
        <w:shd w:val="clear" w:color="auto" w:fill="FFFFFF"/>
        <w:spacing w:line="560" w:lineRule="exact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shd w:val="clear" w:color="auto" w:fill="FFFFFF"/>
        <w:tabs>
          <w:tab w:val="left" w:pos="720"/>
          <w:tab w:val="left" w:pos="7560"/>
        </w:tabs>
        <w:spacing w:line="580" w:lineRule="exact"/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第一章  总  则</w:t>
      </w:r>
    </w:p>
    <w:p>
      <w:pPr>
        <w:shd w:val="clear" w:color="auto" w:fill="FFFFFF"/>
        <w:tabs>
          <w:tab w:val="left" w:pos="720"/>
          <w:tab w:val="left" w:pos="7560"/>
        </w:tabs>
        <w:spacing w:line="580" w:lineRule="exact"/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>
      <w:pPr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第一条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为认真贯彻执行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党的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民主集中制，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健全完善区政府“三重一大”决策制度，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提高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领导班子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科学决策、民主决策、依法决策水平，防范决策风险，依据《中国共产党章程》《中国共产党党内监督条例》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《中共北京市石景山区委常委会关于落实“三重一大”决策制度的实施办法》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京石发〔2022〕10号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等有关规定，结合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区政府工作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实际，制定本办法。</w:t>
      </w:r>
    </w:p>
    <w:p>
      <w:pPr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第二条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本办法适用于区政府领导班子对职责范围内的重大决策事项、重要干部任免事项、重大项目安排事项、大额度资金使用事项(简称“三重一大”事项)的决策。</w:t>
      </w:r>
    </w:p>
    <w:p>
      <w:pPr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第三条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“三重一大”事项决策应当遵循以下原则：</w:t>
      </w:r>
    </w:p>
    <w:p>
      <w:pPr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（一）坚持集体领导、民主集中、个别酝酿、会议决定的原则。凡属职责范围内的“三重一大”事项，除遇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重大突发事件、抢险救灾等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紧急情况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，都应以区政府常务会议形式集体讨论决定，不得以传阅、会签或个别征求意见等形式代替集体决策。</w:t>
      </w:r>
    </w:p>
    <w:p>
      <w:pPr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（二）坚持集体领导和个人分工负责相结合的原则。贯彻民主集中制，充分发扬民主，实行区政府领导班子成员分工负责，保证权力正确行使，发挥领导班子集体智慧和集体合力。</w:t>
      </w:r>
    </w:p>
    <w:p>
      <w:pPr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（三）坚持科学、民主、依法的原则。注重调查研究，尊重和反映客观规律，做到务实高效；广泛听取各方面意见，自觉接受各方面监督；按照法定权限和程序行使权力，遵守国家法律法规、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党规党纪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和有关政策，确保决策贴近石景山区实际，符合经济社会发展规律。</w:t>
      </w:r>
    </w:p>
    <w:p>
      <w:pPr>
        <w:shd w:val="clear" w:color="auto" w:fill="FFFFFF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shd w:val="clear" w:color="auto" w:fill="FFFFFF"/>
        <w:tabs>
          <w:tab w:val="left" w:pos="720"/>
          <w:tab w:val="left" w:pos="7560"/>
        </w:tabs>
        <w:spacing w:line="600" w:lineRule="exact"/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第二章  “三重一大”事项范围</w:t>
      </w:r>
    </w:p>
    <w:p>
      <w:pPr>
        <w:shd w:val="clear" w:color="auto" w:fill="FFFFFF"/>
        <w:tabs>
          <w:tab w:val="left" w:pos="720"/>
          <w:tab w:val="left" w:pos="7560"/>
        </w:tabs>
        <w:spacing w:line="600" w:lineRule="exact"/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>
      <w:pPr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第四条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>重大决策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lang w:eastAsia="zh-CN"/>
        </w:rPr>
        <w:t>事项</w:t>
      </w:r>
    </w:p>
    <w:p>
      <w:pPr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（一）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贯彻落实党的路线方针政策、党内重要法规和国家重要法律法规以及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市委、市政府和区委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重大决策、重要部署、重要会议、重要指示精神等方面的重大事项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）需要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以区委、区政府名义或区政府名义向上级请示报告的重大事项；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向区委汇报、向区人大常委会报告和向区政协通报的重要事项。</w:t>
      </w:r>
    </w:p>
    <w:p>
      <w:pPr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（三）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涉及全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区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的体制、机制、制度改革方面的重大事项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（四）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涉及全区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经济社会发展方面的中长期规划编制、年度计划制定等重大事项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制定或调整各类总体规划、重要的区域规划和专业规划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（五）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涉及全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区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稳定的重大事件处理、重要信访矛盾化解、重大事故处理和重要突发事件应急处置等方面的重大事项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（六）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涉及全区人民群众切身利益的重大问题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（七）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开展对外交流合作的重要事项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（八）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以区政府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文件形式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制发的规范性文件。</w:t>
      </w:r>
    </w:p>
    <w:p>
      <w:pPr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（九）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其他需要集体决策的重要事项。</w:t>
      </w:r>
    </w:p>
    <w:p>
      <w:pPr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第五条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 xml:space="preserve">重要干部任免 </w:t>
      </w:r>
    </w:p>
    <w:p>
      <w:pPr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依法向区人大常委会提名区政府工作部门行政正职的拟任免人选。</w:t>
      </w:r>
    </w:p>
    <w:p>
      <w:pPr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研究并决定区委提名区政府工作部门、派出机构和直属事业单位行政正、副职和区属一级企业领导人员的拟任免人选。</w:t>
      </w:r>
    </w:p>
    <w:p>
      <w:pPr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（三）其他按照干部管理权限和有关政策法规，需要集体决策的干部任免和管理的重要事项。</w:t>
      </w:r>
    </w:p>
    <w:p>
      <w:pPr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第六条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>重大项目安排</w:t>
      </w:r>
    </w:p>
    <w:p>
      <w:pPr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（一）研究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vertAlign w:val="baseline"/>
        </w:rPr>
        <w:t>区政府投资建设项目年度计划及其调整内容，年度重点工程建设项目计划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vertAlign w:val="baseline"/>
          <w:lang w:eastAsia="zh-CN"/>
        </w:rPr>
        <w:t>，年度拟办重要民生实事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vertAlign w:val="baseline"/>
        </w:rPr>
        <w:t>。</w:t>
      </w:r>
    </w:p>
    <w:p>
      <w:pPr>
        <w:keepNext w:val="0"/>
        <w:keepLines w:val="0"/>
        <w:widowControl/>
        <w:suppressLineNumbers w:val="0"/>
        <w:shd w:val="clear" w:color="auto" w:fill="FFFFFF"/>
        <w:ind w:firstLine="640" w:firstLineChars="200"/>
        <w:jc w:val="left"/>
        <w:rPr>
          <w:rFonts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vertAlign w:val="baseline"/>
        </w:rPr>
        <w:t>研究决策使用区级政府性资金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00万元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vertAlign w:val="baseline"/>
        </w:rPr>
        <w:t>（含）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以上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vertAlign w:val="baseline"/>
        </w:rPr>
        <w:t>的项目和其他重大投资计划项目。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建设内容和功能有较大调整的、区政府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投资调整额度超过批复投资5%或500万元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vertAlign w:val="baseline"/>
        </w:rPr>
        <w:t>（含）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以上的重大项目。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区政府投资调整额度为5000万元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vertAlign w:val="baseline"/>
        </w:rPr>
        <w:t>（含）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以上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的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经区政府常务会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研究提请</w:t>
      </w: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区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委常委会集体决策。</w:t>
      </w:r>
    </w:p>
    <w:p>
      <w:pPr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vertAlign w:val="baseli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（三）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vertAlign w:val="baseline"/>
        </w:rPr>
        <w:t>研究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vertAlign w:val="baseline"/>
          <w:lang w:eastAsia="zh-CN"/>
        </w:rPr>
        <w:t>重大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vertAlign w:val="baseline"/>
        </w:rPr>
        <w:t>区属国有（集体）资产、资源处置。</w:t>
      </w:r>
    </w:p>
    <w:p>
      <w:pPr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vertAlign w:val="baseli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vertAlign w:val="baselin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vertAlign w:val="baseli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vertAlign w:val="baseline"/>
        </w:rPr>
        <w:t>研究需区政府或提交区委常委会集体决策的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vertAlign w:val="baseline"/>
          <w:lang w:eastAsia="zh-CN"/>
        </w:rPr>
        <w:t>重大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vertAlign w:val="baseline"/>
        </w:rPr>
        <w:t>区属国有（集体）土地使用权出让、大宗办公设备采购、固定资产购置、区属国有企业投融资。</w:t>
      </w:r>
    </w:p>
    <w:p>
      <w:pPr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）研究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重大招商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引资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、科研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对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投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资等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项目。</w:t>
      </w:r>
    </w:p>
    <w:p>
      <w:pPr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）研究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文化、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商务、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旅游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体育等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领域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重大活动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安排。</w:t>
      </w:r>
    </w:p>
    <w:p>
      <w:pPr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其他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需要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集体决策的重大项目安排。</w:t>
      </w:r>
    </w:p>
    <w:p>
      <w:pPr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第七条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 xml:space="preserve">大额度资金使用 </w:t>
      </w:r>
    </w:p>
    <w:p>
      <w:pPr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（一）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年度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区级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财政预算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的安排与调整，区级财政预算执行情况和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决算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，有关财政管理等方面的重要事项。</w:t>
      </w:r>
    </w:p>
    <w:p>
      <w:pPr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未列入年度计划的大额资金（政策性支出、固定支出除外）中，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万元及以上由区政府常务会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研究决定，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000万元及以上经区政府常务会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研究提请区委常委会集体决策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（三）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其他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需要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集体决策的大额度资金使用。</w:t>
      </w:r>
    </w:p>
    <w:p>
      <w:pPr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</w:pPr>
    </w:p>
    <w:p>
      <w:pPr>
        <w:shd w:val="clear" w:color="auto" w:fill="FFFFFF"/>
        <w:spacing w:line="560" w:lineRule="exact"/>
        <w:ind w:firstLine="0" w:firstLineChars="0"/>
        <w:jc w:val="center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 xml:space="preserve">第三章 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决策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  <w:t>酝酿</w:t>
      </w:r>
    </w:p>
    <w:p>
      <w:pPr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numPr>
          <w:ilvl w:val="0"/>
          <w:numId w:val="0"/>
        </w:numPr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  <w:t xml:space="preserve">第八条  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区政府领导班子成员和各单位要主动加强对“三重一大”事项的分析研判，对确属“三重一大”事项的，应按照规范要求积极主动履行决策程序，坚决维护“三重一大”决策的严肃性、权威性。</w:t>
      </w:r>
    </w:p>
    <w:p>
      <w:pPr>
        <w:numPr>
          <w:ilvl w:val="0"/>
          <w:numId w:val="0"/>
        </w:numPr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  <w:t xml:space="preserve">第九条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“三重一大”事项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决策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应进行广泛深入的调查研究，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经过必要的研究论证程序，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充分听取各方面意见。</w:t>
      </w:r>
    </w:p>
    <w:p>
      <w:pPr>
        <w:numPr>
          <w:ilvl w:val="0"/>
          <w:numId w:val="0"/>
        </w:numPr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（一）对属于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重大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行政决策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事项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应按照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重大行政决策相关程序规定</w:t>
      </w:r>
      <w:r>
        <w:rPr>
          <w:rFonts w:hint="default" w:ascii="Times New Roman" w:hAnsi="Times New Roman" w:eastAsia="FangSong_GB2312" w:cs="Times New Roman"/>
          <w:color w:val="auto"/>
          <w:sz w:val="32"/>
          <w:szCs w:val="32"/>
          <w:highlight w:val="none"/>
          <w:lang w:eastAsia="zh-CN" w:bidi="ar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履行公众参与、专家论证、风险评估、合法性审查、公平竞争审查等程序。</w:t>
      </w:r>
    </w:p>
    <w:p>
      <w:pPr>
        <w:numPr>
          <w:ilvl w:val="0"/>
          <w:numId w:val="0"/>
        </w:numPr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对与人民群众利益密切相关的事项，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充分听取基层群众及社会各界的意见和建议，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必要时进行社会公示或听证。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numPr>
          <w:ilvl w:val="0"/>
          <w:numId w:val="0"/>
        </w:numPr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（三）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对专业性、技术性较强的事项，应进行专家提议、技术咨询、决策评估和综合论证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numPr>
          <w:ilvl w:val="0"/>
          <w:numId w:val="0"/>
        </w:numPr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（四）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对容易引发社会稳定、公共安全问题的事项，应进行社会稳定风险评估。</w:t>
      </w:r>
    </w:p>
    <w:p>
      <w:pPr>
        <w:numPr>
          <w:ilvl w:val="0"/>
          <w:numId w:val="0"/>
        </w:numPr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（五）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对以区政府文件形式制发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规范性文件、重要合作协议签署等事项，应进行合法性审查。</w:t>
      </w:r>
    </w:p>
    <w:p>
      <w:pPr>
        <w:numPr>
          <w:ilvl w:val="0"/>
          <w:numId w:val="0"/>
        </w:numPr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（六）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选拔任用干部要严格执行《党政领导干部选拔任用工作条例》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有关规定。</w:t>
      </w:r>
    </w:p>
    <w:p>
      <w:pPr>
        <w:numPr>
          <w:ilvl w:val="0"/>
          <w:numId w:val="0"/>
        </w:numPr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（七）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内容涉及多个部门的，应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事先</w:t>
      </w:r>
      <w:r>
        <w:rPr>
          <w:rFonts w:hint="default" w:ascii="Times New Roman" w:hAnsi="Times New Roman" w:eastAsia="仿宋_GB2312" w:cs="Times New Roman"/>
          <w:b w:val="0"/>
          <w:color w:val="auto"/>
          <w:kern w:val="0"/>
          <w:sz w:val="32"/>
          <w:szCs w:val="32"/>
          <w:highlight w:val="none"/>
          <w:shd w:val="clear" w:color="auto" w:fill="auto"/>
        </w:rPr>
        <w:t>征求相关部门意见</w:t>
      </w:r>
      <w:r>
        <w:rPr>
          <w:rFonts w:hint="default" w:ascii="Times New Roman" w:hAnsi="Times New Roman" w:eastAsia="仿宋_GB2312" w:cs="Times New Roman"/>
          <w:b w:val="0"/>
          <w:color w:val="auto"/>
          <w:kern w:val="0"/>
          <w:sz w:val="32"/>
          <w:szCs w:val="32"/>
          <w:highlight w:val="none"/>
          <w:shd w:val="clear" w:color="auto" w:fill="auto"/>
          <w:lang w:eastAsia="zh-CN"/>
        </w:rPr>
        <w:t>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事先做好沟通协调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未协调或经协调仍存在较大分歧的，不得提交区政府常务会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讨论。</w:t>
      </w:r>
    </w:p>
    <w:p>
      <w:pPr>
        <w:numPr>
          <w:ilvl w:val="0"/>
          <w:numId w:val="0"/>
        </w:numPr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（八）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按规定需进行民主协商或听取人大、政协、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民主党派、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群团组织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</w:rPr>
        <w:t>等意见、建议的，应事先履行有关程序。</w:t>
      </w:r>
    </w:p>
    <w:p>
      <w:pPr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eastAsia="zh-CN"/>
        </w:rPr>
        <w:t>第十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条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“三重一大”事项决策前，区政府领导班子成员可通过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区政府专题会议等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形式进行酝酿，但不得作出决定或影响集体决策。</w:t>
      </w:r>
    </w:p>
    <w:p>
      <w:pPr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eastAsia="zh-CN"/>
        </w:rPr>
        <w:t>第十一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条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提请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决策的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“三重一大”事项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需在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</w:rPr>
        <w:t>主责部门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充分调研形成意见后，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管副区长同意，提前报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区长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确定。除遇重大突发事件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、抢险救灾等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紧急情况外，不得临时动议。</w:t>
      </w:r>
    </w:p>
    <w:p>
      <w:pPr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eastAsia="zh-CN"/>
        </w:rPr>
        <w:t>第十二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区政府办公室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一般应在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区政府常务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会议召开前，将会议议题有关材料送达参会人员，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其有足够时间了解相关情况。</w:t>
      </w:r>
    </w:p>
    <w:p>
      <w:pPr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</w:pPr>
    </w:p>
    <w:p>
      <w:pPr>
        <w:shd w:val="clear" w:color="auto" w:fill="FFFFFF"/>
        <w:spacing w:line="560" w:lineRule="exact"/>
        <w:ind w:firstLine="0" w:firstLineChars="0"/>
        <w:jc w:val="center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 xml:space="preserve">章 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集体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  <w:t>决策</w:t>
      </w:r>
    </w:p>
    <w:p>
      <w:pPr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  <w:t xml:space="preserve">第十三条 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区政府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领导班子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决策“三重一大”事项，必须有二分之一以上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班子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成员出席，方能召开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会议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。讨论和决定干部任免事项必须有三分之二以上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班子成员出席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班子成员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因故不能参加会议的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应当在会前请假。会议讨论和决定事项时，涉及需要回避情形的，有关人员应当回避。</w:t>
      </w:r>
    </w:p>
    <w:p>
      <w:pPr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  <w:t xml:space="preserve">第十四条 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区政府领导班子决策“三重一大”事项，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vertAlign w:val="baseline"/>
        </w:rPr>
        <w:t>可视情况邀请人大、政协、武装部、群团组织等列席有关会议。监察机构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vertAlign w:val="baseline"/>
          <w:lang w:eastAsia="zh-CN"/>
        </w:rPr>
        <w:t>有关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vertAlign w:val="baseline"/>
        </w:rPr>
        <w:t>负责人应列席决策“三重一大”事项的会议。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列席人员可就议题发表讨论意见</w:t>
      </w:r>
      <w:r>
        <w:rPr>
          <w:rFonts w:ascii="Times New Roman" w:hAnsi="Times New Roman" w:eastAsia="仿宋" w:cs="Times New Roman"/>
          <w:color w:val="auto"/>
          <w:spacing w:val="7"/>
          <w:sz w:val="31"/>
          <w:szCs w:val="31"/>
          <w:highlight w:val="none"/>
          <w:u w:val="none"/>
        </w:rPr>
        <w:t>，但不参加表决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  <w:t xml:space="preserve">第十五条 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区政府领导班子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决策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“三重一大”事项，应安排相关部门介绍、说明情况，并留出足够时间进行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充分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讨论。对有关决策建议，班子成员应逐个表态；因故未到会的，可书面表达意见。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区长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或受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区长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委托主持会议的其他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副区长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应在班子成员充分发表意见的基础上，最后汇总、发表意见。</w:t>
      </w:r>
    </w:p>
    <w:p>
      <w:pPr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  <w:t xml:space="preserve">第十六条 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对多个“三重一大”事项，会议应逐一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表决，且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必须经应到会班子成员半数以上同意，方可形成决定，未到成员的意见不计入票数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发现有重大问题尚不清楚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或意见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highlight w:val="none"/>
        </w:rPr>
        <w:t>分歧较大的，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vertAlign w:val="baseline"/>
        </w:rPr>
        <w:t>除在紧急情况下按多数意见执行外，应暂缓决策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。表决应按照少数服从多数的原则，根据不同议题内容，分别采取口头、举手、无记名投票等方式进行。</w:t>
      </w:r>
    </w:p>
    <w:p>
      <w:pPr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  <w:t xml:space="preserve">第十七条 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如遇重大突发事件、抢险救灾等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紧急情况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不能及时召开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区政府常务会议研究决策的，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区政府领导班子成员可以临机处置，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事后应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及时提请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区政府常务会议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讨论决定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  <w:t xml:space="preserve">第十八条 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 xml:space="preserve"> 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三重一大”事项作出决策后，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highlight w:val="none"/>
        </w:rPr>
        <w:t>由区政府办公室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制定会议纪要并履行审核签发程序，以书面形式印发。会议文件及有关讨论情况应如实记录，存档备查。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vertAlign w:val="baseline"/>
        </w:rPr>
        <w:t>需要保密的事项严格执行保密规定。</w:t>
      </w:r>
    </w:p>
    <w:p>
      <w:pPr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</w:pPr>
    </w:p>
    <w:p>
      <w:pPr>
        <w:shd w:val="clear" w:color="auto" w:fill="FFFFFF"/>
        <w:spacing w:line="560" w:lineRule="exact"/>
        <w:ind w:firstLine="0" w:firstLineChars="0"/>
        <w:jc w:val="center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 xml:space="preserve">章 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决策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  <w:t>执行</w:t>
      </w:r>
    </w:p>
    <w:p>
      <w:pPr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第十九条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经区政府领导班子决策的“三重一大”事项，应由班子成员按职责分工组织实施；遇有职责分工交叉的，应明确一名班子成员牵头。</w:t>
      </w:r>
    </w:p>
    <w:p>
      <w:pPr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第二十条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区政府领导班子成员不得擅自改变集体决策。个人对决策有不同意见的可以保留，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vertAlign w:val="baseline"/>
        </w:rPr>
        <w:t>也可以向上报告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；但在未作出新的决策前，应无条件执行。对于因情况变化确需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改变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的，应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重新提请会议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决定。</w:t>
      </w:r>
    </w:p>
    <w:p>
      <w:pPr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第二十一条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建立健全决策督查制度，对“三重一大”事项决策的执行情况，区政府督查室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应当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进行跟踪督查，并及时向区政府领导班子报告。</w:t>
      </w:r>
    </w:p>
    <w:p>
      <w:pPr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>
      <w:pPr>
        <w:shd w:val="clear" w:color="auto" w:fill="FFFFFF"/>
        <w:spacing w:line="560" w:lineRule="exact"/>
        <w:ind w:firstLine="0" w:firstLineChars="0"/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六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章  监督检查</w:t>
      </w:r>
    </w:p>
    <w:p>
      <w:pPr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第二十二条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vertAlign w:val="baseline"/>
        </w:rPr>
        <w:t>区政府主要负责同志对“三重一大”事项决策和执行负总责。班子成员按照职责分工分别组织实施，对所分管部门贯彻执行“三重一大”事项决策履行监管责任。班子成员应将落实“三重一大”事项决策制度和决策执行情况，作为民主生活会、个人年终述职的重要内容。</w:t>
      </w:r>
    </w:p>
    <w:p>
      <w:pPr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第二十三条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区监委对区政府领导班子决策“三重一大”事项的执行情况负监督检查责任，及时发现、制止、纠正违反领导班子集体决策事项的行为。</w:t>
      </w:r>
    </w:p>
    <w:p>
      <w:pPr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第二十四条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除依法应当保密的事项外，</w:t>
      </w:r>
      <w:r>
        <w:rPr>
          <w:rFonts w:hint="default" w:ascii="Times New Roman" w:hAnsi="Times New Roman" w:eastAsia="仿宋_GB2312" w:cs="Times New Roman"/>
          <w:b w:val="0"/>
          <w:color w:val="auto"/>
          <w:kern w:val="0"/>
          <w:sz w:val="32"/>
          <w:szCs w:val="32"/>
          <w:highlight w:val="none"/>
          <w:shd w:val="clear" w:color="auto" w:fill="auto"/>
        </w:rPr>
        <w:t>“三重一大”事项的决策</w:t>
      </w:r>
      <w:r>
        <w:rPr>
          <w:rFonts w:hint="default" w:ascii="Times New Roman" w:hAnsi="Times New Roman" w:eastAsia="仿宋_GB2312" w:cs="Times New Roman"/>
          <w:b w:val="0"/>
          <w:color w:val="auto"/>
          <w:kern w:val="0"/>
          <w:sz w:val="32"/>
          <w:szCs w:val="32"/>
          <w:highlight w:val="none"/>
          <w:shd w:val="clear" w:color="auto" w:fill="auto"/>
          <w:lang w:eastAsia="zh-CN"/>
        </w:rPr>
        <w:t>、执行和风险防控</w:t>
      </w:r>
      <w:r>
        <w:rPr>
          <w:rFonts w:hint="default" w:ascii="Times New Roman" w:hAnsi="Times New Roman" w:eastAsia="仿宋_GB2312" w:cs="Times New Roman"/>
          <w:b w:val="0"/>
          <w:color w:val="auto"/>
          <w:kern w:val="0"/>
          <w:sz w:val="32"/>
          <w:szCs w:val="32"/>
          <w:highlight w:val="none"/>
          <w:shd w:val="clear" w:color="auto" w:fill="auto"/>
        </w:rPr>
        <w:t>情况</w:t>
      </w:r>
      <w:r>
        <w:rPr>
          <w:rFonts w:hint="default" w:ascii="Times New Roman" w:hAnsi="Times New Roman" w:eastAsia="仿宋_GB2312" w:cs="Times New Roman"/>
          <w:b w:val="0"/>
          <w:color w:val="auto"/>
          <w:kern w:val="0"/>
          <w:sz w:val="32"/>
          <w:szCs w:val="32"/>
          <w:highlight w:val="none"/>
          <w:shd w:val="clear" w:color="auto" w:fill="auto"/>
          <w:lang w:eastAsia="zh-CN"/>
        </w:rPr>
        <w:t>，应当</w:t>
      </w:r>
      <w:r>
        <w:rPr>
          <w:rFonts w:hint="default" w:ascii="Times New Roman" w:hAnsi="Times New Roman" w:eastAsia="仿宋_GB2312" w:cs="Times New Roman"/>
          <w:b w:val="0"/>
          <w:color w:val="auto"/>
          <w:kern w:val="0"/>
          <w:sz w:val="32"/>
          <w:szCs w:val="32"/>
          <w:highlight w:val="none"/>
          <w:shd w:val="clear" w:color="auto" w:fill="auto"/>
        </w:rPr>
        <w:t>按照政府信息公开相关规定确定公开属性并</w:t>
      </w:r>
      <w:r>
        <w:rPr>
          <w:rFonts w:hint="default" w:ascii="Times New Roman" w:hAnsi="Times New Roman" w:eastAsia="仿宋_GB2312" w:cs="Times New Roman"/>
          <w:b w:val="0"/>
          <w:color w:val="auto"/>
          <w:kern w:val="0"/>
          <w:sz w:val="32"/>
          <w:szCs w:val="32"/>
          <w:highlight w:val="none"/>
          <w:shd w:val="clear" w:color="auto" w:fill="auto"/>
          <w:lang w:eastAsia="zh-CN"/>
        </w:rPr>
        <w:t>予以</w:t>
      </w:r>
      <w:r>
        <w:rPr>
          <w:rFonts w:hint="default" w:ascii="Times New Roman" w:hAnsi="Times New Roman" w:eastAsia="仿宋_GB2312" w:cs="Times New Roman"/>
          <w:b w:val="0"/>
          <w:color w:val="auto"/>
          <w:kern w:val="0"/>
          <w:sz w:val="32"/>
          <w:szCs w:val="32"/>
          <w:highlight w:val="none"/>
          <w:shd w:val="clear" w:color="auto" w:fill="auto"/>
        </w:rPr>
        <w:t>落实。</w:t>
      </w:r>
    </w:p>
    <w:p>
      <w:pPr>
        <w:shd w:val="clear" w:color="auto" w:fill="FFFFFF"/>
        <w:spacing w:line="560" w:lineRule="exact"/>
        <w:ind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</w:p>
    <w:p>
      <w:pPr>
        <w:shd w:val="clear" w:color="auto" w:fill="FFFFFF"/>
        <w:spacing w:line="560" w:lineRule="exact"/>
        <w:ind w:firstLine="0" w:firstLineChars="0"/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七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 xml:space="preserve">章 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责任追究</w:t>
      </w:r>
    </w:p>
    <w:p>
      <w:pPr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</w:p>
    <w:p>
      <w:pPr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第二十五条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区监委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按照“谁决策、谁负责”原则，建立健全重大决策失误责任追究制度。对“三重一大”事项的决策和执行中出现下列情形，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导致决策失误，或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造成重大经济损失和严重政治影响的，依据《中国共产党纪律处分条例》《行政机关公务员处分条例》等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相关法律法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规，追究有关责任人的责任。</w:t>
      </w:r>
    </w:p>
    <w:p>
      <w:pPr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会议讨论“三重一大”事项时，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未履行或未正确履行“三重一大”制度决策程序，或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未向领导集体提供真实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、完整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情况而造成错误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决策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的；</w:t>
      </w:r>
    </w:p>
    <w:p>
      <w:pPr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未经集体讨论决定而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个人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或少数人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决策、事后又不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报告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的；</w:t>
      </w:r>
    </w:p>
    <w:p>
      <w:pPr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（三）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在决策执行中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执行后发现可能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存在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问题，未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及时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报告也未采取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有效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措施纠正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、挽回的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；</w:t>
      </w:r>
    </w:p>
    <w:p>
      <w:pPr>
        <w:numPr>
          <w:ilvl w:val="0"/>
          <w:numId w:val="0"/>
        </w:numPr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（四）决策执行不力或错误执行并造成严重损失的；</w:t>
      </w:r>
    </w:p>
    <w:p>
      <w:pPr>
        <w:numPr>
          <w:ilvl w:val="0"/>
          <w:numId w:val="0"/>
        </w:numPr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（五）拒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不执行或擅自改变集体决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策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的；</w:t>
      </w:r>
    </w:p>
    <w:p>
      <w:pPr>
        <w:numPr>
          <w:ilvl w:val="0"/>
          <w:numId w:val="0"/>
        </w:numPr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（六）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其他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需要责任追究的情形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第二十六条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区政府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领导班子决策失误或涉嫌违纪违法的，应在查明实情、分清责任的基础上，分别追究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区长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主管副区长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和其他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副区长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的责任。</w:t>
      </w:r>
    </w:p>
    <w:p>
      <w:pPr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第二十七条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对造成重大损失和严重政治影响的责任人，根据事实、性质、情节确定应承担的责任，依法依纪追究。</w:t>
      </w:r>
      <w:r>
        <w:rPr>
          <w:rFonts w:ascii="Times New Roman" w:hAnsi="Times New Roman" w:eastAsia="仿宋_GB2312" w:cs="Times New Roman"/>
          <w:strike w:val="0"/>
          <w:color w:val="auto"/>
          <w:sz w:val="32"/>
          <w:szCs w:val="32"/>
          <w:highlight w:val="none"/>
        </w:rPr>
        <w:t>造成较为严重后果的按照有关规定追究有关人员的责任。</w:t>
      </w:r>
    </w:p>
    <w:p>
      <w:pPr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trike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trike w:val="0"/>
          <w:color w:val="auto"/>
          <w:sz w:val="32"/>
          <w:szCs w:val="32"/>
          <w:highlight w:val="none"/>
          <w:lang w:eastAsia="zh-CN"/>
        </w:rPr>
        <w:t>第二十八条</w:t>
      </w:r>
      <w:r>
        <w:rPr>
          <w:rFonts w:hint="default" w:ascii="Times New Roman" w:hAnsi="Times New Roman" w:eastAsia="黑体" w:cs="Times New Roman"/>
          <w:strike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trike w:val="0"/>
          <w:color w:val="auto"/>
          <w:sz w:val="32"/>
          <w:szCs w:val="32"/>
          <w:highlight w:val="none"/>
        </w:rPr>
        <w:t>责任追究的方式按照相关规定执行。</w:t>
      </w:r>
    </w:p>
    <w:p>
      <w:pPr>
        <w:shd w:val="clear" w:color="auto" w:fill="FFFFFF"/>
        <w:spacing w:line="560" w:lineRule="exact"/>
        <w:ind w:firstLine="0" w:firstLineChars="0"/>
        <w:jc w:val="center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eastAsia="zh-CN"/>
        </w:rPr>
      </w:pPr>
    </w:p>
    <w:p>
      <w:pPr>
        <w:numPr>
          <w:ilvl w:val="0"/>
          <w:numId w:val="0"/>
        </w:numPr>
        <w:shd w:val="clear" w:color="auto" w:fill="FFFFFF"/>
        <w:spacing w:line="560" w:lineRule="exact"/>
        <w:jc w:val="center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  <w:t>第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  <w:t>八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  <w:t>章  附  则</w:t>
      </w:r>
    </w:p>
    <w:p>
      <w:pPr>
        <w:numPr>
          <w:ilvl w:val="0"/>
          <w:numId w:val="0"/>
        </w:numPr>
        <w:shd w:val="clear" w:color="auto" w:fill="FFFFFF"/>
        <w:spacing w:line="560" w:lineRule="exact"/>
        <w:ind w:firstLine="0" w:firstLineChars="0"/>
        <w:jc w:val="both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left" w:pos="7560"/>
          <w:tab w:val="left" w:pos="8100"/>
          <w:tab w:val="left" w:pos="8280"/>
        </w:tabs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eastAsia="zh-CN"/>
        </w:rPr>
        <w:t>第二十九条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本办法由区政府负责解释，具体解释工作由区政府办公室承担。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left" w:pos="7560"/>
          <w:tab w:val="left" w:pos="8100"/>
          <w:tab w:val="left" w:pos="8280"/>
        </w:tabs>
        <w:spacing w:line="560" w:lineRule="exact"/>
        <w:ind w:firstLine="640" w:firstLineChars="200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eastAsia="zh-CN"/>
        </w:rPr>
        <w:t>第三十条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color w:val="auto"/>
          <w:kern w:val="0"/>
          <w:sz w:val="32"/>
          <w:szCs w:val="32"/>
          <w:highlight w:val="none"/>
          <w:shd w:val="clear" w:color="auto" w:fill="auto"/>
        </w:rPr>
        <w:t>本办法自印发之日起</w:t>
      </w:r>
      <w:r>
        <w:rPr>
          <w:rFonts w:hint="default" w:ascii="Times New Roman" w:hAnsi="Times New Roman" w:eastAsia="仿宋_GB2312" w:cs="Times New Roman"/>
          <w:b w:val="0"/>
          <w:color w:val="auto"/>
          <w:kern w:val="0"/>
          <w:sz w:val="32"/>
          <w:szCs w:val="32"/>
          <w:highlight w:val="none"/>
          <w:shd w:val="clear" w:color="auto" w:fill="auto"/>
          <w:lang w:eastAsia="zh-CN"/>
        </w:rPr>
        <w:t>施行</w:t>
      </w:r>
      <w:r>
        <w:rPr>
          <w:rFonts w:hint="default" w:ascii="Times New Roman" w:hAnsi="Times New Roman" w:eastAsia="仿宋_GB2312" w:cs="Times New Roman"/>
          <w:b w:val="0"/>
          <w:color w:val="auto"/>
          <w:kern w:val="0"/>
          <w:sz w:val="32"/>
          <w:szCs w:val="32"/>
          <w:highlight w:val="none"/>
          <w:shd w:val="clear" w:color="auto" w:fill="auto"/>
        </w:rPr>
        <w:t>。</w:t>
      </w:r>
      <w:r>
        <w:rPr>
          <w:rFonts w:hint="default" w:ascii="Times New Roman" w:hAnsi="Times New Roman" w:eastAsia="仿宋_GB2312" w:cs="Times New Roman"/>
          <w:b w:val="0"/>
          <w:color w:val="auto"/>
          <w:kern w:val="0"/>
          <w:sz w:val="32"/>
          <w:szCs w:val="32"/>
          <w:highlight w:val="none"/>
          <w:shd w:val="clear" w:color="auto" w:fill="auto"/>
          <w:lang w:eastAsia="zh-CN"/>
        </w:rPr>
        <w:t>《北京市石景山区人民政府印发</w:t>
      </w:r>
      <w:r>
        <w:rPr>
          <w:rFonts w:hint="default" w:ascii="Times New Roman" w:hAnsi="Times New Roman" w:eastAsia="仿宋_GB2312" w:cs="Times New Roman"/>
          <w:b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&lt;关于</w:t>
      </w:r>
      <w:r>
        <w:rPr>
          <w:rFonts w:hint="default" w:ascii="Times New Roman" w:hAnsi="Times New Roman" w:eastAsia="仿宋_GB2312" w:cs="Times New Roman"/>
          <w:b w:val="0"/>
          <w:color w:val="auto"/>
          <w:kern w:val="0"/>
          <w:sz w:val="32"/>
          <w:szCs w:val="32"/>
          <w:highlight w:val="none"/>
          <w:shd w:val="clear" w:color="auto" w:fill="auto"/>
          <w:lang w:eastAsia="zh-CN"/>
        </w:rPr>
        <w:t>加强风险防控完善领导班子“三重一大”决策制度的实施办法</w:t>
      </w:r>
      <w:r>
        <w:rPr>
          <w:rFonts w:hint="default" w:ascii="Times New Roman" w:hAnsi="Times New Roman" w:eastAsia="仿宋_GB2312" w:cs="Times New Roman"/>
          <w:b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&gt;的通知</w:t>
      </w:r>
      <w:r>
        <w:rPr>
          <w:rFonts w:hint="default" w:ascii="Times New Roman" w:hAnsi="Times New Roman" w:eastAsia="仿宋_GB2312" w:cs="Times New Roman"/>
          <w:b w:val="0"/>
          <w:color w:val="auto"/>
          <w:kern w:val="0"/>
          <w:sz w:val="32"/>
          <w:szCs w:val="32"/>
          <w:highlight w:val="none"/>
          <w:shd w:val="clear" w:color="auto" w:fill="auto"/>
          <w:lang w:eastAsia="zh-CN"/>
        </w:rPr>
        <w:t>》（石政发〔2010〕55号）</w:t>
      </w:r>
      <w:r>
        <w:rPr>
          <w:rFonts w:hint="default" w:ascii="Times New Roman" w:hAnsi="Times New Roman" w:eastAsia="仿宋_GB2312" w:cs="Times New Roman"/>
          <w:b w:val="0"/>
          <w:color w:val="auto"/>
          <w:kern w:val="0"/>
          <w:sz w:val="32"/>
          <w:szCs w:val="32"/>
          <w:highlight w:val="none"/>
          <w:shd w:val="clear" w:color="auto" w:fill="auto"/>
        </w:rPr>
        <w:t>同时废止。</w:t>
      </w:r>
    </w:p>
    <w:sectPr>
      <w:footerReference r:id="rId3" w:type="default"/>
      <w:pgSz w:w="11850" w:h="16783"/>
      <w:pgMar w:top="2098" w:right="1474" w:bottom="1984" w:left="1587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AgtDAhwwEAAHA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3Y2Q4MTZjNGY1YmFlMjQ0NjBmNmY5ODVhYzI3ZjYifQ=="/>
  </w:docVars>
  <w:rsids>
    <w:rsidRoot w:val="00172A27"/>
    <w:rsid w:val="000029D2"/>
    <w:rsid w:val="0001703E"/>
    <w:rsid w:val="000509A1"/>
    <w:rsid w:val="00076BE9"/>
    <w:rsid w:val="00085F60"/>
    <w:rsid w:val="000B023D"/>
    <w:rsid w:val="000E1EEB"/>
    <w:rsid w:val="000F1181"/>
    <w:rsid w:val="000F2D27"/>
    <w:rsid w:val="001151FF"/>
    <w:rsid w:val="001229DB"/>
    <w:rsid w:val="001408C5"/>
    <w:rsid w:val="00174866"/>
    <w:rsid w:val="001E6796"/>
    <w:rsid w:val="001F4C9F"/>
    <w:rsid w:val="00212644"/>
    <w:rsid w:val="00245650"/>
    <w:rsid w:val="00270DCA"/>
    <w:rsid w:val="00291364"/>
    <w:rsid w:val="002F6ED2"/>
    <w:rsid w:val="00310575"/>
    <w:rsid w:val="00312D75"/>
    <w:rsid w:val="00330ADF"/>
    <w:rsid w:val="00345877"/>
    <w:rsid w:val="00384350"/>
    <w:rsid w:val="003C670D"/>
    <w:rsid w:val="0040719E"/>
    <w:rsid w:val="00443199"/>
    <w:rsid w:val="004611A4"/>
    <w:rsid w:val="004637C7"/>
    <w:rsid w:val="00476CD4"/>
    <w:rsid w:val="004C4746"/>
    <w:rsid w:val="004C49FF"/>
    <w:rsid w:val="004D20DE"/>
    <w:rsid w:val="00554D4A"/>
    <w:rsid w:val="005A7B0A"/>
    <w:rsid w:val="005C1EE7"/>
    <w:rsid w:val="005D6306"/>
    <w:rsid w:val="005E25B7"/>
    <w:rsid w:val="005F6B99"/>
    <w:rsid w:val="00643152"/>
    <w:rsid w:val="006845C8"/>
    <w:rsid w:val="00691C5E"/>
    <w:rsid w:val="006C3BBF"/>
    <w:rsid w:val="006E692E"/>
    <w:rsid w:val="006F3A74"/>
    <w:rsid w:val="00713561"/>
    <w:rsid w:val="00736EF6"/>
    <w:rsid w:val="0075050D"/>
    <w:rsid w:val="007926C9"/>
    <w:rsid w:val="00797833"/>
    <w:rsid w:val="007A0906"/>
    <w:rsid w:val="007E3CE6"/>
    <w:rsid w:val="007F3B7B"/>
    <w:rsid w:val="007F549F"/>
    <w:rsid w:val="008148B9"/>
    <w:rsid w:val="00842266"/>
    <w:rsid w:val="008A72F8"/>
    <w:rsid w:val="008D6331"/>
    <w:rsid w:val="008F0A90"/>
    <w:rsid w:val="008F1223"/>
    <w:rsid w:val="00905730"/>
    <w:rsid w:val="00915C44"/>
    <w:rsid w:val="00922B32"/>
    <w:rsid w:val="00925BEB"/>
    <w:rsid w:val="009378F6"/>
    <w:rsid w:val="00947829"/>
    <w:rsid w:val="009723D6"/>
    <w:rsid w:val="0098472F"/>
    <w:rsid w:val="009D1292"/>
    <w:rsid w:val="00A022BB"/>
    <w:rsid w:val="00A35896"/>
    <w:rsid w:val="00A70AA3"/>
    <w:rsid w:val="00A76550"/>
    <w:rsid w:val="00A865BF"/>
    <w:rsid w:val="00AD68D8"/>
    <w:rsid w:val="00AE6675"/>
    <w:rsid w:val="00B362C6"/>
    <w:rsid w:val="00B3713D"/>
    <w:rsid w:val="00B45319"/>
    <w:rsid w:val="00B550B9"/>
    <w:rsid w:val="00B63AEB"/>
    <w:rsid w:val="00B80D33"/>
    <w:rsid w:val="00B9176B"/>
    <w:rsid w:val="00BA296A"/>
    <w:rsid w:val="00BB2EC2"/>
    <w:rsid w:val="00C13E4C"/>
    <w:rsid w:val="00C41BFC"/>
    <w:rsid w:val="00C4670B"/>
    <w:rsid w:val="00C63198"/>
    <w:rsid w:val="00C81B9E"/>
    <w:rsid w:val="00CB5C93"/>
    <w:rsid w:val="00CC36CA"/>
    <w:rsid w:val="00CD4E82"/>
    <w:rsid w:val="00CE72A4"/>
    <w:rsid w:val="00CF7000"/>
    <w:rsid w:val="00D12D79"/>
    <w:rsid w:val="00D17BF3"/>
    <w:rsid w:val="00D2325E"/>
    <w:rsid w:val="00D414C6"/>
    <w:rsid w:val="00D464D4"/>
    <w:rsid w:val="00DA644E"/>
    <w:rsid w:val="00DB3831"/>
    <w:rsid w:val="00DB53EB"/>
    <w:rsid w:val="00DB5F9C"/>
    <w:rsid w:val="00DC315B"/>
    <w:rsid w:val="00DF049C"/>
    <w:rsid w:val="00E01A1B"/>
    <w:rsid w:val="00E06596"/>
    <w:rsid w:val="00E11EC3"/>
    <w:rsid w:val="00E138F8"/>
    <w:rsid w:val="00E74626"/>
    <w:rsid w:val="00E9498C"/>
    <w:rsid w:val="00F02810"/>
    <w:rsid w:val="00F21010"/>
    <w:rsid w:val="00F23481"/>
    <w:rsid w:val="00F60CF6"/>
    <w:rsid w:val="00FA56FB"/>
    <w:rsid w:val="00FD0E84"/>
    <w:rsid w:val="00FF68E5"/>
    <w:rsid w:val="017A1782"/>
    <w:rsid w:val="017F5951"/>
    <w:rsid w:val="01947C52"/>
    <w:rsid w:val="01C34939"/>
    <w:rsid w:val="01DA23AF"/>
    <w:rsid w:val="0235005C"/>
    <w:rsid w:val="025E7E5A"/>
    <w:rsid w:val="02E74A54"/>
    <w:rsid w:val="02F233BA"/>
    <w:rsid w:val="02F768FA"/>
    <w:rsid w:val="0342209C"/>
    <w:rsid w:val="036B6773"/>
    <w:rsid w:val="038148E6"/>
    <w:rsid w:val="038F3835"/>
    <w:rsid w:val="03E260A2"/>
    <w:rsid w:val="04212517"/>
    <w:rsid w:val="04473600"/>
    <w:rsid w:val="045F4D3E"/>
    <w:rsid w:val="04655E8B"/>
    <w:rsid w:val="05073DC2"/>
    <w:rsid w:val="05BA2736"/>
    <w:rsid w:val="05E224D6"/>
    <w:rsid w:val="06121C92"/>
    <w:rsid w:val="06C85896"/>
    <w:rsid w:val="07A801F6"/>
    <w:rsid w:val="081B727D"/>
    <w:rsid w:val="08616654"/>
    <w:rsid w:val="091F1384"/>
    <w:rsid w:val="092408C1"/>
    <w:rsid w:val="09525907"/>
    <w:rsid w:val="096168DE"/>
    <w:rsid w:val="096C65BC"/>
    <w:rsid w:val="09780165"/>
    <w:rsid w:val="098D32C5"/>
    <w:rsid w:val="0A026946"/>
    <w:rsid w:val="0A280666"/>
    <w:rsid w:val="0A9A6BC5"/>
    <w:rsid w:val="0AC37E28"/>
    <w:rsid w:val="0ACF7F7C"/>
    <w:rsid w:val="0B0714FF"/>
    <w:rsid w:val="0B69187D"/>
    <w:rsid w:val="0BC34B28"/>
    <w:rsid w:val="0C6D4EA1"/>
    <w:rsid w:val="0C90360D"/>
    <w:rsid w:val="0CB748F9"/>
    <w:rsid w:val="0CF23F9F"/>
    <w:rsid w:val="0D07162E"/>
    <w:rsid w:val="0D5C12AD"/>
    <w:rsid w:val="0D6146CC"/>
    <w:rsid w:val="0E1063FB"/>
    <w:rsid w:val="0E486654"/>
    <w:rsid w:val="0E69253F"/>
    <w:rsid w:val="0EBE0962"/>
    <w:rsid w:val="0FC13014"/>
    <w:rsid w:val="0FCC64A1"/>
    <w:rsid w:val="0FE60171"/>
    <w:rsid w:val="0FF1161D"/>
    <w:rsid w:val="100D4CB6"/>
    <w:rsid w:val="104A17A1"/>
    <w:rsid w:val="105E0DCF"/>
    <w:rsid w:val="10E31782"/>
    <w:rsid w:val="110F3AC3"/>
    <w:rsid w:val="11502428"/>
    <w:rsid w:val="11794B56"/>
    <w:rsid w:val="119155E6"/>
    <w:rsid w:val="119A12E8"/>
    <w:rsid w:val="11E17AA5"/>
    <w:rsid w:val="11EF6AB6"/>
    <w:rsid w:val="12080A57"/>
    <w:rsid w:val="12137A44"/>
    <w:rsid w:val="126C4C25"/>
    <w:rsid w:val="12B2366E"/>
    <w:rsid w:val="12EF522D"/>
    <w:rsid w:val="131744B7"/>
    <w:rsid w:val="146A64D9"/>
    <w:rsid w:val="149112C7"/>
    <w:rsid w:val="149F61E5"/>
    <w:rsid w:val="14BB4A7E"/>
    <w:rsid w:val="14BF5434"/>
    <w:rsid w:val="15335BBD"/>
    <w:rsid w:val="154A2F50"/>
    <w:rsid w:val="154E64B2"/>
    <w:rsid w:val="15A62466"/>
    <w:rsid w:val="15DF191F"/>
    <w:rsid w:val="16773436"/>
    <w:rsid w:val="17E221D2"/>
    <w:rsid w:val="17E7796F"/>
    <w:rsid w:val="18054556"/>
    <w:rsid w:val="180C6BE2"/>
    <w:rsid w:val="18252232"/>
    <w:rsid w:val="18304E65"/>
    <w:rsid w:val="18956BD8"/>
    <w:rsid w:val="18AB3326"/>
    <w:rsid w:val="18C10795"/>
    <w:rsid w:val="1916081C"/>
    <w:rsid w:val="191D15B9"/>
    <w:rsid w:val="19732FDC"/>
    <w:rsid w:val="19B94E8F"/>
    <w:rsid w:val="19BF51ED"/>
    <w:rsid w:val="1A004F3F"/>
    <w:rsid w:val="1A357D91"/>
    <w:rsid w:val="1A7B6475"/>
    <w:rsid w:val="1A9B6123"/>
    <w:rsid w:val="1AC0358E"/>
    <w:rsid w:val="1B7629D9"/>
    <w:rsid w:val="1BB904D8"/>
    <w:rsid w:val="1BE93062"/>
    <w:rsid w:val="1C5605CE"/>
    <w:rsid w:val="1C71170A"/>
    <w:rsid w:val="1C750EB5"/>
    <w:rsid w:val="1CCE51BE"/>
    <w:rsid w:val="1D61177E"/>
    <w:rsid w:val="1D6F3193"/>
    <w:rsid w:val="1D71569B"/>
    <w:rsid w:val="1D7229D0"/>
    <w:rsid w:val="1D9922F3"/>
    <w:rsid w:val="1DBF2B5A"/>
    <w:rsid w:val="1DEF4E88"/>
    <w:rsid w:val="1E483486"/>
    <w:rsid w:val="1E4D2DC2"/>
    <w:rsid w:val="1EB41C0F"/>
    <w:rsid w:val="1EC000B1"/>
    <w:rsid w:val="1FB5735F"/>
    <w:rsid w:val="1FB97769"/>
    <w:rsid w:val="1FC04D83"/>
    <w:rsid w:val="1FD61FB0"/>
    <w:rsid w:val="1FEF083F"/>
    <w:rsid w:val="1FFA307F"/>
    <w:rsid w:val="200B7078"/>
    <w:rsid w:val="2011720B"/>
    <w:rsid w:val="2026326D"/>
    <w:rsid w:val="2052687C"/>
    <w:rsid w:val="20BE675F"/>
    <w:rsid w:val="20F1761C"/>
    <w:rsid w:val="21000457"/>
    <w:rsid w:val="21091942"/>
    <w:rsid w:val="21157CD0"/>
    <w:rsid w:val="21341065"/>
    <w:rsid w:val="21BA49C2"/>
    <w:rsid w:val="228F6446"/>
    <w:rsid w:val="22AE11D4"/>
    <w:rsid w:val="233C0339"/>
    <w:rsid w:val="236D08A1"/>
    <w:rsid w:val="237D10A8"/>
    <w:rsid w:val="2384541E"/>
    <w:rsid w:val="23BD2424"/>
    <w:rsid w:val="244C4E67"/>
    <w:rsid w:val="24851BA3"/>
    <w:rsid w:val="249C1869"/>
    <w:rsid w:val="24B95F7C"/>
    <w:rsid w:val="24BF3095"/>
    <w:rsid w:val="24C53ED7"/>
    <w:rsid w:val="24E05148"/>
    <w:rsid w:val="255519F4"/>
    <w:rsid w:val="25A97588"/>
    <w:rsid w:val="25BA67D7"/>
    <w:rsid w:val="25FB1DFF"/>
    <w:rsid w:val="269D07FF"/>
    <w:rsid w:val="26C221DD"/>
    <w:rsid w:val="2730494A"/>
    <w:rsid w:val="273B3A9D"/>
    <w:rsid w:val="28085399"/>
    <w:rsid w:val="282D1B4A"/>
    <w:rsid w:val="282F3AC3"/>
    <w:rsid w:val="28322BCB"/>
    <w:rsid w:val="28F34AEF"/>
    <w:rsid w:val="294F476B"/>
    <w:rsid w:val="29703B8C"/>
    <w:rsid w:val="297C0540"/>
    <w:rsid w:val="29DB1D62"/>
    <w:rsid w:val="2A201535"/>
    <w:rsid w:val="2A297180"/>
    <w:rsid w:val="2A3F3572"/>
    <w:rsid w:val="2A75233D"/>
    <w:rsid w:val="2AA04C38"/>
    <w:rsid w:val="2AAA7778"/>
    <w:rsid w:val="2AC30263"/>
    <w:rsid w:val="2ADE7216"/>
    <w:rsid w:val="2AFA42E0"/>
    <w:rsid w:val="2B1A276B"/>
    <w:rsid w:val="2BC84EB0"/>
    <w:rsid w:val="2C2A2AF5"/>
    <w:rsid w:val="2C5B55EB"/>
    <w:rsid w:val="2C835029"/>
    <w:rsid w:val="2C8963CC"/>
    <w:rsid w:val="2C9E6494"/>
    <w:rsid w:val="2CBD69E5"/>
    <w:rsid w:val="2CFF680E"/>
    <w:rsid w:val="2D305BB0"/>
    <w:rsid w:val="2D6C6948"/>
    <w:rsid w:val="2E5C08D2"/>
    <w:rsid w:val="2E632C96"/>
    <w:rsid w:val="2EE3628D"/>
    <w:rsid w:val="2F26688E"/>
    <w:rsid w:val="2F3073D5"/>
    <w:rsid w:val="2FCA7402"/>
    <w:rsid w:val="2FD16483"/>
    <w:rsid w:val="2FDB1372"/>
    <w:rsid w:val="303F61DB"/>
    <w:rsid w:val="311334B5"/>
    <w:rsid w:val="31F95792"/>
    <w:rsid w:val="32061833"/>
    <w:rsid w:val="3276143D"/>
    <w:rsid w:val="327818E8"/>
    <w:rsid w:val="32AE5DCF"/>
    <w:rsid w:val="33050E7B"/>
    <w:rsid w:val="334244E2"/>
    <w:rsid w:val="335A679E"/>
    <w:rsid w:val="344B4428"/>
    <w:rsid w:val="346C0C15"/>
    <w:rsid w:val="347240F8"/>
    <w:rsid w:val="348850E2"/>
    <w:rsid w:val="34C60CFA"/>
    <w:rsid w:val="34E37F31"/>
    <w:rsid w:val="35A15B9C"/>
    <w:rsid w:val="35F34C0B"/>
    <w:rsid w:val="35FE73D5"/>
    <w:rsid w:val="360C6F9D"/>
    <w:rsid w:val="3634376A"/>
    <w:rsid w:val="36F7098A"/>
    <w:rsid w:val="3768127B"/>
    <w:rsid w:val="376D4F96"/>
    <w:rsid w:val="37935138"/>
    <w:rsid w:val="37A52361"/>
    <w:rsid w:val="37F903E9"/>
    <w:rsid w:val="382F1BDC"/>
    <w:rsid w:val="397B11E1"/>
    <w:rsid w:val="39DA507C"/>
    <w:rsid w:val="3A3C2633"/>
    <w:rsid w:val="3A4E30B5"/>
    <w:rsid w:val="3A614714"/>
    <w:rsid w:val="3A62550E"/>
    <w:rsid w:val="3A8625FE"/>
    <w:rsid w:val="3AA80BCB"/>
    <w:rsid w:val="3AF964BC"/>
    <w:rsid w:val="3BA26CFF"/>
    <w:rsid w:val="3BF176A1"/>
    <w:rsid w:val="3BFE1B26"/>
    <w:rsid w:val="3C827688"/>
    <w:rsid w:val="3CA423D4"/>
    <w:rsid w:val="3CAC0BAC"/>
    <w:rsid w:val="3CCE4130"/>
    <w:rsid w:val="3D131458"/>
    <w:rsid w:val="3D5B544A"/>
    <w:rsid w:val="3DAE1A27"/>
    <w:rsid w:val="3DFF624B"/>
    <w:rsid w:val="3EA11583"/>
    <w:rsid w:val="3EB86C4D"/>
    <w:rsid w:val="3EE71241"/>
    <w:rsid w:val="3F8C7B34"/>
    <w:rsid w:val="3FBF03F2"/>
    <w:rsid w:val="3FCB7616"/>
    <w:rsid w:val="40340C6E"/>
    <w:rsid w:val="4071290F"/>
    <w:rsid w:val="40C679A3"/>
    <w:rsid w:val="40EA403F"/>
    <w:rsid w:val="40F37D00"/>
    <w:rsid w:val="41142048"/>
    <w:rsid w:val="41456B3D"/>
    <w:rsid w:val="417012C4"/>
    <w:rsid w:val="41B74B9A"/>
    <w:rsid w:val="41C85317"/>
    <w:rsid w:val="42211AE2"/>
    <w:rsid w:val="42430ECB"/>
    <w:rsid w:val="42592981"/>
    <w:rsid w:val="42612DAE"/>
    <w:rsid w:val="43271A24"/>
    <w:rsid w:val="44050623"/>
    <w:rsid w:val="442812AD"/>
    <w:rsid w:val="446E54D9"/>
    <w:rsid w:val="45022E3E"/>
    <w:rsid w:val="450B1E4C"/>
    <w:rsid w:val="453950E7"/>
    <w:rsid w:val="46121D1C"/>
    <w:rsid w:val="465539C0"/>
    <w:rsid w:val="466715AD"/>
    <w:rsid w:val="46917E95"/>
    <w:rsid w:val="46A6751A"/>
    <w:rsid w:val="47160BCA"/>
    <w:rsid w:val="47791A48"/>
    <w:rsid w:val="4822414E"/>
    <w:rsid w:val="485E149B"/>
    <w:rsid w:val="495A2E66"/>
    <w:rsid w:val="49904534"/>
    <w:rsid w:val="49C56223"/>
    <w:rsid w:val="49E242C8"/>
    <w:rsid w:val="49E520C8"/>
    <w:rsid w:val="4A3533D8"/>
    <w:rsid w:val="4A587230"/>
    <w:rsid w:val="4A8C69BF"/>
    <w:rsid w:val="4B54035F"/>
    <w:rsid w:val="4BA166D0"/>
    <w:rsid w:val="4BE96817"/>
    <w:rsid w:val="4BFD3E71"/>
    <w:rsid w:val="4C9D224A"/>
    <w:rsid w:val="4CD04150"/>
    <w:rsid w:val="4CD950A7"/>
    <w:rsid w:val="4D11359C"/>
    <w:rsid w:val="4D3C215D"/>
    <w:rsid w:val="4D3F03ED"/>
    <w:rsid w:val="4D4F6E80"/>
    <w:rsid w:val="4D827D61"/>
    <w:rsid w:val="4DD258D6"/>
    <w:rsid w:val="4E074269"/>
    <w:rsid w:val="4E29218C"/>
    <w:rsid w:val="4E295A47"/>
    <w:rsid w:val="4E43178B"/>
    <w:rsid w:val="4E672BF9"/>
    <w:rsid w:val="4E834E20"/>
    <w:rsid w:val="4EAC1AD8"/>
    <w:rsid w:val="4F085381"/>
    <w:rsid w:val="4F53083D"/>
    <w:rsid w:val="4FA31D3D"/>
    <w:rsid w:val="4FB4607C"/>
    <w:rsid w:val="4FB740E2"/>
    <w:rsid w:val="4FEA05F0"/>
    <w:rsid w:val="50167BCC"/>
    <w:rsid w:val="506822E1"/>
    <w:rsid w:val="50AD48BD"/>
    <w:rsid w:val="50C66AF3"/>
    <w:rsid w:val="51EC0301"/>
    <w:rsid w:val="51EF0884"/>
    <w:rsid w:val="523C4EC1"/>
    <w:rsid w:val="527F1783"/>
    <w:rsid w:val="52A62FD6"/>
    <w:rsid w:val="52AF6477"/>
    <w:rsid w:val="52DA2C1B"/>
    <w:rsid w:val="52E7249D"/>
    <w:rsid w:val="53D033A4"/>
    <w:rsid w:val="5411131C"/>
    <w:rsid w:val="54520EFE"/>
    <w:rsid w:val="545A3D13"/>
    <w:rsid w:val="54830C3B"/>
    <w:rsid w:val="54A42BE7"/>
    <w:rsid w:val="54E833E3"/>
    <w:rsid w:val="54EC1E3B"/>
    <w:rsid w:val="559159D5"/>
    <w:rsid w:val="56153131"/>
    <w:rsid w:val="56C73F99"/>
    <w:rsid w:val="56E3148E"/>
    <w:rsid w:val="57B377CE"/>
    <w:rsid w:val="57D95AE3"/>
    <w:rsid w:val="57DE4E84"/>
    <w:rsid w:val="57E61E1F"/>
    <w:rsid w:val="57F657DD"/>
    <w:rsid w:val="59137FD3"/>
    <w:rsid w:val="59175536"/>
    <w:rsid w:val="599312E4"/>
    <w:rsid w:val="59A84F9A"/>
    <w:rsid w:val="59F547B6"/>
    <w:rsid w:val="5AB06B55"/>
    <w:rsid w:val="5AEA139D"/>
    <w:rsid w:val="5B157ED8"/>
    <w:rsid w:val="5BB07CFF"/>
    <w:rsid w:val="5BDB487B"/>
    <w:rsid w:val="5C213A3F"/>
    <w:rsid w:val="5CD11D88"/>
    <w:rsid w:val="5D0D32EE"/>
    <w:rsid w:val="5D227890"/>
    <w:rsid w:val="5E04023F"/>
    <w:rsid w:val="5E477D3F"/>
    <w:rsid w:val="5E632A59"/>
    <w:rsid w:val="5EBB7FE7"/>
    <w:rsid w:val="5EBE2FEB"/>
    <w:rsid w:val="5EC650BC"/>
    <w:rsid w:val="5EE27322"/>
    <w:rsid w:val="5EFD78F1"/>
    <w:rsid w:val="5F4C67BD"/>
    <w:rsid w:val="5F617416"/>
    <w:rsid w:val="5F9A751C"/>
    <w:rsid w:val="60A610DB"/>
    <w:rsid w:val="60FB2DB8"/>
    <w:rsid w:val="610F6669"/>
    <w:rsid w:val="61467FA7"/>
    <w:rsid w:val="61824EE5"/>
    <w:rsid w:val="61915ED7"/>
    <w:rsid w:val="61BF6BF9"/>
    <w:rsid w:val="620C1550"/>
    <w:rsid w:val="6238543F"/>
    <w:rsid w:val="627B1F67"/>
    <w:rsid w:val="62B8129F"/>
    <w:rsid w:val="62C70CAC"/>
    <w:rsid w:val="6302356B"/>
    <w:rsid w:val="63336859"/>
    <w:rsid w:val="63E246E2"/>
    <w:rsid w:val="640475BE"/>
    <w:rsid w:val="64291F84"/>
    <w:rsid w:val="644C71EB"/>
    <w:rsid w:val="64797EC9"/>
    <w:rsid w:val="647A4E5A"/>
    <w:rsid w:val="64B27F8B"/>
    <w:rsid w:val="65AC3485"/>
    <w:rsid w:val="65B545CE"/>
    <w:rsid w:val="65E04EEC"/>
    <w:rsid w:val="68262975"/>
    <w:rsid w:val="682D46C8"/>
    <w:rsid w:val="684078B6"/>
    <w:rsid w:val="68B33A7C"/>
    <w:rsid w:val="693C00CB"/>
    <w:rsid w:val="69887A88"/>
    <w:rsid w:val="69987227"/>
    <w:rsid w:val="69F27E03"/>
    <w:rsid w:val="6A053470"/>
    <w:rsid w:val="6A852DF9"/>
    <w:rsid w:val="6A875E92"/>
    <w:rsid w:val="6A9526BB"/>
    <w:rsid w:val="6AC634F2"/>
    <w:rsid w:val="6AC7489D"/>
    <w:rsid w:val="6ADA0469"/>
    <w:rsid w:val="6B031749"/>
    <w:rsid w:val="6BE5719D"/>
    <w:rsid w:val="6BFB654D"/>
    <w:rsid w:val="6C3E1825"/>
    <w:rsid w:val="6D7A669C"/>
    <w:rsid w:val="6D8D1500"/>
    <w:rsid w:val="6DD14EE1"/>
    <w:rsid w:val="6E055508"/>
    <w:rsid w:val="6E4D4FB1"/>
    <w:rsid w:val="6EE33960"/>
    <w:rsid w:val="6EE45DC1"/>
    <w:rsid w:val="6EF41344"/>
    <w:rsid w:val="6F0B798A"/>
    <w:rsid w:val="6F295D12"/>
    <w:rsid w:val="6F9E308E"/>
    <w:rsid w:val="70730A97"/>
    <w:rsid w:val="70936721"/>
    <w:rsid w:val="70D37D3C"/>
    <w:rsid w:val="712174F0"/>
    <w:rsid w:val="721C7863"/>
    <w:rsid w:val="723A6817"/>
    <w:rsid w:val="725F1474"/>
    <w:rsid w:val="726F29FA"/>
    <w:rsid w:val="7285116B"/>
    <w:rsid w:val="72BA4A1A"/>
    <w:rsid w:val="72D338A0"/>
    <w:rsid w:val="72F66406"/>
    <w:rsid w:val="73163814"/>
    <w:rsid w:val="73B80865"/>
    <w:rsid w:val="73E9398C"/>
    <w:rsid w:val="741F2653"/>
    <w:rsid w:val="7468290F"/>
    <w:rsid w:val="757B7CE4"/>
    <w:rsid w:val="758F2D08"/>
    <w:rsid w:val="75A403DC"/>
    <w:rsid w:val="76236746"/>
    <w:rsid w:val="763508A3"/>
    <w:rsid w:val="76562678"/>
    <w:rsid w:val="765C34B5"/>
    <w:rsid w:val="768F64E8"/>
    <w:rsid w:val="76BE4238"/>
    <w:rsid w:val="76D4120F"/>
    <w:rsid w:val="77416786"/>
    <w:rsid w:val="77E011E2"/>
    <w:rsid w:val="77FC4113"/>
    <w:rsid w:val="78105AA2"/>
    <w:rsid w:val="781149A0"/>
    <w:rsid w:val="78B775B6"/>
    <w:rsid w:val="79464C25"/>
    <w:rsid w:val="7A832F4B"/>
    <w:rsid w:val="7A9568D8"/>
    <w:rsid w:val="7B295387"/>
    <w:rsid w:val="7B44357F"/>
    <w:rsid w:val="7BB2023F"/>
    <w:rsid w:val="7C7C40B9"/>
    <w:rsid w:val="7E1828E2"/>
    <w:rsid w:val="7EDF3F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pBdr>
        <w:bottom w:val="single" w:color="DCDCDC" w:sz="12" w:space="15"/>
      </w:pBdr>
      <w:spacing w:before="100" w:beforeLines="0" w:beforeAutospacing="1" w:after="100" w:afterLines="0" w:afterAutospacing="1"/>
      <w:jc w:val="center"/>
      <w:outlineLvl w:val="1"/>
    </w:pPr>
    <w:rPr>
      <w:rFonts w:hint="eastAsia" w:ascii="宋体" w:hAnsi="宋体"/>
      <w:b/>
      <w:kern w:val="0"/>
      <w:sz w:val="37"/>
      <w:szCs w:val="37"/>
    </w:rPr>
  </w:style>
  <w:style w:type="character" w:default="1" w:styleId="10">
    <w:name w:val="Default Paragraph Font"/>
    <w:link w:val="11"/>
    <w:semiHidden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Body Text"/>
    <w:basedOn w:val="1"/>
    <w:uiPriority w:val="0"/>
    <w:pPr>
      <w:spacing w:after="120"/>
    </w:pPr>
  </w:style>
  <w:style w:type="paragraph" w:styleId="5">
    <w:name w:val="Plain Text"/>
    <w:basedOn w:val="1"/>
    <w:next w:val="1"/>
    <w:qFormat/>
    <w:uiPriority w:val="0"/>
    <w:rPr>
      <w:rFonts w:ascii="宋体" w:hAnsi="Courier New" w:cs="Courier New"/>
      <w:szCs w:val="21"/>
    </w:r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 Char1"/>
    <w:basedOn w:val="1"/>
    <w:link w:val="10"/>
    <w:qFormat/>
    <w:uiPriority w:val="0"/>
    <w:rPr>
      <w:rFonts w:ascii="Tahoma" w:hAnsi="Tahoma"/>
      <w:spacing w:val="-24"/>
      <w:sz w:val="24"/>
      <w:szCs w:val="21"/>
    </w:rPr>
  </w:style>
  <w:style w:type="character" w:styleId="12">
    <w:name w:val="page number"/>
    <w:basedOn w:val="10"/>
    <w:qFormat/>
    <w:uiPriority w:val="0"/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5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FangSong_GB2312" w:hAnsi="FangSong_GB2312" w:eastAsia="FangSong_GB2312" w:cs="Times New Roman"/>
      <w:color w:val="000000"/>
      <w:sz w:val="24"/>
    </w:rPr>
  </w:style>
  <w:style w:type="paragraph" w:customStyle="1" w:styleId="16">
    <w:name w:val="普通文字"/>
    <w:basedOn w:val="1"/>
    <w:next w:val="1"/>
    <w:qFormat/>
    <w:uiPriority w:val="0"/>
    <w:pPr>
      <w:widowControl/>
    </w:pPr>
    <w:rPr>
      <w:rFonts w:ascii="宋体"/>
      <w:color w:val="000000"/>
      <w:szCs w:val="20"/>
    </w:rPr>
  </w:style>
  <w:style w:type="paragraph" w:customStyle="1" w:styleId="17">
    <w:name w:val="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694</Words>
  <Characters>3960</Characters>
  <Lines>33</Lines>
  <Paragraphs>9</Paragraphs>
  <TotalTime>35</TotalTime>
  <ScaleCrop>false</ScaleCrop>
  <LinksUpToDate>false</LinksUpToDate>
  <CharactersWithSpaces>4645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2010-12-15T01:16:00Z</dcterms:created>
  <dc:creator>abc</dc:creator>
  <cp:lastModifiedBy>Administrator</cp:lastModifiedBy>
  <cp:lastPrinted>2024-05-20T08:09:00Z</cp:lastPrinted>
  <dcterms:modified xsi:type="dcterms:W3CDTF">2024-05-21T09:25:16Z</dcterms:modified>
  <dc:title>石景山区政府关于落实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1EAD2116F0234FF1B5D7766B99E7BBBD_13</vt:lpwstr>
  </property>
</Properties>
</file>