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ind w:firstLine="480"/>
        <w:rPr>
          <w:rFonts w:ascii="仿宋" w:hAnsi="仿宋" w:eastAsia="仿宋"/>
        </w:rPr>
      </w:pPr>
    </w:p>
    <w:p>
      <w:pPr>
        <w:ind w:firstLine="480"/>
        <w:rPr>
          <w:rFonts w:ascii="仿宋" w:hAnsi="仿宋" w:eastAsia="仿宋"/>
        </w:rPr>
      </w:pPr>
    </w:p>
    <w:p>
      <w:pPr>
        <w:spacing w:line="720" w:lineRule="exact"/>
        <w:jc w:val="center"/>
        <w:rPr>
          <w:rFonts w:ascii="仿宋" w:hAnsi="仿宋" w:eastAsia="仿宋"/>
          <w:b/>
          <w:bCs/>
          <w:sz w:val="44"/>
          <w:szCs w:val="44"/>
        </w:rPr>
      </w:pPr>
      <w:bookmarkStart w:id="0" w:name="_Hlk164027646"/>
      <w:r>
        <w:rPr>
          <w:rFonts w:ascii="仿宋" w:hAnsi="仿宋" w:eastAsia="仿宋"/>
          <w:b/>
          <w:bCs/>
          <w:sz w:val="44"/>
          <w:szCs w:val="44"/>
        </w:rPr>
        <w:t>北京市</w:t>
      </w:r>
      <w:r>
        <w:rPr>
          <w:rFonts w:hint="eastAsia" w:ascii="仿宋" w:hAnsi="仿宋" w:eastAsia="仿宋"/>
          <w:b/>
          <w:bCs/>
          <w:sz w:val="44"/>
          <w:szCs w:val="44"/>
        </w:rPr>
        <w:t>顺义</w:t>
      </w:r>
      <w:r>
        <w:rPr>
          <w:rFonts w:ascii="仿宋" w:hAnsi="仿宋" w:eastAsia="仿宋"/>
          <w:b/>
          <w:bCs/>
          <w:sz w:val="44"/>
          <w:szCs w:val="44"/>
        </w:rPr>
        <w:t>区生态文明建设规划</w:t>
      </w:r>
    </w:p>
    <w:p>
      <w:pPr>
        <w:spacing w:line="720" w:lineRule="exact"/>
        <w:jc w:val="center"/>
        <w:rPr>
          <w:rFonts w:ascii="仿宋" w:hAnsi="仿宋" w:eastAsia="仿宋"/>
          <w:b/>
          <w:bCs/>
          <w:sz w:val="44"/>
          <w:szCs w:val="44"/>
        </w:rPr>
      </w:pPr>
      <w:r>
        <w:rPr>
          <w:rFonts w:ascii="仿宋" w:hAnsi="仿宋" w:eastAsia="仿宋"/>
          <w:b/>
          <w:bCs/>
          <w:sz w:val="44"/>
          <w:szCs w:val="44"/>
        </w:rPr>
        <w:t>（2023-2035年）</w:t>
      </w:r>
    </w:p>
    <w:p>
      <w:pPr>
        <w:spacing w:line="72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bookmarkStart w:id="180" w:name="_GoBack"/>
      <w:bookmarkEnd w:id="180"/>
      <w:r>
        <w:rPr>
          <w:rFonts w:hint="eastAsia" w:ascii="仿宋_GB2312" w:hAnsi="仿宋_GB2312" w:eastAsia="仿宋_GB2312" w:cs="仿宋_GB2312"/>
          <w:sz w:val="32"/>
          <w:szCs w:val="32"/>
          <w:lang w:eastAsia="zh-CN"/>
        </w:rPr>
        <w:t>稿</w:t>
      </w:r>
      <w:r>
        <w:rPr>
          <w:rFonts w:hint="eastAsia" w:ascii="仿宋_GB2312" w:hAnsi="仿宋_GB2312" w:eastAsia="仿宋_GB2312" w:cs="仿宋_GB2312"/>
          <w:sz w:val="32"/>
          <w:szCs w:val="32"/>
        </w:rPr>
        <w:t>）</w:t>
      </w:r>
      <w:bookmarkEnd w:id="0"/>
    </w:p>
    <w:p>
      <w:pPr>
        <w:jc w:val="center"/>
        <w:rPr>
          <w:rFonts w:hint="eastAsia" w:ascii="仿宋_GB2312" w:hAnsi="仿宋_GB2312" w:eastAsia="仿宋_GB2312" w:cs="仿宋_GB2312"/>
          <w:sz w:val="32"/>
          <w:szCs w:val="32"/>
        </w:rPr>
      </w:pPr>
    </w:p>
    <w:p>
      <w:pPr>
        <w:jc w:val="center"/>
        <w:rPr>
          <w:rFonts w:ascii="仿宋" w:hAnsi="仿宋" w:eastAsia="仿宋"/>
          <w:sz w:val="32"/>
          <w:szCs w:val="32"/>
        </w:rPr>
      </w:pPr>
      <w:r>
        <w:rPr>
          <w:rFonts w:hint="eastAsia" w:ascii="仿宋" w:hAnsi="仿宋" w:eastAsia="仿宋"/>
        </w:rPr>
        <w:drawing>
          <wp:inline distT="0" distB="0" distL="114300" distR="114300">
            <wp:extent cx="5266690" cy="4997450"/>
            <wp:effectExtent l="0" t="0" r="10160" b="12700"/>
            <wp:docPr id="1" name="图片 1" descr="41cb10079033ab752a85ff90c4e2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b10079033ab752a85ff90c4e2d8a"/>
                    <pic:cNvPicPr>
                      <a:picLocks noChangeAspect="1"/>
                    </pic:cNvPicPr>
                  </pic:nvPicPr>
                  <pic:blipFill>
                    <a:blip r:embed="rId14"/>
                    <a:stretch>
                      <a:fillRect/>
                    </a:stretch>
                  </pic:blipFill>
                  <pic:spPr>
                    <a:xfrm>
                      <a:off x="0" y="0"/>
                      <a:ext cx="5266690" cy="4997450"/>
                    </a:xfrm>
                    <a:prstGeom prst="rect">
                      <a:avLst/>
                    </a:prstGeom>
                  </pic:spPr>
                </pic:pic>
              </a:graphicData>
            </a:graphic>
          </wp:inline>
        </w:drawing>
      </w:r>
    </w:p>
    <w:p>
      <w:pPr>
        <w:jc w:val="center"/>
        <w:rPr>
          <w:rFonts w:ascii="黑体" w:hAnsi="黑体" w:eastAsia="黑体" w:cs="黑体"/>
          <w:sz w:val="32"/>
          <w:szCs w:val="32"/>
        </w:rPr>
      </w:pPr>
      <w:r>
        <w:rPr>
          <w:rFonts w:hint="eastAsia" w:ascii="黑体" w:hAnsi="黑体" w:eastAsia="黑体" w:cs="黑体"/>
          <w:sz w:val="32"/>
          <w:szCs w:val="32"/>
        </w:rPr>
        <w:t>北京市顺义区人民政府</w:t>
      </w: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134" w:left="1797" w:header="851" w:footer="992" w:gutter="0"/>
          <w:cols w:space="425" w:num="1"/>
          <w:docGrid w:type="lines" w:linePitch="381" w:charSpace="0"/>
        </w:sectPr>
      </w:pPr>
      <w:r>
        <w:rPr>
          <w:rFonts w:hint="eastAsia" w:ascii="黑体" w:hAnsi="黑体" w:eastAsia="黑体" w:cs="黑体"/>
          <w:sz w:val="32"/>
          <w:szCs w:val="32"/>
        </w:rPr>
        <w:t>2024年4月</w:t>
      </w:r>
    </w:p>
    <w:p>
      <w:pPr>
        <w:pStyle w:val="2"/>
        <w:spacing w:before="0" w:after="0" w:line="560" w:lineRule="exact"/>
        <w:ind w:left="0" w:leftChars="0" w:right="0" w:rightChars="0"/>
        <w:rPr>
          <w:b w:val="0"/>
          <w:bCs w:val="0"/>
          <w:sz w:val="44"/>
        </w:rPr>
      </w:pPr>
      <w:bookmarkStart w:id="1" w:name="_Toc160463540"/>
      <w:bookmarkStart w:id="2" w:name="_Toc153928576"/>
      <w:bookmarkStart w:id="3" w:name="_Toc155108667"/>
      <w:bookmarkStart w:id="4" w:name="_Toc153755503"/>
      <w:bookmarkStart w:id="5" w:name="_Toc153756959"/>
      <w:bookmarkStart w:id="6" w:name="_Toc153747287"/>
      <w:bookmarkStart w:id="7" w:name="_Toc136794662"/>
      <w:bookmarkStart w:id="8" w:name="_Toc153757039"/>
      <w:bookmarkStart w:id="9" w:name="_Toc156307591"/>
      <w:bookmarkStart w:id="10" w:name="_Toc153055297"/>
      <w:bookmarkStart w:id="11" w:name="_Toc156573298"/>
      <w:r>
        <w:rPr>
          <w:b w:val="0"/>
          <w:bCs w:val="0"/>
          <w:sz w:val="44"/>
        </w:rPr>
        <w:t>前  言</w:t>
      </w:r>
      <w:bookmarkEnd w:id="1"/>
      <w:bookmarkEnd w:id="2"/>
      <w:bookmarkEnd w:id="3"/>
      <w:bookmarkEnd w:id="4"/>
      <w:bookmarkEnd w:id="5"/>
      <w:bookmarkEnd w:id="6"/>
      <w:bookmarkEnd w:id="7"/>
      <w:bookmarkEnd w:id="8"/>
      <w:bookmarkEnd w:id="9"/>
      <w:bookmarkEnd w:id="10"/>
      <w:bookmarkEnd w:id="11"/>
    </w:p>
    <w:p>
      <w:pPr>
        <w:spacing w:after="114" w:line="560" w:lineRule="exact"/>
        <w:ind w:firstLine="560"/>
        <w:rPr>
          <w:rFonts w:ascii="仿宋_GB2312" w:hAnsi="仿宋_GB2312" w:eastAsia="仿宋_GB2312" w:cs="仿宋_GB2312"/>
          <w:sz w:val="32"/>
          <w:szCs w:val="32"/>
        </w:rPr>
      </w:pPr>
      <w:bookmarkStart w:id="12" w:name="_Hlk160455835"/>
      <w:r>
        <w:rPr>
          <w:rFonts w:hint="eastAsia" w:ascii="仿宋_GB2312" w:hAnsi="仿宋_GB2312" w:eastAsia="仿宋_GB2312" w:cs="仿宋_GB2312"/>
          <w:sz w:val="32"/>
          <w:szCs w:val="32"/>
        </w:rPr>
        <w:t>党的十八大以来，生态文明建设成为关系中华民族永续发展的根本大计，习近平总书记围绕生态文明建设作出一系列重要论断，形成了习近平生态文明思想。</w:t>
      </w:r>
      <w:r>
        <w:rPr>
          <w:rFonts w:ascii="仿宋_GB2312" w:hAnsi="仿宋_GB2312" w:eastAsia="仿宋_GB2312" w:cs="仿宋_GB2312"/>
          <w:sz w:val="32"/>
          <w:szCs w:val="32"/>
        </w:rPr>
        <w:t>习近平生态文明思想是习近平新时代中国特色社会主义思想的重要组成部分，是以习近平同志为核心的党中央治国理政实践创新和理论创新在生态文明建设领域的集中体现，为新时代</w:t>
      </w:r>
      <w:r>
        <w:rPr>
          <w:rFonts w:hint="eastAsia" w:ascii="仿宋_GB2312" w:hAnsi="仿宋_GB2312" w:eastAsia="仿宋_GB2312" w:cs="仿宋_GB2312"/>
          <w:sz w:val="32"/>
          <w:szCs w:val="32"/>
        </w:rPr>
        <w:t>顺义区</w:t>
      </w:r>
      <w:r>
        <w:rPr>
          <w:rFonts w:ascii="仿宋_GB2312" w:hAnsi="仿宋_GB2312" w:eastAsia="仿宋_GB2312" w:cs="仿宋_GB2312"/>
          <w:sz w:val="32"/>
          <w:szCs w:val="32"/>
        </w:rPr>
        <w:t>生态文明建设</w:t>
      </w:r>
      <w:r>
        <w:rPr>
          <w:rFonts w:hint="eastAsia" w:ascii="仿宋_GB2312" w:hAnsi="仿宋_GB2312" w:eastAsia="仿宋_GB2312" w:cs="仿宋_GB2312"/>
          <w:sz w:val="32"/>
          <w:szCs w:val="32"/>
        </w:rPr>
        <w:t>提供了</w:t>
      </w:r>
      <w:r>
        <w:rPr>
          <w:rFonts w:ascii="仿宋_GB2312" w:hAnsi="仿宋_GB2312" w:eastAsia="仿宋_GB2312" w:cs="仿宋_GB2312"/>
          <w:sz w:val="32"/>
          <w:szCs w:val="32"/>
        </w:rPr>
        <w:t>根本遵循和行动指南</w:t>
      </w:r>
      <w:r>
        <w:rPr>
          <w:rFonts w:hint="eastAsia" w:ascii="仿宋_GB2312" w:hAnsi="仿宋_GB2312" w:eastAsia="仿宋_GB2312" w:cs="仿宋_GB2312"/>
          <w:sz w:val="32"/>
          <w:szCs w:val="32"/>
        </w:rPr>
        <w:t>。</w:t>
      </w:r>
    </w:p>
    <w:p>
      <w:pPr>
        <w:spacing w:after="114"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党的二十大报告指出，“中国式现代化是人与自然和谐共生的现代化”，明确了我国新时代生态文明建设的战略任务。习近平总书记在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全国生态环境保护大会上强调，继续推进生态文明建设，必须以新时代中国特色社会主义生态文明思想为指导，正确处理高质量发展和高水平保护、重点攻坚和协同治理、自然恢复和人工修复、外部约束和内生动力、“双碳”承诺和自主行动这五个重大关系。这一重要论述，既是习近平新时代中国特色社会主义思想的世界观和方法论在生态文明建设领域的鲜活运用，又是对习近平生态文明思想的最新阐释和发展；既是对党的十八大以来我国生态文明建设取得显著成效的经验总结，也为新征程继续推进生态文明建设提供了科学指引。</w:t>
      </w:r>
    </w:p>
    <w:p>
      <w:pPr>
        <w:spacing w:after="114" w:line="560" w:lineRule="exact"/>
        <w:ind w:firstLine="560"/>
        <w:rPr>
          <w:rFonts w:ascii="仿宋_GB2312" w:hAnsi="仿宋_GB2312" w:eastAsia="仿宋_GB2312" w:cs="仿宋_GB2312"/>
          <w:sz w:val="32"/>
          <w:szCs w:val="32"/>
        </w:rPr>
      </w:pPr>
      <w:r>
        <w:rPr>
          <w:rFonts w:ascii="仿宋_GB2312" w:hAnsi="仿宋_GB2312" w:eastAsia="仿宋_GB2312" w:cs="仿宋_GB2312"/>
          <w:sz w:val="32"/>
          <w:szCs w:val="32"/>
        </w:rPr>
        <w:t>2023年是全面贯彻落实党的二十大精神的开局之年，</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是“十四五”承上启下的关键之年，</w:t>
      </w:r>
      <w:r>
        <w:rPr>
          <w:rFonts w:hint="eastAsia" w:ascii="仿宋_GB2312" w:hAnsi="仿宋_GB2312" w:eastAsia="仿宋_GB2312" w:cs="仿宋_GB2312"/>
          <w:sz w:val="32"/>
          <w:szCs w:val="32"/>
        </w:rPr>
        <w:t>同时今后</w:t>
      </w:r>
      <w:r>
        <w:rPr>
          <w:rFonts w:ascii="仿宋_GB2312" w:hAnsi="仿宋_GB2312" w:eastAsia="仿宋_GB2312" w:cs="仿宋_GB2312"/>
          <w:sz w:val="32"/>
          <w:szCs w:val="32"/>
        </w:rPr>
        <w:t>5年是美丽中国建设的重要时期，</w:t>
      </w:r>
      <w:r>
        <w:rPr>
          <w:rFonts w:hint="eastAsia" w:ascii="仿宋_GB2312" w:hAnsi="仿宋_GB2312" w:eastAsia="仿宋_GB2312" w:cs="仿宋_GB2312"/>
          <w:sz w:val="32"/>
          <w:szCs w:val="32"/>
        </w:rPr>
        <w:t>顺义区</w:t>
      </w:r>
      <w:r>
        <w:rPr>
          <w:rFonts w:ascii="仿宋_GB2312" w:hAnsi="仿宋_GB2312" w:eastAsia="仿宋_GB2312" w:cs="仿宋_GB2312"/>
          <w:sz w:val="32"/>
          <w:szCs w:val="32"/>
        </w:rPr>
        <w:t>要深入贯彻新时代中国特色社会主义生态文明思想，坚持以人民为中心，牢固树立和践行绿水青山就是金山银山的理念，把</w:t>
      </w:r>
      <w:r>
        <w:rPr>
          <w:rFonts w:hint="eastAsia" w:ascii="仿宋_GB2312" w:hAnsi="仿宋_GB2312" w:eastAsia="仿宋_GB2312" w:cs="仿宋_GB2312"/>
          <w:sz w:val="32"/>
          <w:szCs w:val="32"/>
        </w:rPr>
        <w:t>推进生态文明建设和</w:t>
      </w:r>
      <w:r>
        <w:rPr>
          <w:rFonts w:ascii="仿宋_GB2312" w:hAnsi="仿宋_GB2312" w:eastAsia="仿宋_GB2312" w:cs="仿宋_GB2312"/>
          <w:sz w:val="32"/>
          <w:szCs w:val="32"/>
        </w:rPr>
        <w:t>建设美丽</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摆在突出位置，</w:t>
      </w:r>
      <w:r>
        <w:rPr>
          <w:rFonts w:hint="eastAsia" w:ascii="仿宋_GB2312" w:hAnsi="仿宋_GB2312" w:eastAsia="仿宋_GB2312" w:cs="仿宋_GB2312"/>
          <w:sz w:val="32"/>
          <w:szCs w:val="32"/>
        </w:rPr>
        <w:t>立足首都社会主义现代化平原新城的功能定位，聚焦港城融合的国际航空中心核心区、创新引领的区域经济提升发展先行区、城乡协调的首都和谐宜居示范区建设，</w:t>
      </w:r>
      <w:r>
        <w:rPr>
          <w:rFonts w:ascii="仿宋_GB2312" w:hAnsi="仿宋_GB2312" w:eastAsia="仿宋_GB2312" w:cs="仿宋_GB2312"/>
          <w:sz w:val="32"/>
          <w:szCs w:val="32"/>
        </w:rPr>
        <w:t>以高品质生态环境支撑高质量发展</w:t>
      </w:r>
      <w:r>
        <w:rPr>
          <w:rFonts w:hint="eastAsia" w:ascii="仿宋_GB2312" w:hAnsi="仿宋_GB2312" w:eastAsia="仿宋_GB2312" w:cs="仿宋_GB2312"/>
          <w:sz w:val="32"/>
          <w:szCs w:val="32"/>
        </w:rPr>
        <w:t>，扎实推进创新引领产业升级、争当开放示范样本、宜居宜业美丽顺义建设</w:t>
      </w:r>
      <w:r>
        <w:rPr>
          <w:rFonts w:ascii="仿宋_GB2312" w:hAnsi="仿宋_GB2312" w:eastAsia="仿宋_GB2312" w:cs="仿宋_GB2312"/>
          <w:sz w:val="32"/>
          <w:szCs w:val="32"/>
        </w:rPr>
        <w:t>，加快推进人与自然和谐共生的现代化</w:t>
      </w:r>
      <w:r>
        <w:rPr>
          <w:rFonts w:hint="eastAsia" w:ascii="仿宋_GB2312" w:hAnsi="仿宋_GB2312" w:eastAsia="仿宋_GB2312" w:cs="仿宋_GB2312"/>
          <w:sz w:val="32"/>
          <w:szCs w:val="32"/>
        </w:rPr>
        <w:t>。</w:t>
      </w:r>
    </w:p>
    <w:p>
      <w:pPr>
        <w:spacing w:after="114" w:line="560" w:lineRule="exact"/>
        <w:ind w:firstLine="560"/>
        <w:rPr>
          <w:rFonts w:ascii="仿宋" w:hAnsi="仿宋" w:eastAsia="仿宋"/>
          <w:sz w:val="30"/>
          <w:szCs w:val="30"/>
        </w:rPr>
      </w:pPr>
      <w:r>
        <w:rPr>
          <w:rFonts w:hint="eastAsia" w:ascii="仿宋_GB2312" w:hAnsi="仿宋_GB2312" w:eastAsia="仿宋_GB2312" w:cs="仿宋_GB2312"/>
          <w:sz w:val="32"/>
          <w:szCs w:val="32"/>
        </w:rPr>
        <w:t>为了</w:t>
      </w:r>
      <w:r>
        <w:rPr>
          <w:rFonts w:ascii="仿宋_GB2312" w:hAnsi="仿宋_GB2312" w:eastAsia="仿宋_GB2312" w:cs="仿宋_GB2312"/>
          <w:sz w:val="32"/>
          <w:szCs w:val="32"/>
        </w:rPr>
        <w:t>深入贯彻习近平生态文明思想，</w:t>
      </w:r>
      <w:r>
        <w:rPr>
          <w:rFonts w:hint="eastAsia" w:ascii="仿宋_GB2312" w:hAnsi="仿宋_GB2312" w:eastAsia="仿宋_GB2312" w:cs="仿宋_GB2312"/>
          <w:sz w:val="32"/>
          <w:szCs w:val="32"/>
        </w:rPr>
        <w:t>全面统筹“五位一体”总体布局，推进人与自然和谐共生美丽顺义建设，</w:t>
      </w: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《关于印发</w:t>
      </w:r>
      <w:r>
        <w:rPr>
          <w:rFonts w:ascii="仿宋_GB2312" w:hAnsi="仿宋_GB2312" w:eastAsia="仿宋_GB2312" w:cs="仿宋_GB2312"/>
          <w:sz w:val="32"/>
          <w:szCs w:val="32"/>
        </w:rPr>
        <w:t>&lt;生态文明建设示范区（市）建设指标&gt;&lt;生态文明建设示范区（县）建设指标&gt;&lt;生态文明建设示范区管理规程&gt;&lt;“绿水青山就是金山银山”实践创新基地建设管理规程&gt;的通知》（环办生态〔2024〕4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《北京城市总体规划（2016年-2035年）》《</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分区规划（国土空间规划）（2017年-2035年）》《中共北京市</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区委关于制定国民经济和社会发展第十四个五年规划和二〇三五年远景目标的建议》等，</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区组织编制了《</w:t>
      </w:r>
      <w:r>
        <w:rPr>
          <w:rFonts w:hint="eastAsia" w:ascii="仿宋_GB2312" w:hAnsi="仿宋_GB2312" w:eastAsia="仿宋_GB2312" w:cs="仿宋_GB2312"/>
          <w:sz w:val="32"/>
          <w:szCs w:val="32"/>
        </w:rPr>
        <w:t>北京市顺义区生态文明建设规划（</w:t>
      </w:r>
      <w:r>
        <w:rPr>
          <w:rFonts w:ascii="仿宋_GB2312" w:hAnsi="仿宋_GB2312" w:eastAsia="仿宋_GB2312" w:cs="仿宋_GB2312"/>
          <w:sz w:val="32"/>
          <w:szCs w:val="32"/>
        </w:rPr>
        <w:t>2023-2035年）》（以下简称《规划》）。</w:t>
      </w:r>
      <w:bookmarkStart w:id="13" w:name="_Hlk160481285"/>
      <w:r>
        <w:rPr>
          <w:rFonts w:ascii="仿宋_GB2312" w:hAnsi="仿宋_GB2312" w:eastAsia="仿宋_GB2312" w:cs="仿宋_GB2312"/>
          <w:sz w:val="32"/>
          <w:szCs w:val="32"/>
        </w:rPr>
        <w:t>《规划》是</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新时期</w:t>
      </w:r>
      <w:r>
        <w:rPr>
          <w:rFonts w:ascii="仿宋_GB2312" w:hAnsi="仿宋_GB2312" w:eastAsia="仿宋_GB2312" w:cs="仿宋_GB2312"/>
          <w:sz w:val="32"/>
          <w:szCs w:val="32"/>
        </w:rPr>
        <w:t>推进生态文明建设工作的纲领性文件</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全面贯彻落实</w:t>
      </w:r>
      <w:r>
        <w:rPr>
          <w:rFonts w:hint="eastAsia" w:ascii="仿宋_GB2312" w:hAnsi="仿宋_GB2312" w:eastAsia="仿宋_GB2312" w:cs="仿宋_GB2312"/>
          <w:sz w:val="32"/>
          <w:szCs w:val="32"/>
        </w:rPr>
        <w:t>党中央、国务院关于生态文明建设战略决策以及北京市委市政府有关重要部署的行动方案，对平原新城</w:t>
      </w:r>
      <w:r>
        <w:rPr>
          <w:rFonts w:ascii="仿宋_GB2312" w:hAnsi="仿宋_GB2312" w:eastAsia="仿宋_GB2312" w:cs="仿宋_GB2312"/>
          <w:sz w:val="32"/>
          <w:szCs w:val="32"/>
        </w:rPr>
        <w:t>实现人与自然和谐共生的现代化发挥生态文明示范引领作用</w:t>
      </w:r>
      <w:r>
        <w:rPr>
          <w:rFonts w:hint="eastAsia" w:ascii="仿宋_GB2312" w:hAnsi="仿宋_GB2312" w:eastAsia="仿宋_GB2312" w:cs="仿宋_GB2312"/>
          <w:sz w:val="32"/>
          <w:szCs w:val="32"/>
        </w:rPr>
        <w:t>具有重要意义。</w:t>
      </w:r>
      <w:bookmarkEnd w:id="13"/>
    </w:p>
    <w:p>
      <w:pPr>
        <w:spacing w:after="114" w:line="560" w:lineRule="exact"/>
        <w:ind w:firstLine="560"/>
        <w:rPr>
          <w:rFonts w:ascii="仿宋" w:hAnsi="仿宋" w:eastAsia="仿宋"/>
          <w:sz w:val="30"/>
          <w:szCs w:val="30"/>
        </w:rPr>
        <w:sectPr>
          <w:pgSz w:w="11906" w:h="16838"/>
          <w:pgMar w:top="1440" w:right="1800" w:bottom="1440" w:left="1800" w:header="851" w:footer="992" w:gutter="0"/>
          <w:cols w:space="425" w:num="1"/>
          <w:docGrid w:type="lines" w:linePitch="312" w:charSpace="0"/>
        </w:sectPr>
      </w:pPr>
    </w:p>
    <w:bookmarkEnd w:id="12"/>
    <w:sdt>
      <w:sdtPr>
        <w:rPr>
          <w:rFonts w:ascii="宋体" w:hAnsi="宋体" w:eastAsia="宋体"/>
        </w:rPr>
        <w:id w:val="-1000338746"/>
        <w:docPartObj>
          <w:docPartGallery w:val="Table of Contents"/>
          <w:docPartUnique/>
        </w:docPartObj>
      </w:sdtPr>
      <w:sdtEndPr>
        <w:rPr>
          <w:rFonts w:ascii="宋体" w:hAnsi="宋体" w:eastAsia="宋体"/>
          <w:b/>
          <w:bCs/>
          <w:sz w:val="20"/>
          <w:szCs w:val="20"/>
        </w:rPr>
      </w:sdtEndPr>
      <w:sdtContent>
        <w:p>
          <w:pPr>
            <w:spacing w:line="520" w:lineRule="exact"/>
            <w:jc w:val="center"/>
            <w:rPr>
              <w:sz w:val="32"/>
              <w:szCs w:val="32"/>
            </w:rPr>
          </w:pPr>
          <w:bookmarkStart w:id="14" w:name="_Toc17995_WPSOffice_Type2"/>
          <w:r>
            <w:rPr>
              <w:rFonts w:ascii="Calibri" w:hAnsi="Calibri" w:eastAsia="方正小标宋简体" w:cs="Times New Roman"/>
              <w:b/>
              <w:bCs/>
              <w:kern w:val="44"/>
              <w:sz w:val="36"/>
              <w:szCs w:val="44"/>
              <w:lang w:val="zh-CN"/>
            </w:rPr>
            <w:t>目</w:t>
          </w:r>
          <w:r>
            <w:rPr>
              <w:rFonts w:hint="eastAsia" w:ascii="Calibri" w:hAnsi="Calibri" w:eastAsia="方正小标宋简体" w:cs="Times New Roman"/>
              <w:b/>
              <w:bCs/>
              <w:kern w:val="44"/>
              <w:sz w:val="36"/>
              <w:szCs w:val="44"/>
            </w:rPr>
            <w:t xml:space="preserve">    </w:t>
          </w:r>
          <w:r>
            <w:rPr>
              <w:rFonts w:ascii="Calibri" w:hAnsi="Calibri" w:eastAsia="方正小标宋简体" w:cs="Times New Roman"/>
              <w:b/>
              <w:bCs/>
              <w:kern w:val="44"/>
              <w:sz w:val="36"/>
              <w:szCs w:val="44"/>
              <w:lang w:val="zh-CN"/>
            </w:rPr>
            <w:t>录</w:t>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_Toc8080_WPSOffice_Level1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47475961"/>
              <w:placeholder>
                <w:docPart w:val="{ecdde318-b575-4dfa-bd2b-9c9b1a962712}"/>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 xml:space="preserve">第一章 </w:t>
              </w:r>
              <w:r>
                <w:rPr>
                  <w:rFonts w:hint="eastAsia" w:ascii="Calibri" w:hAnsi="Calibri" w:eastAsia="方正小标宋简体"/>
                  <w:sz w:val="32"/>
                  <w:szCs w:val="32"/>
                </w:rPr>
                <w:t>建设</w:t>
              </w:r>
              <w:r>
                <w:rPr>
                  <w:rFonts w:ascii="Calibri" w:hAnsi="Calibri" w:eastAsia="方正小标宋简体"/>
                  <w:sz w:val="32"/>
                  <w:szCs w:val="32"/>
                </w:rPr>
                <w:t>基础与形势分析</w:t>
              </w:r>
            </w:sdtContent>
          </w:sdt>
          <w:r>
            <w:rPr>
              <w:sz w:val="32"/>
              <w:szCs w:val="32"/>
            </w:rPr>
            <w:tab/>
          </w:r>
          <w:bookmarkStart w:id="15" w:name="_Toc8080_WPSOffice_Level1Page"/>
          <w:r>
            <w:rPr>
              <w:sz w:val="32"/>
              <w:szCs w:val="32"/>
            </w:rPr>
            <w:t>1</w:t>
          </w:r>
          <w:bookmarkEnd w:id="15"/>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_Toc17995_WPSOffice_Level2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779310156"/>
              <w:placeholder>
                <w:docPart w:val="{bd84eb47-8f3c-4675-ab42-4275a6b8010b}"/>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生态文明建设基础</w:t>
              </w:r>
            </w:sdtContent>
          </w:sdt>
          <w:r>
            <w:rPr>
              <w:sz w:val="32"/>
              <w:szCs w:val="32"/>
            </w:rPr>
            <w:tab/>
          </w:r>
          <w:bookmarkStart w:id="16" w:name="_Toc17995_WPSOffice_Level2Page"/>
          <w:r>
            <w:rPr>
              <w:sz w:val="32"/>
              <w:szCs w:val="32"/>
            </w:rPr>
            <w:t>1</w:t>
          </w:r>
          <w:bookmarkEnd w:id="16"/>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_Toc15187_WPSOffice_Level2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410230075"/>
              <w:placeholder>
                <w:docPart w:val="{50bc9d90-2e74-47d3-a5f0-f0a7e89e80ef}"/>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存在的主要问题</w:t>
              </w:r>
            </w:sdtContent>
          </w:sdt>
          <w:r>
            <w:rPr>
              <w:sz w:val="32"/>
              <w:szCs w:val="32"/>
            </w:rPr>
            <w:tab/>
          </w:r>
          <w:bookmarkStart w:id="17" w:name="_Toc15187_WPSOffice_Level2Page"/>
          <w:r>
            <w:rPr>
              <w:sz w:val="32"/>
              <w:szCs w:val="32"/>
            </w:rPr>
            <w:t>10</w:t>
          </w:r>
          <w:bookmarkEnd w:id="17"/>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_Toc15330_WPSOffice_Level2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815715180"/>
              <w:placeholder>
                <w:docPart w:val="{5585d178-3531-4731-a2e5-d572877d487f}"/>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新时期发展机遇</w:t>
              </w:r>
            </w:sdtContent>
          </w:sdt>
          <w:r>
            <w:rPr>
              <w:sz w:val="32"/>
              <w:szCs w:val="32"/>
            </w:rPr>
            <w:tab/>
          </w:r>
          <w:bookmarkStart w:id="18" w:name="_Toc15330_WPSOffice_Level2Page"/>
          <w:r>
            <w:rPr>
              <w:sz w:val="32"/>
              <w:szCs w:val="32"/>
            </w:rPr>
            <w:t>12</w:t>
          </w:r>
          <w:bookmarkEnd w:id="18"/>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_Toc24497_WPSOffice_Level2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917156592"/>
              <w:placeholder>
                <w:docPart w:val="{33d73a2e-054c-4366-9a06-ce4df011f91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面临的压力挑战</w:t>
              </w:r>
            </w:sdtContent>
          </w:sdt>
          <w:r>
            <w:rPr>
              <w:sz w:val="32"/>
              <w:szCs w:val="32"/>
            </w:rPr>
            <w:tab/>
          </w:r>
          <w:bookmarkStart w:id="19" w:name="_Toc24497_WPSOffice_Level2Page"/>
          <w:r>
            <w:rPr>
              <w:sz w:val="32"/>
              <w:szCs w:val="32"/>
            </w:rPr>
            <w:t>14</w:t>
          </w:r>
          <w:bookmarkEnd w:id="19"/>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_Toc17995_WPSOffice_Level1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241481025"/>
              <w:placeholder>
                <w:docPart w:val="{f1278a15-dd21-4099-b006-46c9770bb59f}"/>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第二章 规划总则</w:t>
              </w:r>
            </w:sdtContent>
          </w:sdt>
          <w:r>
            <w:rPr>
              <w:sz w:val="32"/>
              <w:szCs w:val="32"/>
            </w:rPr>
            <w:tab/>
          </w:r>
          <w:bookmarkStart w:id="20" w:name="_Toc17995_WPSOffice_Level1Page"/>
          <w:r>
            <w:rPr>
              <w:sz w:val="32"/>
              <w:szCs w:val="32"/>
            </w:rPr>
            <w:t>17</w:t>
          </w:r>
          <w:bookmarkEnd w:id="20"/>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_Toc30335_WPSOffice_Level2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08098532"/>
              <w:placeholder>
                <w:docPart w:val="{b4d25e74-eab6-4c83-a7bc-808f55a87e59}"/>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指导思想</w:t>
              </w:r>
            </w:sdtContent>
          </w:sdt>
          <w:r>
            <w:rPr>
              <w:sz w:val="32"/>
              <w:szCs w:val="32"/>
            </w:rPr>
            <w:tab/>
          </w:r>
          <w:bookmarkStart w:id="21" w:name="_Toc30335_WPSOffice_Level2Page"/>
          <w:r>
            <w:rPr>
              <w:sz w:val="32"/>
              <w:szCs w:val="32"/>
            </w:rPr>
            <w:t>17</w:t>
          </w:r>
          <w:bookmarkEnd w:id="21"/>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_Toc4953_WPSOffice_Level2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124426483"/>
              <w:placeholder>
                <w:docPart w:val="{41bfb733-ad17-4457-864f-8781ce08dffc}"/>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规划思路</w:t>
              </w:r>
            </w:sdtContent>
          </w:sdt>
          <w:r>
            <w:rPr>
              <w:sz w:val="32"/>
              <w:szCs w:val="32"/>
            </w:rPr>
            <w:tab/>
          </w:r>
          <w:bookmarkStart w:id="22" w:name="_Toc4953_WPSOffice_Level2Page"/>
          <w:r>
            <w:rPr>
              <w:sz w:val="32"/>
              <w:szCs w:val="32"/>
            </w:rPr>
            <w:t>17</w:t>
          </w:r>
          <w:bookmarkEnd w:id="22"/>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_Toc8494_WPSOffice_Level2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697519479"/>
              <w:placeholder>
                <w:docPart w:val="{780202d4-a227-4a83-9bca-f3ed46275bee}"/>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基本原则</w:t>
              </w:r>
            </w:sdtContent>
          </w:sdt>
          <w:r>
            <w:rPr>
              <w:sz w:val="32"/>
              <w:szCs w:val="32"/>
            </w:rPr>
            <w:tab/>
          </w:r>
          <w:bookmarkStart w:id="23" w:name="_Toc8494_WPSOffice_Level2Page"/>
          <w:r>
            <w:rPr>
              <w:sz w:val="32"/>
              <w:szCs w:val="32"/>
            </w:rPr>
            <w:t>19</w:t>
          </w:r>
          <w:bookmarkEnd w:id="23"/>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_Toc29174_WPSOffice_Level2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695614772"/>
              <w:placeholder>
                <w:docPart w:val="{f1a5bba0-87f6-438e-aa53-86ffbb91dfe6}"/>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规划范围</w:t>
              </w:r>
            </w:sdtContent>
          </w:sdt>
          <w:r>
            <w:rPr>
              <w:sz w:val="32"/>
              <w:szCs w:val="32"/>
            </w:rPr>
            <w:tab/>
          </w:r>
          <w:bookmarkStart w:id="24" w:name="_Toc29174_WPSOffice_Level2Page"/>
          <w:r>
            <w:rPr>
              <w:sz w:val="32"/>
              <w:szCs w:val="32"/>
            </w:rPr>
            <w:t>20</w:t>
          </w:r>
          <w:bookmarkEnd w:id="24"/>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_Toc23160_WPSOffice_Level2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89595695"/>
              <w:placeholder>
                <w:docPart w:val="{cf288e23-5cfb-4880-ad02-38ce6a763622}"/>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五、 规划期限</w:t>
              </w:r>
            </w:sdtContent>
          </w:sdt>
          <w:r>
            <w:rPr>
              <w:sz w:val="32"/>
              <w:szCs w:val="32"/>
            </w:rPr>
            <w:tab/>
          </w:r>
          <w:bookmarkStart w:id="25" w:name="_Toc23160_WPSOffice_Level2Page"/>
          <w:r>
            <w:rPr>
              <w:sz w:val="32"/>
              <w:szCs w:val="32"/>
            </w:rPr>
            <w:t>21</w:t>
          </w:r>
          <w:bookmarkEnd w:id="25"/>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_Toc29518_WPSOffice_Level2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379605503"/>
              <w:placeholder>
                <w:docPart w:val="{eeacc65d-1592-4685-a2e0-3a638630ae51}"/>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六、 规划目标</w:t>
              </w:r>
            </w:sdtContent>
          </w:sdt>
          <w:r>
            <w:rPr>
              <w:sz w:val="32"/>
              <w:szCs w:val="32"/>
            </w:rPr>
            <w:tab/>
          </w:r>
          <w:bookmarkStart w:id="26" w:name="_Toc29518_WPSOffice_Level2Page"/>
          <w:r>
            <w:rPr>
              <w:sz w:val="32"/>
              <w:szCs w:val="32"/>
            </w:rPr>
            <w:t>21</w:t>
          </w:r>
          <w:bookmarkEnd w:id="26"/>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_Toc18664_WPSOffice_Level2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526677443"/>
              <w:placeholder>
                <w:docPart w:val="{5654ab0b-9444-4d5e-827c-d90c4e8f16e1}"/>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七、 建设指标</w:t>
              </w:r>
            </w:sdtContent>
          </w:sdt>
          <w:r>
            <w:rPr>
              <w:sz w:val="32"/>
              <w:szCs w:val="32"/>
            </w:rPr>
            <w:tab/>
          </w:r>
          <w:bookmarkStart w:id="27" w:name="_Toc18664_WPSOffice_Level2Page"/>
          <w:r>
            <w:rPr>
              <w:sz w:val="32"/>
              <w:szCs w:val="32"/>
            </w:rPr>
            <w:t>22</w:t>
          </w:r>
          <w:bookmarkEnd w:id="27"/>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_Toc15187_WPSOffice_Level1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411779333"/>
              <w:placeholder>
                <w:docPart w:val="{b415f891-518c-401c-8f30-05518a98ac7b}"/>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三</w:t>
              </w:r>
              <w:r>
                <w:rPr>
                  <w:rFonts w:ascii="Calibri" w:hAnsi="Calibri" w:eastAsia="方正小标宋简体"/>
                  <w:sz w:val="32"/>
                  <w:szCs w:val="32"/>
                </w:rPr>
                <w:t>章</w:t>
              </w:r>
              <w:r>
                <w:rPr>
                  <w:rFonts w:hint="eastAsia" w:ascii="Calibri" w:hAnsi="Calibri" w:eastAsia="方正小标宋简体"/>
                  <w:sz w:val="32"/>
                  <w:szCs w:val="32"/>
                </w:rPr>
                <w:t xml:space="preserve"> 树立生态环境高站位目标责任标杆区</w:t>
              </w:r>
            </w:sdtContent>
          </w:sdt>
          <w:r>
            <w:rPr>
              <w:sz w:val="32"/>
              <w:szCs w:val="32"/>
            </w:rPr>
            <w:tab/>
          </w:r>
          <w:bookmarkStart w:id="28" w:name="_Toc15187_WPSOffice_Level1Page"/>
          <w:r>
            <w:rPr>
              <w:sz w:val="32"/>
              <w:szCs w:val="32"/>
            </w:rPr>
            <w:t>28</w:t>
          </w:r>
          <w:bookmarkEnd w:id="28"/>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_Toc25145_WPSOffice_Level2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88726196"/>
              <w:placeholder>
                <w:docPart w:val="{e5d9e4e6-0bcd-4d30-b0aa-38def9404fcd}"/>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落实生态文明建设党政主体责任</w:t>
              </w:r>
            </w:sdtContent>
          </w:sdt>
          <w:r>
            <w:rPr>
              <w:sz w:val="32"/>
              <w:szCs w:val="32"/>
            </w:rPr>
            <w:tab/>
          </w:r>
          <w:bookmarkStart w:id="29" w:name="_Toc25145_WPSOffice_Level2Page"/>
          <w:r>
            <w:rPr>
              <w:sz w:val="32"/>
              <w:szCs w:val="32"/>
            </w:rPr>
            <w:t>28</w:t>
          </w:r>
          <w:bookmarkEnd w:id="29"/>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_Toc6304_WPSOffice_Level2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334952425"/>
              <w:placeholder>
                <w:docPart w:val="{a2c17609-f034-4b9b-912a-676db6a1a4f6}"/>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持续推行生态优先党政考核制度</w:t>
              </w:r>
            </w:sdtContent>
          </w:sdt>
          <w:r>
            <w:rPr>
              <w:sz w:val="32"/>
              <w:szCs w:val="32"/>
            </w:rPr>
            <w:tab/>
          </w:r>
          <w:bookmarkStart w:id="30" w:name="_Toc6304_WPSOffice_Level2Page"/>
          <w:r>
            <w:rPr>
              <w:sz w:val="32"/>
              <w:szCs w:val="32"/>
            </w:rPr>
            <w:t>29</w:t>
          </w:r>
          <w:bookmarkEnd w:id="30"/>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_Toc15433_WPSOffice_Level2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845736513"/>
              <w:placeholder>
                <w:docPart w:val="{13a7cc63-6ea3-49e6-90bd-515ed3dc9b34}"/>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严明生态环境损害责任追究制度</w:t>
              </w:r>
            </w:sdtContent>
          </w:sdt>
          <w:r>
            <w:rPr>
              <w:sz w:val="32"/>
              <w:szCs w:val="32"/>
            </w:rPr>
            <w:tab/>
          </w:r>
          <w:bookmarkStart w:id="31" w:name="_Toc15433_WPSOffice_Level2Page"/>
          <w:r>
            <w:rPr>
              <w:sz w:val="32"/>
              <w:szCs w:val="32"/>
            </w:rPr>
            <w:t>29</w:t>
          </w:r>
          <w:bookmarkEnd w:id="31"/>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_Toc21216_WPSOffice_Level2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336617521"/>
              <w:placeholder>
                <w:docPart w:val="{cd64e2b0-8ca5-4546-b8b0-f9e07c320949}"/>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深化自然资源资产离任审计制度</w:t>
              </w:r>
            </w:sdtContent>
          </w:sdt>
          <w:r>
            <w:rPr>
              <w:sz w:val="32"/>
              <w:szCs w:val="32"/>
            </w:rPr>
            <w:tab/>
          </w:r>
          <w:bookmarkStart w:id="32" w:name="_Toc21216_WPSOffice_Level2Page"/>
          <w:r>
            <w:rPr>
              <w:sz w:val="32"/>
              <w:szCs w:val="32"/>
            </w:rPr>
            <w:t>30</w:t>
          </w:r>
          <w:bookmarkEnd w:id="32"/>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_Toc15330_WPSOffice_Level1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2084870617"/>
              <w:placeholder>
                <w:docPart w:val="{650623d4-4120-4574-8b80-5d4fec24c136}"/>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四</w:t>
              </w:r>
              <w:r>
                <w:rPr>
                  <w:rFonts w:ascii="Calibri" w:hAnsi="Calibri" w:eastAsia="方正小标宋简体"/>
                  <w:sz w:val="32"/>
                  <w:szCs w:val="32"/>
                </w:rPr>
                <w:t>章</w:t>
              </w:r>
              <w:r>
                <w:rPr>
                  <w:rFonts w:hint="eastAsia" w:ascii="Calibri" w:hAnsi="Calibri" w:eastAsia="方正小标宋简体"/>
                  <w:sz w:val="32"/>
                  <w:szCs w:val="32"/>
                </w:rPr>
                <w:t xml:space="preserve"> 构筑全方位优质生态环境特色风貌区</w:t>
              </w:r>
            </w:sdtContent>
          </w:sdt>
          <w:r>
            <w:rPr>
              <w:sz w:val="32"/>
              <w:szCs w:val="32"/>
            </w:rPr>
            <w:tab/>
          </w:r>
          <w:bookmarkStart w:id="33" w:name="_Toc15330_WPSOffice_Level1Page"/>
          <w:r>
            <w:rPr>
              <w:sz w:val="32"/>
              <w:szCs w:val="32"/>
            </w:rPr>
            <w:t>32</w:t>
          </w:r>
          <w:bookmarkEnd w:id="33"/>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_Toc18393_WPSOffice_Level2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247649134"/>
              <w:placeholder>
                <w:docPart w:val="{03218e3d-c85d-4923-968d-a7fd47c7c1dc}"/>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精准治理守护蓝天新常态</w:t>
              </w:r>
            </w:sdtContent>
          </w:sdt>
          <w:r>
            <w:rPr>
              <w:sz w:val="32"/>
              <w:szCs w:val="32"/>
            </w:rPr>
            <w:tab/>
          </w:r>
          <w:bookmarkStart w:id="34" w:name="_Toc18393_WPSOffice_Level2Page"/>
          <w:r>
            <w:rPr>
              <w:sz w:val="32"/>
              <w:szCs w:val="32"/>
            </w:rPr>
            <w:t>32</w:t>
          </w:r>
          <w:bookmarkEnd w:id="34"/>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_Toc18018_WPSOffice_Level2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512288246"/>
              <w:placeholder>
                <w:docPart w:val="{207d3941-f715-44d3-a5fa-ee1e98d40b86}"/>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“三水”共治保障碧水长清</w:t>
              </w:r>
            </w:sdtContent>
          </w:sdt>
          <w:r>
            <w:rPr>
              <w:sz w:val="32"/>
              <w:szCs w:val="32"/>
            </w:rPr>
            <w:tab/>
          </w:r>
          <w:bookmarkStart w:id="35" w:name="_Toc18018_WPSOffice_Level2Page"/>
          <w:r>
            <w:rPr>
              <w:sz w:val="32"/>
              <w:szCs w:val="32"/>
            </w:rPr>
            <w:t>36</w:t>
          </w:r>
          <w:bookmarkEnd w:id="35"/>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_Toc23383_WPSOffice_Level2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82991209"/>
              <w:placeholder>
                <w:docPart w:val="{4acf67f9-8e30-474c-8d24-17d69076988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统筹提质建设宜居家园</w:t>
              </w:r>
            </w:sdtContent>
          </w:sdt>
          <w:r>
            <w:rPr>
              <w:sz w:val="32"/>
              <w:szCs w:val="32"/>
            </w:rPr>
            <w:tab/>
          </w:r>
          <w:bookmarkStart w:id="36" w:name="_Toc23383_WPSOffice_Level2Page"/>
          <w:r>
            <w:rPr>
              <w:sz w:val="32"/>
              <w:szCs w:val="32"/>
            </w:rPr>
            <w:t>39</w:t>
          </w:r>
          <w:bookmarkEnd w:id="36"/>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_Toc12282_WPSOffice_Level2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69529849"/>
              <w:placeholder>
                <w:docPart w:val="{b1b0bd44-c06c-44dc-aa5a-745a0cb7450f}"/>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修复保护擦亮生态底色</w:t>
              </w:r>
            </w:sdtContent>
          </w:sdt>
          <w:r>
            <w:rPr>
              <w:sz w:val="32"/>
              <w:szCs w:val="32"/>
            </w:rPr>
            <w:tab/>
          </w:r>
          <w:bookmarkStart w:id="37" w:name="_Toc12282_WPSOffice_Level2Page"/>
          <w:r>
            <w:rPr>
              <w:sz w:val="32"/>
              <w:szCs w:val="32"/>
            </w:rPr>
            <w:t>46</w:t>
          </w:r>
          <w:bookmarkEnd w:id="37"/>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_Toc26621_WPSOffice_Level2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628693188"/>
              <w:placeholder>
                <w:docPart w:val="{639c2daa-f316-4a6d-b9f3-106021524e01}"/>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五、 强化防控构筑环境安全底线</w:t>
              </w:r>
            </w:sdtContent>
          </w:sdt>
          <w:r>
            <w:rPr>
              <w:sz w:val="32"/>
              <w:szCs w:val="32"/>
            </w:rPr>
            <w:tab/>
          </w:r>
          <w:bookmarkStart w:id="38" w:name="_Toc26621_WPSOffice_Level2Page"/>
          <w:r>
            <w:rPr>
              <w:sz w:val="32"/>
              <w:szCs w:val="32"/>
            </w:rPr>
            <w:t>51</w:t>
          </w:r>
          <w:bookmarkEnd w:id="38"/>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_Toc3295_WPSOffice_Level2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999726350"/>
              <w:placeholder>
                <w:docPart w:val="{14217f13-ea81-4d79-b92a-bd554f44c34d}"/>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六、 科技引领应对气候变化</w:t>
              </w:r>
            </w:sdtContent>
          </w:sdt>
          <w:r>
            <w:rPr>
              <w:sz w:val="32"/>
              <w:szCs w:val="32"/>
            </w:rPr>
            <w:tab/>
          </w:r>
          <w:bookmarkStart w:id="39" w:name="_Toc3295_WPSOffice_Level2Page"/>
          <w:r>
            <w:rPr>
              <w:sz w:val="32"/>
              <w:szCs w:val="32"/>
            </w:rPr>
            <w:t>55</w:t>
          </w:r>
          <w:bookmarkEnd w:id="39"/>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_Toc24497_WPSOffice_Level1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55588829"/>
              <w:placeholder>
                <w:docPart w:val="{d08f7284-19c5-41c5-bd39-99a2c255942b}"/>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五</w:t>
              </w:r>
              <w:r>
                <w:rPr>
                  <w:rFonts w:ascii="Calibri" w:hAnsi="Calibri" w:eastAsia="方正小标宋简体"/>
                  <w:sz w:val="32"/>
                  <w:szCs w:val="32"/>
                </w:rPr>
                <w:t>章</w:t>
              </w:r>
              <w:r>
                <w:rPr>
                  <w:rFonts w:hint="eastAsia" w:ascii="Calibri" w:hAnsi="Calibri" w:eastAsia="方正小标宋简体"/>
                  <w:sz w:val="32"/>
                  <w:szCs w:val="32"/>
                </w:rPr>
                <w:t xml:space="preserve"> 打造创新引领新质生产力发展先行区</w:t>
              </w:r>
            </w:sdtContent>
          </w:sdt>
          <w:r>
            <w:rPr>
              <w:sz w:val="32"/>
              <w:szCs w:val="32"/>
            </w:rPr>
            <w:tab/>
          </w:r>
          <w:bookmarkStart w:id="40" w:name="_Toc24497_WPSOffice_Level1Page"/>
          <w:r>
            <w:rPr>
              <w:sz w:val="32"/>
              <w:szCs w:val="32"/>
            </w:rPr>
            <w:t>58</w:t>
          </w:r>
          <w:bookmarkEnd w:id="40"/>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_Toc11109_WPSOffice_Level2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926918276"/>
              <w:placeholder>
                <w:docPart w:val="{cc6d6fee-b243-4855-a5ee-fb27c5a04c04}"/>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构建“341”高精尖产业结构</w:t>
              </w:r>
            </w:sdtContent>
          </w:sdt>
          <w:r>
            <w:rPr>
              <w:sz w:val="32"/>
              <w:szCs w:val="32"/>
            </w:rPr>
            <w:tab/>
          </w:r>
          <w:bookmarkStart w:id="41" w:name="_Toc11109_WPSOffice_Level2Page"/>
          <w:r>
            <w:rPr>
              <w:sz w:val="32"/>
              <w:szCs w:val="32"/>
            </w:rPr>
            <w:t>58</w:t>
          </w:r>
          <w:bookmarkEnd w:id="41"/>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_Toc3202_WPSOffice_Level2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937064341"/>
              <w:placeholder>
                <w:docPart w:val="{1dffdb04-cebd-4572-9204-b5fce4861bd3}"/>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推动能源转型绿色化发展</w:t>
              </w:r>
            </w:sdtContent>
          </w:sdt>
          <w:r>
            <w:rPr>
              <w:sz w:val="32"/>
              <w:szCs w:val="32"/>
            </w:rPr>
            <w:tab/>
          </w:r>
          <w:bookmarkStart w:id="42" w:name="_Toc3202_WPSOffice_Level2Page"/>
          <w:r>
            <w:rPr>
              <w:sz w:val="32"/>
              <w:szCs w:val="32"/>
            </w:rPr>
            <w:t>60</w:t>
          </w:r>
          <w:bookmarkEnd w:id="42"/>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_Toc18065_WPSOffice_Level2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610553367"/>
              <w:placeholder>
                <w:docPart w:val="{87178d70-a541-4c0f-92e6-2663a214e4c1}"/>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推动产业低碳生态化发展</w:t>
              </w:r>
            </w:sdtContent>
          </w:sdt>
          <w:r>
            <w:rPr>
              <w:sz w:val="32"/>
              <w:szCs w:val="32"/>
            </w:rPr>
            <w:tab/>
          </w:r>
          <w:bookmarkStart w:id="43" w:name="_Toc18065_WPSOffice_Level2Page"/>
          <w:r>
            <w:rPr>
              <w:sz w:val="32"/>
              <w:szCs w:val="32"/>
            </w:rPr>
            <w:t>61</w:t>
          </w:r>
          <w:bookmarkEnd w:id="43"/>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_Toc1507_WPSOffice_Level2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62462660"/>
              <w:placeholder>
                <w:docPart w:val="{638a8471-27a1-42e6-bb0b-70a3f91c775b}"/>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推动资源高效循环化利用</w:t>
              </w:r>
            </w:sdtContent>
          </w:sdt>
          <w:r>
            <w:rPr>
              <w:sz w:val="32"/>
              <w:szCs w:val="32"/>
            </w:rPr>
            <w:tab/>
          </w:r>
          <w:bookmarkStart w:id="44" w:name="_Toc1507_WPSOffice_Level2Page"/>
          <w:r>
            <w:rPr>
              <w:sz w:val="32"/>
              <w:szCs w:val="32"/>
            </w:rPr>
            <w:t>63</w:t>
          </w:r>
          <w:bookmarkEnd w:id="44"/>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_Toc11872_WPSOffice_Level2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258089464"/>
              <w:placeholder>
                <w:docPart w:val="{edccecfb-6d48-427d-a773-13cb0c77c2f4}"/>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五、 推动交通绿色清洁化发展</w:t>
              </w:r>
            </w:sdtContent>
          </w:sdt>
          <w:r>
            <w:rPr>
              <w:sz w:val="32"/>
              <w:szCs w:val="32"/>
            </w:rPr>
            <w:tab/>
          </w:r>
          <w:bookmarkStart w:id="45" w:name="_Toc11872_WPSOffice_Level2Page"/>
          <w:r>
            <w:rPr>
              <w:sz w:val="32"/>
              <w:szCs w:val="32"/>
            </w:rPr>
            <w:t>65</w:t>
          </w:r>
          <w:bookmarkEnd w:id="45"/>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_Toc13504_WPSOffice_Level2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681351633"/>
              <w:placeholder>
                <w:docPart w:val="{1db3ea88-bb5d-45c8-ac4d-44a8feb76a7b}"/>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六、 推动生态经济产业化发展</w:t>
              </w:r>
            </w:sdtContent>
          </w:sdt>
          <w:r>
            <w:rPr>
              <w:sz w:val="32"/>
              <w:szCs w:val="32"/>
            </w:rPr>
            <w:tab/>
          </w:r>
          <w:bookmarkStart w:id="46" w:name="_Toc13504_WPSOffice_Level2Page"/>
          <w:r>
            <w:rPr>
              <w:sz w:val="32"/>
              <w:szCs w:val="32"/>
            </w:rPr>
            <w:t>66</w:t>
          </w:r>
          <w:bookmarkEnd w:id="46"/>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_Toc30335_WPSOffice_Level1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9295392"/>
              <w:placeholder>
                <w:docPart w:val="{6890092a-3f5b-48b3-91ff-deeb6f5964e9}"/>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六</w:t>
              </w:r>
              <w:r>
                <w:rPr>
                  <w:rFonts w:ascii="Calibri" w:hAnsi="Calibri" w:eastAsia="方正小标宋简体"/>
                  <w:sz w:val="32"/>
                  <w:szCs w:val="32"/>
                </w:rPr>
                <w:t>章</w:t>
              </w:r>
              <w:r>
                <w:rPr>
                  <w:rFonts w:hint="eastAsia" w:ascii="Calibri" w:hAnsi="Calibri" w:eastAsia="方正小标宋简体"/>
                  <w:sz w:val="32"/>
                  <w:szCs w:val="32"/>
                </w:rPr>
                <w:t xml:space="preserve"> 塑造高水平生态文化融合发展样板区</w:t>
              </w:r>
            </w:sdtContent>
          </w:sdt>
          <w:r>
            <w:rPr>
              <w:sz w:val="32"/>
              <w:szCs w:val="32"/>
            </w:rPr>
            <w:tab/>
          </w:r>
          <w:bookmarkStart w:id="47" w:name="_Toc30335_WPSOffice_Level1Page"/>
          <w:r>
            <w:rPr>
              <w:sz w:val="32"/>
              <w:szCs w:val="32"/>
            </w:rPr>
            <w:t>70</w:t>
          </w:r>
          <w:bookmarkEnd w:id="47"/>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_Toc18571_WPSOffice_Level2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771097231"/>
              <w:placeholder>
                <w:docPart w:val="{53b90a03-3aef-4dbc-ac6d-3ec52ef275c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培育现代生态文化品牌</w:t>
              </w:r>
            </w:sdtContent>
          </w:sdt>
          <w:r>
            <w:rPr>
              <w:sz w:val="32"/>
              <w:szCs w:val="32"/>
            </w:rPr>
            <w:tab/>
          </w:r>
          <w:bookmarkStart w:id="48" w:name="_Toc18571_WPSOffice_Level2Page"/>
          <w:r>
            <w:rPr>
              <w:sz w:val="32"/>
              <w:szCs w:val="32"/>
            </w:rPr>
            <w:t>70</w:t>
          </w:r>
          <w:bookmarkEnd w:id="48"/>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_Toc25879_WPSOffice_Level2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473765727"/>
              <w:placeholder>
                <w:docPart w:val="{042e885d-07a9-499d-b980-4fc0c86d8019}"/>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强化多样生态文明宣教</w:t>
              </w:r>
            </w:sdtContent>
          </w:sdt>
          <w:r>
            <w:rPr>
              <w:sz w:val="32"/>
              <w:szCs w:val="32"/>
            </w:rPr>
            <w:tab/>
          </w:r>
          <w:bookmarkStart w:id="49" w:name="_Toc25879_WPSOffice_Level2Page"/>
          <w:r>
            <w:rPr>
              <w:sz w:val="32"/>
              <w:szCs w:val="32"/>
            </w:rPr>
            <w:t>73</w:t>
          </w:r>
          <w:bookmarkEnd w:id="49"/>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_Toc24986_WPSOffice_Level2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2027635497"/>
              <w:placeholder>
                <w:docPart w:val="{f7157d80-ae8a-4398-8ce9-a6ceec3b282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引导全民共建生态文明</w:t>
              </w:r>
            </w:sdtContent>
          </w:sdt>
          <w:r>
            <w:rPr>
              <w:sz w:val="32"/>
              <w:szCs w:val="32"/>
            </w:rPr>
            <w:tab/>
          </w:r>
          <w:bookmarkStart w:id="50" w:name="_Toc24986_WPSOffice_Level2Page"/>
          <w:r>
            <w:rPr>
              <w:sz w:val="32"/>
              <w:szCs w:val="32"/>
            </w:rPr>
            <w:t>75</w:t>
          </w:r>
          <w:bookmarkEnd w:id="50"/>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_Toc4953_WPSOffice_Level1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387796393"/>
              <w:placeholder>
                <w:docPart w:val="{4d1d8e83-0090-4360-a1bf-155a90f2d250}"/>
              </w:placeholder>
            </w:sdtPr>
            <w:sdtEndPr>
              <w:rPr>
                <w:rFonts w:asciiTheme="majorHAnsi" w:hAnsiTheme="majorHAnsi" w:eastAsiaTheme="majorEastAsia" w:cstheme="majorBidi"/>
                <w:color w:val="2F5597" w:themeColor="accent1" w:themeShade="BF"/>
                <w:sz w:val="32"/>
                <w:szCs w:val="32"/>
              </w:rPr>
            </w:sdtEndPr>
            <w:sdtContent>
              <w:r>
                <w:rPr>
                  <w:rFonts w:hint="eastAsia" w:ascii="Calibri" w:hAnsi="Calibri" w:eastAsia="方正小标宋简体"/>
                  <w:sz w:val="32"/>
                  <w:szCs w:val="32"/>
                </w:rPr>
                <w:t>第七章 建设生态文明制度体系现代化引领区</w:t>
              </w:r>
            </w:sdtContent>
          </w:sdt>
          <w:r>
            <w:rPr>
              <w:sz w:val="32"/>
              <w:szCs w:val="32"/>
            </w:rPr>
            <w:tab/>
          </w:r>
          <w:bookmarkStart w:id="51" w:name="_Toc4953_WPSOffice_Level1Page"/>
          <w:r>
            <w:rPr>
              <w:sz w:val="32"/>
              <w:szCs w:val="32"/>
            </w:rPr>
            <w:t>78</w:t>
          </w:r>
          <w:bookmarkEnd w:id="51"/>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_Toc10188_WPSOffice_Level2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738015722"/>
              <w:placeholder>
                <w:docPart w:val="{b2a349af-7d7e-4fb7-9aab-1facf53b712f}"/>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健全现代环境治理体系</w:t>
              </w:r>
            </w:sdtContent>
          </w:sdt>
          <w:r>
            <w:rPr>
              <w:sz w:val="32"/>
              <w:szCs w:val="32"/>
            </w:rPr>
            <w:tab/>
          </w:r>
          <w:bookmarkStart w:id="52" w:name="_Toc10188_WPSOffice_Level2Page"/>
          <w:r>
            <w:rPr>
              <w:sz w:val="32"/>
              <w:szCs w:val="32"/>
            </w:rPr>
            <w:t>78</w:t>
          </w:r>
          <w:bookmarkEnd w:id="52"/>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_Toc19315_WPSOffice_Level2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284656651"/>
              <w:placeholder>
                <w:docPart w:val="{cbbe9a49-e62b-4656-aaaa-a9bb80295af3}"/>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深化生态环境监管体系</w:t>
              </w:r>
            </w:sdtContent>
          </w:sdt>
          <w:r>
            <w:rPr>
              <w:sz w:val="32"/>
              <w:szCs w:val="32"/>
            </w:rPr>
            <w:tab/>
          </w:r>
          <w:bookmarkStart w:id="53" w:name="_Toc19315_WPSOffice_Level2Page"/>
          <w:r>
            <w:rPr>
              <w:sz w:val="32"/>
              <w:szCs w:val="32"/>
            </w:rPr>
            <w:t>80</w:t>
          </w:r>
          <w:bookmarkEnd w:id="53"/>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_Toc16760_WPSOffice_Level2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951669761"/>
              <w:placeholder>
                <w:docPart w:val="{b4bcc6ef-fc69-4260-a77f-a7fdac9b376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推进生态文明机制创新</w:t>
              </w:r>
            </w:sdtContent>
          </w:sdt>
          <w:r>
            <w:rPr>
              <w:sz w:val="32"/>
              <w:szCs w:val="32"/>
            </w:rPr>
            <w:tab/>
          </w:r>
          <w:bookmarkStart w:id="54" w:name="_Toc16760_WPSOffice_Level2Page"/>
          <w:r>
            <w:rPr>
              <w:sz w:val="32"/>
              <w:szCs w:val="32"/>
            </w:rPr>
            <w:t>83</w:t>
          </w:r>
          <w:bookmarkEnd w:id="54"/>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_Toc8494_WPSOffice_Level1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662356026"/>
              <w:placeholder>
                <w:docPart w:val="{d0d36058-5eb3-4d2d-8fb8-efb942af6587}"/>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八</w:t>
              </w:r>
              <w:r>
                <w:rPr>
                  <w:rFonts w:ascii="Calibri" w:hAnsi="Calibri" w:eastAsia="方正小标宋简体"/>
                  <w:sz w:val="32"/>
                  <w:szCs w:val="32"/>
                </w:rPr>
                <w:t>章 重点工程</w:t>
              </w:r>
              <w:r>
                <w:rPr>
                  <w:rFonts w:hint="eastAsia" w:ascii="Calibri" w:hAnsi="Calibri" w:eastAsia="方正小标宋简体"/>
                  <w:sz w:val="32"/>
                  <w:szCs w:val="32"/>
                </w:rPr>
                <w:t>与效益分析</w:t>
              </w:r>
            </w:sdtContent>
          </w:sdt>
          <w:r>
            <w:rPr>
              <w:sz w:val="32"/>
              <w:szCs w:val="32"/>
            </w:rPr>
            <w:tab/>
          </w:r>
          <w:bookmarkStart w:id="55" w:name="_Toc8494_WPSOffice_Level1Page"/>
          <w:r>
            <w:rPr>
              <w:sz w:val="32"/>
              <w:szCs w:val="32"/>
            </w:rPr>
            <w:t>87</w:t>
          </w:r>
          <w:bookmarkEnd w:id="55"/>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_Toc12656_WPSOffice_Level2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966697330"/>
              <w:placeholder>
                <w:docPart w:val="{93cf7a18-0729-42a2-a409-8a36b9877190}"/>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重点工程</w:t>
              </w:r>
            </w:sdtContent>
          </w:sdt>
          <w:r>
            <w:rPr>
              <w:sz w:val="32"/>
              <w:szCs w:val="32"/>
            </w:rPr>
            <w:tab/>
          </w:r>
          <w:bookmarkStart w:id="56" w:name="_Toc12656_WPSOffice_Level2Page"/>
          <w:r>
            <w:rPr>
              <w:sz w:val="32"/>
              <w:szCs w:val="32"/>
            </w:rPr>
            <w:t>87</w:t>
          </w:r>
          <w:bookmarkEnd w:id="56"/>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_Toc19620_WPSOffice_Level2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937788968"/>
              <w:placeholder>
                <w:docPart w:val="{d719a17d-404e-47db-b0f2-1a381c4895ac}"/>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效益分析</w:t>
              </w:r>
            </w:sdtContent>
          </w:sdt>
          <w:r>
            <w:rPr>
              <w:sz w:val="32"/>
              <w:szCs w:val="32"/>
            </w:rPr>
            <w:tab/>
          </w:r>
          <w:bookmarkStart w:id="57" w:name="_Toc19620_WPSOffice_Level2Page"/>
          <w:r>
            <w:rPr>
              <w:sz w:val="32"/>
              <w:szCs w:val="32"/>
            </w:rPr>
            <w:t>87</w:t>
          </w:r>
          <w:bookmarkEnd w:id="57"/>
          <w:r>
            <w:rPr>
              <w:sz w:val="32"/>
              <w:szCs w:val="32"/>
            </w:rPr>
            <w:fldChar w:fldCharType="end"/>
          </w:r>
        </w:p>
        <w:p>
          <w:pPr>
            <w:pStyle w:val="77"/>
            <w:tabs>
              <w:tab w:val="right" w:leader="dot" w:pos="8306"/>
            </w:tabs>
            <w:spacing w:line="520" w:lineRule="exact"/>
            <w:rPr>
              <w:sz w:val="32"/>
              <w:szCs w:val="32"/>
            </w:rPr>
          </w:pPr>
          <w:r>
            <w:rPr>
              <w:sz w:val="32"/>
              <w:szCs w:val="32"/>
            </w:rPr>
            <w:fldChar w:fldCharType="begin"/>
          </w:r>
          <w:r>
            <w:rPr>
              <w:sz w:val="32"/>
              <w:szCs w:val="32"/>
            </w:rPr>
            <w:instrText xml:space="preserve"> HYPERLINK \l _Toc29174_WPSOffice_Level1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489301123"/>
              <w:placeholder>
                <w:docPart w:val="{624690c5-e14e-467a-bd77-9cfa4dbc3c3c}"/>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第</w:t>
              </w:r>
              <w:r>
                <w:rPr>
                  <w:rFonts w:hint="eastAsia" w:ascii="Calibri" w:hAnsi="Calibri" w:eastAsia="方正小标宋简体"/>
                  <w:sz w:val="32"/>
                  <w:szCs w:val="32"/>
                </w:rPr>
                <w:t>九</w:t>
              </w:r>
              <w:r>
                <w:rPr>
                  <w:rFonts w:ascii="Calibri" w:hAnsi="Calibri" w:eastAsia="方正小标宋简体"/>
                  <w:sz w:val="32"/>
                  <w:szCs w:val="32"/>
                </w:rPr>
                <w:t>章 保障措施</w:t>
              </w:r>
            </w:sdtContent>
          </w:sdt>
          <w:r>
            <w:rPr>
              <w:sz w:val="32"/>
              <w:szCs w:val="32"/>
            </w:rPr>
            <w:tab/>
          </w:r>
          <w:bookmarkStart w:id="58" w:name="_Toc29174_WPSOffice_Level1Page"/>
          <w:r>
            <w:rPr>
              <w:sz w:val="32"/>
              <w:szCs w:val="32"/>
            </w:rPr>
            <w:t>89</w:t>
          </w:r>
          <w:bookmarkEnd w:id="58"/>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_Toc22050_WPSOffice_Level2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59380794"/>
              <w:placeholder>
                <w:docPart w:val="{1d0130cc-11d6-479b-a210-58404ae27af4}"/>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一、 加强组织领导</w:t>
              </w:r>
            </w:sdtContent>
          </w:sdt>
          <w:r>
            <w:rPr>
              <w:sz w:val="32"/>
              <w:szCs w:val="32"/>
            </w:rPr>
            <w:tab/>
          </w:r>
          <w:bookmarkStart w:id="59" w:name="_Toc22050_WPSOffice_Level2Page"/>
          <w:r>
            <w:rPr>
              <w:sz w:val="32"/>
              <w:szCs w:val="32"/>
            </w:rPr>
            <w:t>89</w:t>
          </w:r>
          <w:bookmarkEnd w:id="59"/>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_Toc4871_WPSOffice_Level2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028561674"/>
              <w:placeholder>
                <w:docPart w:val="{7829d7b1-8bcd-482d-8669-0de9da4cb4fd}"/>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二、 严格监督考核</w:t>
              </w:r>
            </w:sdtContent>
          </w:sdt>
          <w:r>
            <w:rPr>
              <w:sz w:val="32"/>
              <w:szCs w:val="32"/>
            </w:rPr>
            <w:tab/>
          </w:r>
          <w:bookmarkStart w:id="60" w:name="_Toc4871_WPSOffice_Level2Page"/>
          <w:r>
            <w:rPr>
              <w:sz w:val="32"/>
              <w:szCs w:val="32"/>
            </w:rPr>
            <w:t>89</w:t>
          </w:r>
          <w:bookmarkEnd w:id="60"/>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_Toc20522_WPSOffice_Level2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41670369"/>
              <w:placeholder>
                <w:docPart w:val="{55530100-d15a-421c-88ab-a26a09904619}"/>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三、 统筹资金支持</w:t>
              </w:r>
            </w:sdtContent>
          </w:sdt>
          <w:r>
            <w:rPr>
              <w:sz w:val="32"/>
              <w:szCs w:val="32"/>
            </w:rPr>
            <w:tab/>
          </w:r>
          <w:bookmarkStart w:id="61" w:name="_Toc20522_WPSOffice_Level2Page"/>
          <w:r>
            <w:rPr>
              <w:sz w:val="32"/>
              <w:szCs w:val="32"/>
            </w:rPr>
            <w:t>89</w:t>
          </w:r>
          <w:bookmarkEnd w:id="61"/>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_Toc32124_WPSOffice_Level2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922401697"/>
              <w:placeholder>
                <w:docPart w:val="{8ecbcca8-2157-4b3b-a4b9-4cbe742c1aaf}"/>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四、 强化科技支撑</w:t>
              </w:r>
            </w:sdtContent>
          </w:sdt>
          <w:r>
            <w:rPr>
              <w:sz w:val="32"/>
              <w:szCs w:val="32"/>
            </w:rPr>
            <w:tab/>
          </w:r>
          <w:bookmarkStart w:id="62" w:name="_Toc32124_WPSOffice_Level2Page"/>
          <w:r>
            <w:rPr>
              <w:sz w:val="32"/>
              <w:szCs w:val="32"/>
            </w:rPr>
            <w:t>90</w:t>
          </w:r>
          <w:bookmarkEnd w:id="62"/>
          <w:r>
            <w:rPr>
              <w:sz w:val="32"/>
              <w:szCs w:val="32"/>
            </w:rPr>
            <w:fldChar w:fldCharType="end"/>
          </w:r>
        </w:p>
        <w:p>
          <w:pPr>
            <w:pStyle w:val="78"/>
            <w:tabs>
              <w:tab w:val="right" w:leader="dot" w:pos="8306"/>
            </w:tabs>
            <w:spacing w:line="520" w:lineRule="exact"/>
            <w:ind w:left="420"/>
            <w:rPr>
              <w:sz w:val="32"/>
              <w:szCs w:val="32"/>
            </w:rPr>
          </w:pPr>
          <w:r>
            <w:rPr>
              <w:sz w:val="32"/>
              <w:szCs w:val="32"/>
            </w:rPr>
            <w:fldChar w:fldCharType="begin"/>
          </w:r>
          <w:r>
            <w:rPr>
              <w:sz w:val="32"/>
              <w:szCs w:val="32"/>
            </w:rPr>
            <w:instrText xml:space="preserve"> HYPERLINK \l _Toc18122_WPSOffice_Level2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100303947"/>
              <w:placeholder>
                <w:docPart w:val="{f2c4a4f0-6dd3-45dd-af14-d2d7f7664626}"/>
              </w:placeholder>
            </w:sdtPr>
            <w:sdtEndPr>
              <w:rPr>
                <w:rFonts w:asciiTheme="majorHAnsi" w:hAnsiTheme="majorHAnsi" w:eastAsiaTheme="majorEastAsia" w:cstheme="majorBidi"/>
                <w:color w:val="2F5597" w:themeColor="accent1" w:themeShade="BF"/>
                <w:sz w:val="32"/>
                <w:szCs w:val="32"/>
              </w:rPr>
            </w:sdtEndPr>
            <w:sdtContent>
              <w:r>
                <w:rPr>
                  <w:rFonts w:hint="eastAsia" w:ascii="黑体" w:hAnsi="黑体" w:eastAsia="黑体" w:cs="黑体"/>
                  <w:sz w:val="32"/>
                  <w:szCs w:val="32"/>
                </w:rPr>
                <w:t>五、 加大宣传教育</w:t>
              </w:r>
            </w:sdtContent>
          </w:sdt>
          <w:r>
            <w:rPr>
              <w:sz w:val="32"/>
              <w:szCs w:val="32"/>
            </w:rPr>
            <w:tab/>
          </w:r>
          <w:bookmarkStart w:id="63" w:name="_Toc18122_WPSOffice_Level2Page"/>
          <w:r>
            <w:rPr>
              <w:sz w:val="32"/>
              <w:szCs w:val="32"/>
            </w:rPr>
            <w:t>90</w:t>
          </w:r>
          <w:bookmarkEnd w:id="63"/>
          <w:r>
            <w:rPr>
              <w:sz w:val="32"/>
              <w:szCs w:val="32"/>
            </w:rPr>
            <w:fldChar w:fldCharType="end"/>
          </w:r>
        </w:p>
        <w:p>
          <w:pPr>
            <w:pStyle w:val="77"/>
            <w:tabs>
              <w:tab w:val="right" w:leader="dot" w:pos="8306"/>
            </w:tabs>
            <w:spacing w:line="520" w:lineRule="exact"/>
          </w:pPr>
          <w:r>
            <w:rPr>
              <w:sz w:val="32"/>
              <w:szCs w:val="32"/>
            </w:rPr>
            <w:fldChar w:fldCharType="begin"/>
          </w:r>
          <w:r>
            <w:rPr>
              <w:sz w:val="32"/>
              <w:szCs w:val="32"/>
            </w:rPr>
            <w:instrText xml:space="preserve"> HYPERLINK \l _Toc23160_WPSOffice_Level1 </w:instrText>
          </w:r>
          <w:r>
            <w:rPr>
              <w:sz w:val="32"/>
              <w:szCs w:val="32"/>
            </w:rPr>
            <w:fldChar w:fldCharType="separate"/>
          </w:r>
          <w:sdt>
            <w:sdtPr>
              <w:rPr>
                <w:rFonts w:asciiTheme="majorHAnsi" w:hAnsiTheme="majorHAnsi" w:eastAsiaTheme="majorEastAsia" w:cstheme="majorBidi"/>
                <w:color w:val="2F5597" w:themeColor="accent1" w:themeShade="BF"/>
                <w:sz w:val="32"/>
                <w:szCs w:val="32"/>
              </w:rPr>
              <w:id w:val="1799958501"/>
              <w:placeholder>
                <w:docPart w:val="{312aa802-bac5-4183-9fec-92b3649c8078}"/>
              </w:placeholder>
            </w:sdtPr>
            <w:sdtEndPr>
              <w:rPr>
                <w:rFonts w:asciiTheme="majorHAnsi" w:hAnsiTheme="majorHAnsi" w:eastAsiaTheme="majorEastAsia" w:cstheme="majorBidi"/>
                <w:color w:val="2F5597" w:themeColor="accent1" w:themeShade="BF"/>
                <w:sz w:val="32"/>
                <w:szCs w:val="32"/>
              </w:rPr>
            </w:sdtEndPr>
            <w:sdtContent>
              <w:r>
                <w:rPr>
                  <w:rFonts w:ascii="Calibri" w:hAnsi="Calibri" w:eastAsia="方正小标宋简体"/>
                  <w:sz w:val="32"/>
                  <w:szCs w:val="32"/>
                </w:rPr>
                <w:t xml:space="preserve">附表1  </w:t>
              </w:r>
              <w:r>
                <w:rPr>
                  <w:rFonts w:hint="eastAsia" w:ascii="Calibri" w:hAnsi="Calibri" w:eastAsia="方正小标宋简体"/>
                  <w:sz w:val="32"/>
                  <w:szCs w:val="32"/>
                </w:rPr>
                <w:t>顺义</w:t>
              </w:r>
              <w:r>
                <w:rPr>
                  <w:rFonts w:ascii="Calibri" w:hAnsi="Calibri" w:eastAsia="方正小标宋简体"/>
                  <w:sz w:val="32"/>
                  <w:szCs w:val="32"/>
                </w:rPr>
                <w:t>区生态文明建设重点工程</w:t>
              </w:r>
            </w:sdtContent>
          </w:sdt>
          <w:r>
            <w:rPr>
              <w:sz w:val="32"/>
              <w:szCs w:val="32"/>
            </w:rPr>
            <w:tab/>
          </w:r>
          <w:bookmarkStart w:id="64" w:name="_Toc23160_WPSOffice_Level1Page"/>
          <w:r>
            <w:rPr>
              <w:sz w:val="32"/>
              <w:szCs w:val="32"/>
            </w:rPr>
            <w:t>91</w:t>
          </w:r>
          <w:bookmarkEnd w:id="64"/>
          <w:r>
            <w:rPr>
              <w:sz w:val="32"/>
              <w:szCs w:val="32"/>
            </w:rPr>
            <w:fldChar w:fldCharType="end"/>
          </w:r>
        </w:p>
      </w:sdtContent>
    </w:sdt>
    <w:bookmarkEnd w:id="14"/>
    <w:p>
      <w:pPr>
        <w:spacing w:after="114"/>
        <w:jc w:val="center"/>
        <w:rPr>
          <w:rFonts w:ascii="仿宋" w:hAnsi="仿宋" w:eastAsia="仿宋"/>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2"/>
        <w:spacing w:line="560" w:lineRule="exact"/>
        <w:rPr>
          <w:b w:val="0"/>
          <w:bCs w:val="0"/>
          <w:sz w:val="44"/>
          <w:szCs w:val="52"/>
        </w:rPr>
      </w:pPr>
      <w:bookmarkStart w:id="65" w:name="_Toc8080_WPSOffice_Level1"/>
      <w:bookmarkStart w:id="66" w:name="_Toc136794663"/>
      <w:r>
        <w:rPr>
          <w:b w:val="0"/>
          <w:bCs w:val="0"/>
          <w:sz w:val="44"/>
          <w:szCs w:val="52"/>
        </w:rPr>
        <w:t xml:space="preserve">第一章 </w:t>
      </w:r>
      <w:r>
        <w:rPr>
          <w:rFonts w:hint="eastAsia"/>
          <w:b w:val="0"/>
          <w:bCs w:val="0"/>
          <w:sz w:val="44"/>
          <w:szCs w:val="52"/>
        </w:rPr>
        <w:t>建设</w:t>
      </w:r>
      <w:r>
        <w:rPr>
          <w:b w:val="0"/>
          <w:bCs w:val="0"/>
          <w:sz w:val="44"/>
          <w:szCs w:val="52"/>
        </w:rPr>
        <w:t>基础与形势分析</w:t>
      </w:r>
      <w:bookmarkEnd w:id="65"/>
      <w:bookmarkEnd w:id="66"/>
    </w:p>
    <w:p>
      <w:pPr>
        <w:pStyle w:val="3"/>
        <w:numPr>
          <w:ilvl w:val="0"/>
          <w:numId w:val="1"/>
        </w:numPr>
        <w:autoSpaceDE w:val="0"/>
        <w:autoSpaceDN w:val="0"/>
        <w:snapToGrid w:val="0"/>
        <w:spacing w:before="0" w:after="0" w:line="560" w:lineRule="exact"/>
        <w:ind w:left="0" w:firstLine="640" w:firstLineChars="200"/>
        <w:jc w:val="left"/>
        <w:rPr>
          <w:rFonts w:ascii="黑体" w:hAnsi="黑体" w:eastAsia="黑体" w:cs="黑体"/>
          <w:b w:val="0"/>
          <w:bCs w:val="0"/>
        </w:rPr>
      </w:pPr>
      <w:bookmarkStart w:id="67" w:name="_Toc17995_WPSOffice_Level2"/>
      <w:bookmarkStart w:id="68" w:name="_Toc136794664"/>
      <w:r>
        <w:rPr>
          <w:rFonts w:ascii="黑体" w:hAnsi="黑体" w:eastAsia="黑体" w:cs="黑体"/>
          <w:b w:val="0"/>
          <w:bCs w:val="0"/>
        </w:rPr>
        <w:t>生态文明建设基础</w:t>
      </w:r>
      <w:bookmarkEnd w:id="67"/>
      <w:bookmarkEnd w:id="68"/>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（一）区域特征</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区位发展优势突出</w:t>
      </w:r>
      <w:r>
        <w:rPr>
          <w:rFonts w:ascii="仿宋_GB2312" w:hAnsi="仿宋_GB2312" w:eastAsia="仿宋_GB2312" w:cs="仿宋_GB2312"/>
          <w:b/>
          <w:sz w:val="32"/>
          <w:szCs w:val="32"/>
        </w:rPr>
        <w:t>。</w:t>
      </w:r>
      <w:bookmarkStart w:id="69" w:name="_Hlk160481369"/>
      <w:r>
        <w:rPr>
          <w:rFonts w:hint="eastAsia" w:ascii="仿宋_GB2312" w:hAnsi="仿宋_GB2312" w:eastAsia="仿宋_GB2312" w:cs="仿宋_GB2312"/>
          <w:bCs/>
          <w:sz w:val="32"/>
          <w:szCs w:val="32"/>
        </w:rPr>
        <w:t>顺义区位于北京市东北部，距市区</w:t>
      </w:r>
      <w:r>
        <w:rPr>
          <w:rFonts w:ascii="仿宋_GB2312" w:hAnsi="仿宋_GB2312" w:eastAsia="仿宋_GB2312" w:cs="仿宋_GB2312"/>
          <w:bCs/>
          <w:sz w:val="32"/>
          <w:szCs w:val="32"/>
        </w:rPr>
        <w:t>30公里，毗邻北京城市副中心，是</w:t>
      </w:r>
      <w:bookmarkEnd w:id="69"/>
      <w:r>
        <w:rPr>
          <w:rFonts w:hint="eastAsia" w:ascii="仿宋_GB2312" w:hAnsi="仿宋_GB2312" w:eastAsia="仿宋_GB2312" w:cs="仿宋_GB2312"/>
          <w:bCs/>
          <w:sz w:val="32"/>
          <w:szCs w:val="32"/>
        </w:rPr>
        <w:t>首都国际机场</w:t>
      </w:r>
      <w:r>
        <w:rPr>
          <w:rFonts w:ascii="仿宋_GB2312" w:hAnsi="仿宋_GB2312" w:eastAsia="仿宋_GB2312" w:cs="仿宋_GB2312"/>
          <w:bCs/>
          <w:sz w:val="32"/>
          <w:szCs w:val="32"/>
        </w:rPr>
        <w:t>所在地</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中心城区适宜功能产业的重要承接地</w:t>
      </w:r>
      <w:r>
        <w:rPr>
          <w:rFonts w:hint="eastAsia" w:ascii="仿宋_GB2312" w:hAnsi="仿宋_GB2312" w:eastAsia="仿宋_GB2312" w:cs="仿宋_GB2312"/>
          <w:bCs/>
          <w:sz w:val="32"/>
          <w:szCs w:val="32"/>
        </w:rPr>
        <w:t>。</w:t>
      </w:r>
      <w:bookmarkStart w:id="70" w:name="_Hlk160481398"/>
      <w:r>
        <w:rPr>
          <w:rFonts w:hint="eastAsia" w:ascii="仿宋_GB2312" w:hAnsi="仿宋_GB2312" w:eastAsia="仿宋_GB2312" w:cs="仿宋_GB2312"/>
          <w:bCs/>
          <w:sz w:val="32"/>
          <w:szCs w:val="32"/>
        </w:rPr>
        <w:t>北京自贸试验区顺义组团的面积居各组团之首，依托北京中德经济技术合作先行示范区，以首善标准打造高水平开放新高地，在“两区”建设、高端制造、新城发展上走在前列，为首都高质量发展贡献顺义力量。</w:t>
      </w:r>
      <w:bookmarkEnd w:id="70"/>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rPr>
        <w:t>首都重点平原新城</w:t>
      </w:r>
      <w:r>
        <w:rPr>
          <w:rFonts w:ascii="仿宋_GB2312" w:hAnsi="仿宋_GB2312" w:eastAsia="仿宋_GB2312" w:cs="仿宋_GB2312"/>
          <w:b/>
          <w:sz w:val="32"/>
          <w:szCs w:val="32"/>
        </w:rPr>
        <w:t>。</w:t>
      </w:r>
      <w:r>
        <w:rPr>
          <w:rFonts w:hint="eastAsia" w:ascii="仿宋_GB2312" w:hAnsi="仿宋_GB2312" w:eastAsia="仿宋_GB2312" w:cs="仿宋_GB2312"/>
          <w:bCs/>
          <w:sz w:val="32"/>
          <w:szCs w:val="32"/>
        </w:rPr>
        <w:t>顺义区总面积</w:t>
      </w:r>
      <w:r>
        <w:rPr>
          <w:rFonts w:ascii="仿宋_GB2312" w:hAnsi="仿宋_GB2312" w:eastAsia="仿宋_GB2312" w:cs="仿宋_GB2312"/>
          <w:bCs/>
          <w:sz w:val="32"/>
          <w:szCs w:val="32"/>
        </w:rPr>
        <w:t>1021</w:t>
      </w:r>
      <w:r>
        <w:rPr>
          <w:rFonts w:hint="eastAsia" w:ascii="仿宋_GB2312" w:hAnsi="仿宋_GB2312" w:eastAsia="仿宋_GB2312" w:cs="仿宋_GB2312"/>
          <w:bCs/>
          <w:sz w:val="32"/>
          <w:szCs w:val="32"/>
        </w:rPr>
        <w:t>平方公里，其中平原面积</w:t>
      </w:r>
      <w:r>
        <w:rPr>
          <w:rFonts w:ascii="仿宋_GB2312" w:hAnsi="仿宋_GB2312" w:eastAsia="仿宋_GB2312" w:cs="仿宋_GB2312"/>
          <w:bCs/>
          <w:sz w:val="32"/>
          <w:szCs w:val="32"/>
        </w:rPr>
        <w:t>占总面积</w:t>
      </w:r>
      <w:r>
        <w:rPr>
          <w:rFonts w:hint="eastAsia" w:ascii="仿宋_GB2312" w:hAnsi="仿宋_GB2312" w:eastAsia="仿宋_GB2312" w:cs="仿宋_GB2312"/>
          <w:bCs/>
          <w:sz w:val="32"/>
          <w:szCs w:val="32"/>
        </w:rPr>
        <w:t>的</w:t>
      </w:r>
      <w:r>
        <w:rPr>
          <w:rFonts w:ascii="仿宋_GB2312" w:hAnsi="仿宋_GB2312" w:eastAsia="仿宋_GB2312" w:cs="仿宋_GB2312"/>
          <w:bCs/>
          <w:sz w:val="32"/>
          <w:szCs w:val="32"/>
        </w:rPr>
        <w:t>95.7%</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按照新版北京城市总体规划，顺义区是北京市“一核一主一副、两轴多点一区”城市空间结构中的“多点”之一，</w:t>
      </w:r>
      <w:r>
        <w:rPr>
          <w:rFonts w:hint="eastAsia" w:ascii="仿宋_GB2312" w:hAnsi="仿宋_GB2312" w:eastAsia="仿宋_GB2312" w:cs="仿宋_GB2312"/>
          <w:bCs/>
          <w:sz w:val="32"/>
          <w:szCs w:val="32"/>
        </w:rPr>
        <w:t>是承接中心城区适宜功能和人口疏解的重点地区，是推进京津冀协同发展的重要区域，聚焦</w:t>
      </w:r>
      <w:r>
        <w:rPr>
          <w:rFonts w:ascii="仿宋_GB2312" w:hAnsi="仿宋_GB2312" w:eastAsia="仿宋_GB2312" w:cs="仿宋_GB2312"/>
          <w:bCs/>
          <w:sz w:val="32"/>
          <w:szCs w:val="32"/>
        </w:rPr>
        <w:t>建设“港城融合的国际航空中心核心区，创新引领的区域经济提升发展先行区，城乡协调的首都和谐宜居示范区”</w:t>
      </w:r>
      <w:r>
        <w:rPr>
          <w:rFonts w:hint="eastAsia" w:ascii="仿宋_GB2312" w:hAnsi="仿宋_GB2312" w:eastAsia="仿宋_GB2312" w:cs="仿宋_GB2312"/>
          <w:bCs/>
          <w:sz w:val="32"/>
          <w:szCs w:val="32"/>
        </w:rPr>
        <w:t>。</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（二）发展定位</w:t>
      </w:r>
    </w:p>
    <w:p>
      <w:pPr>
        <w:adjustRightInd w:val="0"/>
        <w:snapToGrid w:val="0"/>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以习近平新时代中国特色社会主义思想为指导，全面贯彻落实党的二十大和二十届二中全会精神，认真贯彻中央经济工作会议精神，坚持稳中求进工作总基调，完整、准确、全面贯彻新发展理念，以服务新时代首都发展为统领，着力推动高质量发展，全面深化改革开放，扎实推进共同富裕，统筹新型城镇化和乡村全面振兴，统筹高质量发展和高水平安全，增进民生福祉，持续推动经济实现质的有效提升和量的合理增长，奋力谱写新时代首都发展的顺义篇章。</w:t>
      </w:r>
    </w:p>
    <w:p>
      <w:pPr>
        <w:adjustRightInd w:val="0"/>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bCs/>
          <w:sz w:val="32"/>
          <w:szCs w:val="32"/>
        </w:rPr>
        <w:t>作为首都社会主义现代化平原新城，要把推进中国式现代化作为最大的政治，聚焦经济建设这一中心工作和高质量发展这一首要任务，始终站在首都发展大局中谋划推进顺义工作。牢牢把握高质量发展的根本要求，进一步推动资源集约高效利用，着力提高全要素生产率，加快建设首都社会主义现代化平原新城</w:t>
      </w:r>
      <w:bookmarkStart w:id="71" w:name="_Hlk162178950"/>
      <w:r>
        <w:rPr>
          <w:rFonts w:hint="eastAsia" w:ascii="仿宋_GB2312" w:hAnsi="仿宋_GB2312" w:eastAsia="仿宋_GB2312" w:cs="仿宋_GB2312"/>
          <w:bCs/>
          <w:sz w:val="32"/>
          <w:szCs w:val="32"/>
        </w:rPr>
        <w:t>，打造以高水平保护推动高质量发展的美丽平原新城典范</w:t>
      </w:r>
      <w:bookmarkEnd w:id="71"/>
      <w:r>
        <w:rPr>
          <w:rFonts w:hint="eastAsia" w:ascii="仿宋_GB2312" w:hAnsi="仿宋_GB2312" w:eastAsia="仿宋_GB2312" w:cs="仿宋_GB2312"/>
          <w:bCs/>
          <w:sz w:val="32"/>
          <w:szCs w:val="32"/>
        </w:rPr>
        <w:t>，为率先基本建成首都社会主义现代化平原新城贡献顺义力量。</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（三）工作基础</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72" w:name="_Hlk160483149"/>
      <w:bookmarkStart w:id="73" w:name="_Hlk154678476"/>
      <w:r>
        <w:rPr>
          <w:rFonts w:hint="eastAsia" w:ascii="仿宋_GB2312" w:hAnsi="仿宋_GB2312" w:eastAsia="仿宋_GB2312" w:cs="仿宋_GB2312"/>
          <w:b/>
          <w:sz w:val="32"/>
          <w:szCs w:val="32"/>
        </w:rPr>
        <w:t>经济高质量发展迈出坚实步伐。</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年，顺义区经济总量从</w:t>
      </w:r>
      <w:r>
        <w:rPr>
          <w:rFonts w:ascii="仿宋_GB2312" w:hAnsi="仿宋_GB2312" w:eastAsia="仿宋_GB2312" w:cs="仿宋_GB2312"/>
          <w:bCs/>
          <w:sz w:val="32"/>
          <w:szCs w:val="32"/>
        </w:rPr>
        <w:t>2015年1440.9亿元</w:t>
      </w:r>
      <w:r>
        <w:rPr>
          <w:rFonts w:hint="eastAsia" w:ascii="仿宋_GB2312" w:hAnsi="仿宋_GB2312" w:eastAsia="仿宋_GB2312" w:cs="仿宋_GB2312"/>
          <w:bCs/>
          <w:sz w:val="32"/>
          <w:szCs w:val="32"/>
        </w:rPr>
        <w:t>增长至</w:t>
      </w:r>
      <w:r>
        <w:rPr>
          <w:rFonts w:ascii="仿宋_GB2312" w:hAnsi="仿宋_GB2312" w:eastAsia="仿宋_GB2312" w:cs="仿宋_GB2312"/>
          <w:bCs/>
          <w:sz w:val="32"/>
          <w:szCs w:val="32"/>
        </w:rPr>
        <w:t>2073.2亿元，</w:t>
      </w:r>
      <w:r>
        <w:rPr>
          <w:rFonts w:hint="eastAsia" w:ascii="仿宋_GB2312" w:hAnsi="仿宋_GB2312" w:eastAsia="仿宋_GB2312" w:cs="仿宋_GB2312"/>
          <w:bCs/>
          <w:sz w:val="32"/>
          <w:szCs w:val="32"/>
        </w:rPr>
        <w:t>年均复合增速</w:t>
      </w:r>
      <w:r>
        <w:rPr>
          <w:rFonts w:ascii="仿宋_GB2312" w:hAnsi="仿宋_GB2312" w:eastAsia="仿宋_GB2312" w:cs="仿宋_GB2312"/>
          <w:bCs/>
          <w:sz w:val="32"/>
          <w:szCs w:val="32"/>
        </w:rPr>
        <w:t>5.33%</w:t>
      </w:r>
      <w:r>
        <w:rPr>
          <w:rFonts w:hint="eastAsia" w:ascii="仿宋_GB2312" w:hAnsi="仿宋_GB2312" w:eastAsia="仿宋_GB2312" w:cs="仿宋_GB2312"/>
          <w:bCs/>
          <w:sz w:val="32"/>
          <w:szCs w:val="32"/>
        </w:rPr>
        <w:t>，</w:t>
      </w:r>
      <w:bookmarkEnd w:id="72"/>
      <w:r>
        <w:rPr>
          <w:rFonts w:hint="eastAsia" w:ascii="仿宋_GB2312" w:hAnsi="仿宋_GB2312" w:eastAsia="仿宋_GB2312" w:cs="仿宋_GB2312"/>
          <w:bCs/>
          <w:sz w:val="32"/>
          <w:szCs w:val="32"/>
        </w:rPr>
        <w:t>产业结构不断升级，三大产业结构比例由</w:t>
      </w:r>
      <w:r>
        <w:rPr>
          <w:rFonts w:ascii="仿宋_GB2312" w:hAnsi="仿宋_GB2312" w:eastAsia="仿宋_GB2312" w:cs="仿宋_GB2312"/>
          <w:bCs/>
          <w:sz w:val="32"/>
          <w:szCs w:val="32"/>
        </w:rPr>
        <w:t>2015</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40.1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58.4</w:t>
      </w:r>
      <w:r>
        <w:rPr>
          <w:rFonts w:hint="eastAsia" w:ascii="仿宋_GB2312" w:hAnsi="仿宋_GB2312" w:eastAsia="仿宋_GB2312" w:cs="仿宋_GB2312"/>
          <w:bCs/>
          <w:sz w:val="32"/>
          <w:szCs w:val="32"/>
        </w:rPr>
        <w:t>调整</w:t>
      </w:r>
      <w:r>
        <w:rPr>
          <w:rFonts w:ascii="仿宋_GB2312" w:hAnsi="仿宋_GB2312" w:eastAsia="仿宋_GB2312" w:cs="仿宋_GB2312"/>
          <w:bCs/>
          <w:sz w:val="32"/>
          <w:szCs w:val="32"/>
        </w:rPr>
        <w:t>为</w:t>
      </w:r>
      <w:bookmarkStart w:id="74" w:name="_Hlk154314664"/>
      <w:r>
        <w:rPr>
          <w:rFonts w:ascii="仿宋_GB2312" w:hAnsi="仿宋_GB2312" w:eastAsia="仿宋_GB2312" w:cs="仿宋_GB2312"/>
          <w:bCs/>
          <w:sz w:val="32"/>
          <w:szCs w:val="32"/>
        </w:rPr>
        <w:t>0.8</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27.4</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71.8</w:t>
      </w:r>
      <w:bookmarkEnd w:id="74"/>
      <w:r>
        <w:rPr>
          <w:rFonts w:hint="eastAsia" w:ascii="仿宋_GB2312" w:hAnsi="仿宋_GB2312" w:eastAsia="仿宋_GB2312" w:cs="仿宋_GB2312"/>
          <w:bCs/>
          <w:sz w:val="32"/>
          <w:szCs w:val="32"/>
        </w:rPr>
        <w:t>，人均地区生产总值达到发达经济体标准，单位地区生产总值能耗、水耗完成市级任务，</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年完成最后一个村仁和镇河南村“煤改电”并实现全区</w:t>
      </w:r>
      <w:r>
        <w:rPr>
          <w:rFonts w:ascii="仿宋_GB2312" w:hAnsi="仿宋_GB2312" w:eastAsia="仿宋_GB2312" w:cs="仿宋_GB2312"/>
          <w:bCs/>
          <w:sz w:val="32"/>
          <w:szCs w:val="32"/>
        </w:rPr>
        <w:t>100%清洁能源取暖</w:t>
      </w:r>
      <w:r>
        <w:rPr>
          <w:rFonts w:hint="eastAsia" w:ascii="仿宋_GB2312" w:hAnsi="仿宋_GB2312" w:eastAsia="仿宋_GB2312" w:cs="仿宋_GB2312"/>
          <w:bCs/>
          <w:sz w:val="32"/>
          <w:szCs w:val="32"/>
        </w:rPr>
        <w:t>，出台顺义区分布式光伏发电项目推广办法，积极推动分布式光伏发电，经济质量效益得到进一步提升。“</w:t>
      </w:r>
      <w:r>
        <w:rPr>
          <w:rFonts w:ascii="仿宋_GB2312" w:hAnsi="仿宋_GB2312" w:eastAsia="仿宋_GB2312" w:cs="仿宋_GB2312"/>
          <w:bCs/>
          <w:sz w:val="32"/>
          <w:szCs w:val="32"/>
        </w:rPr>
        <w:t>3+4+1”</w:t>
      </w:r>
      <w:r>
        <w:rPr>
          <w:rFonts w:hint="eastAsia" w:ascii="仿宋_GB2312" w:hAnsi="仿宋_GB2312" w:eastAsia="仿宋_GB2312" w:cs="仿宋_GB2312"/>
          <w:bCs/>
          <w:sz w:val="32"/>
          <w:szCs w:val="32"/>
        </w:rPr>
        <w:t>高精尖产业体系加快构建，发布实施《智能制造行动计划和国家高新技术企业倍增行动计划》，高精尖项目落地数位居全市前列，</w:t>
      </w:r>
      <w:r>
        <w:rPr>
          <w:rFonts w:ascii="仿宋_GB2312" w:hAnsi="仿宋_GB2312" w:eastAsia="仿宋_GB2312" w:cs="仿宋_GB2312"/>
          <w:bCs/>
          <w:sz w:val="32"/>
          <w:szCs w:val="32"/>
        </w:rPr>
        <w:t>成功获批（评）北京创新产业集群示范</w:t>
      </w:r>
      <w:r>
        <w:rPr>
          <w:rFonts w:hint="eastAsia" w:ascii="仿宋_GB2312" w:hAnsi="仿宋_GB2312" w:eastAsia="仿宋_GB2312" w:cs="仿宋_GB2312"/>
          <w:bCs/>
          <w:sz w:val="32"/>
          <w:szCs w:val="32"/>
        </w:rPr>
        <w:t>区（顺义）、首都机场临空经济示范区和国家农业可持续发展试验示范区，创新发展能力不断增强，深入实施创业摇篮计划，搭建创新创业综合服务平台</w:t>
      </w:r>
      <w:r>
        <w:rPr>
          <w:rFonts w:ascii="仿宋_GB2312" w:hAnsi="仿宋_GB2312" w:eastAsia="仿宋_GB2312" w:cs="仿宋_GB2312"/>
          <w:bCs/>
          <w:sz w:val="32"/>
          <w:szCs w:val="32"/>
        </w:rPr>
        <w:t>，为科技企业创新发展提供了强有力支撑。</w:t>
      </w:r>
      <w:bookmarkStart w:id="75" w:name="_Hlk160483279"/>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年，顺义区入选工业和信息化部第五批服务型制造示范名单，为北京市首次入选的区，顺义区将建设首都服务型制造样本；顺义区被农业农村部、财政部联合批准入选</w:t>
      </w:r>
      <w:r>
        <w:rPr>
          <w:rFonts w:ascii="仿宋_GB2312" w:hAnsi="仿宋_GB2312" w:eastAsia="仿宋_GB2312" w:cs="仿宋_GB2312"/>
          <w:bCs/>
          <w:sz w:val="32"/>
          <w:szCs w:val="32"/>
        </w:rPr>
        <w:t>2023年国家现代农业产业园创建</w:t>
      </w:r>
      <w:bookmarkEnd w:id="75"/>
      <w:r>
        <w:rPr>
          <w:rFonts w:hint="eastAsia" w:ascii="仿宋_GB2312" w:hAnsi="仿宋_GB2312" w:eastAsia="仿宋_GB2312" w:cs="仿宋_GB2312"/>
          <w:bCs/>
          <w:sz w:val="32"/>
          <w:szCs w:val="32"/>
        </w:rPr>
        <w:t>；高标准推进“两区”建设，新增“两区”入库项目</w:t>
      </w:r>
      <w:r>
        <w:rPr>
          <w:rFonts w:ascii="仿宋_GB2312" w:hAnsi="仿宋_GB2312" w:eastAsia="仿宋_GB2312" w:cs="仿宋_GB2312"/>
          <w:bCs/>
          <w:sz w:val="32"/>
          <w:szCs w:val="32"/>
        </w:rPr>
        <w:t>1224个，其中落地项目1024个、排名全市第1；新增国家级专精特新“小巨人”企业13家，国家高新技</w:t>
      </w:r>
      <w:r>
        <w:rPr>
          <w:rFonts w:hint="eastAsia" w:ascii="仿宋_GB2312" w:hAnsi="仿宋_GB2312" w:eastAsia="仿宋_GB2312" w:cs="仿宋_GB2312"/>
          <w:bCs/>
          <w:sz w:val="32"/>
          <w:szCs w:val="32"/>
        </w:rPr>
        <w:t>术企业保有量达</w:t>
      </w:r>
      <w:r>
        <w:rPr>
          <w:rFonts w:ascii="仿宋_GB2312" w:hAnsi="仿宋_GB2312" w:eastAsia="仿宋_GB2312" w:cs="仿宋_GB2312"/>
          <w:bCs/>
          <w:sz w:val="32"/>
          <w:szCs w:val="32"/>
        </w:rPr>
        <w:t>1770家</w:t>
      </w:r>
      <w:r>
        <w:rPr>
          <w:rFonts w:hint="eastAsia" w:ascii="仿宋_GB2312" w:hAnsi="仿宋_GB2312" w:eastAsia="仿宋_GB2312" w:cs="仿宋_GB2312"/>
          <w:bCs/>
          <w:sz w:val="32"/>
          <w:szCs w:val="32"/>
        </w:rPr>
        <w:t>；建设市级示范性集体林场</w:t>
      </w:r>
      <w:r>
        <w:rPr>
          <w:rFonts w:ascii="仿宋_GB2312" w:hAnsi="仿宋_GB2312" w:eastAsia="仿宋_GB2312" w:cs="仿宋_GB2312"/>
          <w:bCs/>
          <w:sz w:val="32"/>
          <w:szCs w:val="32"/>
        </w:rPr>
        <w:t>5个、发展林下经济2.5万亩</w:t>
      </w:r>
      <w:r>
        <w:rPr>
          <w:rFonts w:hint="eastAsia" w:ascii="仿宋_GB2312" w:hAnsi="仿宋_GB2312" w:eastAsia="仿宋_GB2312" w:cs="仿宋_GB2312"/>
          <w:bCs/>
          <w:sz w:val="32"/>
          <w:szCs w:val="32"/>
        </w:rPr>
        <w:t>，成功举办第九届国际樱桃大会。</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76" w:name="_Hlk160482719"/>
      <w:r>
        <w:rPr>
          <w:rFonts w:hint="eastAsia" w:ascii="仿宋_GB2312" w:hAnsi="仿宋_GB2312" w:eastAsia="仿宋_GB2312" w:cs="仿宋_GB2312"/>
          <w:b/>
          <w:sz w:val="32"/>
          <w:szCs w:val="32"/>
        </w:rPr>
        <w:t>因地制宜发展新质生产力成效突出</w:t>
      </w:r>
      <w:r>
        <w:rPr>
          <w:rFonts w:hint="eastAsia" w:ascii="仿宋_GB2312" w:hAnsi="仿宋_GB2312" w:eastAsia="仿宋_GB2312" w:cs="仿宋_GB2312"/>
          <w:bCs/>
          <w:sz w:val="32"/>
          <w:szCs w:val="32"/>
        </w:rPr>
        <w:t>。坚持从实际出发，根据顺义区资源禀赋、产业基础、科研条件等，加大创新力度，成立区级专班、完善统筹机制，扎实推进北京创新产业集群示范区（顺义）建设，使顺义区成为发展新质生产力的重要阵地，为构建新发展格局、推动高质量发展、推进中国式现代化持续注入强劲动力。推动培育</w:t>
      </w:r>
      <w:r>
        <w:rPr>
          <w:rFonts w:hint="eastAsia" w:ascii="仿宋_GB2312" w:hAnsi="仿宋_GB2312" w:eastAsia="仿宋_GB2312" w:cs="仿宋_GB2312"/>
          <w:bCs/>
          <w:sz w:val="32"/>
          <w:szCs w:val="32"/>
          <w:lang w:val="zh-CN"/>
        </w:rPr>
        <w:t>新能源智能汽车、第三代半导体、航空航天三大创新产业集群，</w:t>
      </w:r>
      <w:r>
        <w:rPr>
          <w:rFonts w:hint="eastAsia" w:ascii="仿宋_GB2312" w:hAnsi="仿宋_GB2312" w:eastAsia="仿宋_GB2312" w:cs="仿宋_GB2312"/>
          <w:bCs/>
          <w:sz w:val="32"/>
          <w:szCs w:val="32"/>
        </w:rPr>
        <w:t>完善现代化产业体系。推动新能源智能汽车产业强链补链延链，理想汽车旗舰工厂建成投产，毫末智行、继峰座椅等产业链上下游项目落地实施，推动北京奔驰顺义工厂、北汽越野车产线利用率提升。培育壮大第三代半导体产业，成功入选国家级特色产业集群，启动标准化厂房二期建设，引进漠石科技等</w:t>
      </w:r>
      <w:r>
        <w:rPr>
          <w:rFonts w:ascii="仿宋_GB2312" w:hAnsi="仿宋_GB2312" w:eastAsia="仿宋_GB2312" w:cs="仿宋_GB2312"/>
          <w:bCs/>
          <w:sz w:val="32"/>
          <w:szCs w:val="32"/>
        </w:rPr>
        <w:t>5个重点项目，国联万众实现投产。全力推动航空航天产</w:t>
      </w:r>
      <w:r>
        <w:rPr>
          <w:rFonts w:hint="eastAsia" w:ascii="仿宋_GB2312" w:hAnsi="仿宋_GB2312" w:eastAsia="仿宋_GB2312" w:cs="仿宋_GB2312"/>
          <w:bCs/>
          <w:sz w:val="32"/>
          <w:szCs w:val="32"/>
        </w:rPr>
        <w:t>业发展，中航发叶片示范线项目竣工，北京航空发动机维修项目开工建设。</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创新试点示范加快绿色低碳发展。</w:t>
      </w:r>
      <w:r>
        <w:rPr>
          <w:rFonts w:hint="eastAsia" w:ascii="仿宋_GB2312" w:hAnsi="仿宋_GB2312" w:eastAsia="仿宋_GB2312" w:cs="仿宋_GB2312"/>
          <w:bCs/>
          <w:sz w:val="32"/>
          <w:szCs w:val="32"/>
        </w:rPr>
        <w:t>推进创新试点，顺义区汽车制造行业清洁生产审核创新试点项目成为北京市唯一入选国家首批清洁生产审核创新试点的项目。</w:t>
      </w:r>
      <w:bookmarkEnd w:id="76"/>
      <w:r>
        <w:rPr>
          <w:rFonts w:hint="eastAsia" w:ascii="仿宋_GB2312" w:hAnsi="仿宋_GB2312" w:eastAsia="仿宋_GB2312" w:cs="仿宋_GB2312"/>
          <w:bCs/>
          <w:sz w:val="32"/>
          <w:szCs w:val="32"/>
        </w:rPr>
        <w:t>创新打造农村人居环境四级考核体系，获得“全国村庄清洁行动先进县”国家级荣誉。强化试点示范，申报减污降碳创新试点</w:t>
      </w:r>
      <w:r>
        <w:rPr>
          <w:rFonts w:ascii="仿宋_GB2312" w:hAnsi="仿宋_GB2312" w:eastAsia="仿宋_GB2312" w:cs="仿宋_GB2312"/>
          <w:bCs/>
          <w:sz w:val="32"/>
          <w:szCs w:val="32"/>
        </w:rPr>
        <w:t>2个、先进低碳技术试点2个、气候友好型区域试点4个，龙湾屯镇柳庄户村、后沙峪镇江山赋社区已通过初审进入复核阶段。研究探索精准、科学降碳工作路径，有序推进温室气体排放清单、碳减排行动方案编制。</w:t>
      </w:r>
      <w:bookmarkStart w:id="77" w:name="_Hlk160483073"/>
      <w:r>
        <w:rPr>
          <w:rFonts w:ascii="仿宋_GB2312" w:hAnsi="仿宋_GB2312" w:eastAsia="仿宋_GB2312" w:cs="仿宋_GB2312"/>
          <w:bCs/>
          <w:sz w:val="32"/>
          <w:szCs w:val="32"/>
        </w:rPr>
        <w:t>2023年全区累计并网分布式光伏发电项目总规模突破234兆瓦，并网规模居</w:t>
      </w:r>
      <w:r>
        <w:rPr>
          <w:rFonts w:hint="eastAsia" w:ascii="仿宋_GB2312" w:hAnsi="仿宋_GB2312" w:eastAsia="仿宋_GB2312" w:cs="仿宋_GB2312"/>
          <w:bCs/>
          <w:sz w:val="32"/>
          <w:szCs w:val="32"/>
        </w:rPr>
        <w:t>全市首位，占全市总量的</w:t>
      </w:r>
      <w:r>
        <w:rPr>
          <w:rFonts w:ascii="仿宋_GB2312" w:hAnsi="仿宋_GB2312" w:eastAsia="仿宋_GB2312" w:cs="仿宋_GB2312"/>
          <w:bCs/>
          <w:sz w:val="32"/>
          <w:szCs w:val="32"/>
        </w:rPr>
        <w:t>21.4%。</w:t>
      </w:r>
      <w:bookmarkEnd w:id="77"/>
      <w:r>
        <w:rPr>
          <w:rFonts w:ascii="仿宋_GB2312" w:hAnsi="仿宋_GB2312" w:eastAsia="仿宋_GB2312" w:cs="仿宋_GB2312"/>
          <w:bCs/>
          <w:sz w:val="32"/>
          <w:szCs w:val="32"/>
        </w:rPr>
        <w:t>在全市率先开展企业绿色绩效评价，完成首家纳入北京绿色企业库的企业，延锋海纳川汽车饰件系统有限公司全市第一个获评绿色绩效评价浅绿色企业。开展绿色示范创建，全区现有绿色工厂14家，绿色供应链管理企业3家，企业数量位居全市第2。</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ascii="仿宋_GB2312" w:hAnsi="仿宋_GB2312" w:eastAsia="仿宋_GB2312" w:cs="仿宋_GB2312"/>
          <w:b/>
          <w:sz w:val="32"/>
          <w:szCs w:val="32"/>
        </w:rPr>
        <w:t>生态环境质量持续改善</w:t>
      </w:r>
      <w:r>
        <w:rPr>
          <w:rFonts w:hint="eastAsia" w:ascii="仿宋_GB2312" w:hAnsi="仿宋_GB2312" w:eastAsia="仿宋_GB2312" w:cs="仿宋_GB2312"/>
          <w:b/>
          <w:sz w:val="32"/>
          <w:szCs w:val="32"/>
        </w:rPr>
        <w:t>向好</w:t>
      </w:r>
      <w:r>
        <w:rPr>
          <w:rFonts w:ascii="仿宋_GB2312" w:hAnsi="仿宋_GB2312" w:eastAsia="仿宋_GB2312" w:cs="仿宋_GB2312"/>
          <w:b/>
          <w:sz w:val="32"/>
          <w:szCs w:val="32"/>
        </w:rPr>
        <w:t>。</w:t>
      </w:r>
      <w:r>
        <w:rPr>
          <w:rFonts w:hint="eastAsia" w:ascii="仿宋_GB2312" w:hAnsi="仿宋_GB2312" w:eastAsia="仿宋_GB2312" w:cs="仿宋_GB2312"/>
          <w:bCs/>
          <w:sz w:val="32"/>
          <w:szCs w:val="32"/>
        </w:rPr>
        <w:t>多年来，</w:t>
      </w:r>
      <w:r>
        <w:rPr>
          <w:rFonts w:ascii="仿宋_GB2312" w:hAnsi="仿宋_GB2312" w:eastAsia="仿宋_GB2312" w:cs="仿宋_GB2312"/>
          <w:bCs/>
          <w:sz w:val="32"/>
          <w:szCs w:val="32"/>
        </w:rPr>
        <w:t>顺义区</w:t>
      </w:r>
      <w:r>
        <w:rPr>
          <w:rFonts w:hint="eastAsia" w:ascii="仿宋_GB2312" w:hAnsi="仿宋_GB2312" w:eastAsia="仿宋_GB2312" w:cs="仿宋_GB2312"/>
          <w:bCs/>
          <w:sz w:val="32"/>
          <w:szCs w:val="32"/>
        </w:rPr>
        <w:t>连续获得</w:t>
      </w:r>
      <w:r>
        <w:rPr>
          <w:rFonts w:ascii="仿宋_GB2312" w:hAnsi="仿宋_GB2312" w:eastAsia="仿宋_GB2312" w:cs="仿宋_GB2312"/>
          <w:bCs/>
          <w:sz w:val="32"/>
          <w:szCs w:val="32"/>
        </w:rPr>
        <w:t>污染防治攻坚战</w:t>
      </w:r>
      <w:r>
        <w:rPr>
          <w:rFonts w:hint="eastAsia" w:ascii="仿宋_GB2312" w:hAnsi="仿宋_GB2312" w:eastAsia="仿宋_GB2312" w:cs="仿宋_GB2312"/>
          <w:bCs/>
          <w:sz w:val="32"/>
          <w:szCs w:val="32"/>
        </w:rPr>
        <w:t>成效考核“优秀”等次。</w:t>
      </w:r>
      <w:r>
        <w:rPr>
          <w:rFonts w:hint="eastAsia" w:ascii="仿宋_GB2312" w:hAnsi="仿宋_GB2312" w:eastAsia="仿宋_GB2312" w:cs="仿宋_GB2312"/>
          <w:b/>
          <w:bCs/>
          <w:sz w:val="32"/>
          <w:szCs w:val="32"/>
        </w:rPr>
        <w:t>空气质量持续创优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顺义</w:t>
      </w:r>
      <w:r>
        <w:rPr>
          <w:rFonts w:ascii="仿宋_GB2312" w:hAnsi="仿宋_GB2312" w:eastAsia="仿宋_GB2312" w:cs="仿宋_GB2312"/>
          <w:sz w:val="32"/>
          <w:szCs w:val="32"/>
        </w:rPr>
        <w:t>区PM</w:t>
      </w:r>
      <w:r>
        <w:rPr>
          <w:rFonts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年均</w:t>
      </w:r>
      <w:r>
        <w:rPr>
          <w:rFonts w:ascii="仿宋_GB2312" w:hAnsi="仿宋_GB2312" w:eastAsia="仿宋_GB2312" w:cs="仿宋_GB2312"/>
          <w:sz w:val="32"/>
          <w:szCs w:val="32"/>
        </w:rPr>
        <w:t>浓度实现历史性突破，降至35微克/立方米，较201</w:t>
      </w:r>
      <w:r>
        <w:rPr>
          <w:rFonts w:hint="eastAsia" w:ascii="仿宋_GB2312" w:hAnsi="仿宋_GB2312" w:eastAsia="仿宋_GB2312" w:cs="仿宋_GB2312"/>
          <w:sz w:val="32"/>
          <w:szCs w:val="32"/>
        </w:rPr>
        <w:t>3年下降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8.8</w:t>
      </w:r>
      <w:r>
        <w:rPr>
          <w:rFonts w:ascii="仿宋_GB2312" w:hAnsi="仿宋_GB2312" w:eastAsia="仿宋_GB2312" w:cs="仿宋_GB2312"/>
          <w:sz w:val="32"/>
          <w:szCs w:val="32"/>
        </w:rPr>
        <w:t>%，首次达到国家二级标准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年连续三年优于国家二级标准，其中2022年PM2.5首次迈入“20+”，全市排名第5，同比下降12.1%，下降率全市排名第4，数据、排名均实现“历史最优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冬奥会开幕式当</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PM</w:t>
      </w:r>
      <w:r>
        <w:rPr>
          <w:rFonts w:ascii="仿宋_GB2312" w:hAnsi="仿宋_GB2312" w:eastAsia="仿宋_GB2312" w:cs="仿宋_GB2312"/>
          <w:sz w:val="32"/>
          <w:szCs w:val="32"/>
          <w:vertAlign w:val="subscript"/>
        </w:rPr>
        <w:t>2.5</w:t>
      </w:r>
      <w:r>
        <w:rPr>
          <w:rFonts w:ascii="仿宋_GB2312" w:hAnsi="仿宋_GB2312" w:eastAsia="仿宋_GB2312" w:cs="仿宋_GB2312"/>
          <w:sz w:val="32"/>
          <w:szCs w:val="32"/>
        </w:rPr>
        <w:t>浓度为4微克/立方米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全市排名第1，创有监测</w:t>
      </w:r>
      <w:r>
        <w:rPr>
          <w:rFonts w:hint="eastAsia" w:ascii="仿宋_GB2312" w:hAnsi="仿宋_GB2312" w:eastAsia="仿宋_GB2312" w:cs="仿宋_GB2312"/>
          <w:sz w:val="32"/>
          <w:szCs w:val="32"/>
        </w:rPr>
        <w:t>数据</w:t>
      </w:r>
      <w:r>
        <w:rPr>
          <w:rFonts w:ascii="仿宋_GB2312" w:hAnsi="仿宋_GB2312" w:eastAsia="仿宋_GB2312" w:cs="仿宋_GB2312"/>
          <w:sz w:val="32"/>
          <w:szCs w:val="32"/>
        </w:rPr>
        <w:t>以来同期最优水平</w:t>
      </w:r>
      <w:r>
        <w:rPr>
          <w:rFonts w:hint="eastAsia" w:ascii="仿宋_GB2312" w:hAnsi="仿宋_GB2312" w:eastAsia="仿宋_GB2312" w:cs="仿宋_GB2312"/>
          <w:sz w:val="32"/>
          <w:szCs w:val="32"/>
        </w:rPr>
        <w:t>，圆满</w:t>
      </w:r>
      <w:r>
        <w:rPr>
          <w:rFonts w:ascii="仿宋_GB2312" w:hAnsi="仿宋_GB2312" w:eastAsia="仿宋_GB2312" w:cs="仿宋_GB2312"/>
          <w:sz w:val="32"/>
          <w:szCs w:val="32"/>
        </w:rPr>
        <w:t>完成冬奥会和冬残奥会空气质量保障任务</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优良天数</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276</w:t>
      </w:r>
      <w:r>
        <w:rPr>
          <w:rFonts w:hint="eastAsia" w:ascii="仿宋_GB2312" w:hAnsi="仿宋_GB2312" w:eastAsia="仿宋_GB2312" w:cs="仿宋_GB2312"/>
          <w:sz w:val="32"/>
          <w:szCs w:val="32"/>
        </w:rPr>
        <w:t>天增至</w:t>
      </w:r>
      <w:r>
        <w:rPr>
          <w:rFonts w:ascii="仿宋_GB2312" w:hAnsi="仿宋_GB2312" w:eastAsia="仿宋_GB2312" w:cs="仿宋_GB2312"/>
          <w:sz w:val="32"/>
          <w:szCs w:val="32"/>
        </w:rPr>
        <w:t>294天，</w:t>
      </w:r>
      <w:r>
        <w:rPr>
          <w:rFonts w:hint="eastAsia" w:ascii="仿宋_GB2312" w:hAnsi="仿宋_GB2312" w:eastAsia="仿宋_GB2312" w:cs="仿宋_GB2312"/>
          <w:sz w:val="32"/>
          <w:szCs w:val="32"/>
        </w:rPr>
        <w:t>优良天数比例由</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75.4%升至80.5%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排名均为</w:t>
      </w:r>
      <w:r>
        <w:rPr>
          <w:rFonts w:ascii="仿宋_GB2312" w:hAnsi="仿宋_GB2312" w:eastAsia="仿宋_GB2312" w:cs="仿宋_GB2312"/>
          <w:sz w:val="32"/>
          <w:szCs w:val="32"/>
        </w:rPr>
        <w:t>第1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水环境质量持续提升。</w:t>
      </w:r>
      <w:r>
        <w:rPr>
          <w:rFonts w:ascii="仿宋_GB2312" w:hAnsi="仿宋_GB2312" w:eastAsia="仿宋_GB2312" w:cs="仿宋_GB2312"/>
          <w:bCs/>
          <w:sz w:val="32"/>
          <w:szCs w:val="32"/>
        </w:rPr>
        <w:t>2022年</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2个地表水国考断面优良水体比例</w:t>
      </w:r>
      <w:r>
        <w:rPr>
          <w:rFonts w:hint="eastAsia" w:ascii="仿宋_GB2312" w:hAnsi="仿宋_GB2312" w:eastAsia="仿宋_GB2312" w:cs="仿宋_GB2312"/>
          <w:bCs/>
          <w:sz w:val="32"/>
          <w:szCs w:val="32"/>
        </w:rPr>
        <w:t>首次</w:t>
      </w:r>
      <w:r>
        <w:rPr>
          <w:rFonts w:ascii="仿宋_GB2312" w:hAnsi="仿宋_GB2312" w:eastAsia="仿宋_GB2312" w:cs="仿宋_GB2312"/>
          <w:bCs/>
          <w:sz w:val="32"/>
          <w:szCs w:val="32"/>
        </w:rPr>
        <w:t>实现100%，6个地表水市考断面达标率连续3年实现100%</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6个市级以上考核断面优良水体</w:t>
      </w:r>
      <w:r>
        <w:rPr>
          <w:rFonts w:hint="eastAsia" w:ascii="仿宋_GB2312" w:hAnsi="仿宋_GB2312" w:eastAsia="仿宋_GB2312" w:cs="仿宋_GB2312"/>
          <w:bCs/>
          <w:sz w:val="32"/>
          <w:szCs w:val="32"/>
        </w:rPr>
        <w:t>比例</w:t>
      </w:r>
      <w:r>
        <w:rPr>
          <w:rFonts w:ascii="仿宋_GB2312" w:hAnsi="仿宋_GB2312" w:eastAsia="仿宋_GB2312" w:cs="仿宋_GB2312"/>
          <w:bCs/>
          <w:sz w:val="32"/>
          <w:szCs w:val="32"/>
        </w:rPr>
        <w:t>67%，同比提升17个百分点</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9条黑臭水体全部达标</w:t>
      </w:r>
      <w:r>
        <w:rPr>
          <w:rFonts w:hint="eastAsia" w:ascii="仿宋_GB2312" w:hAnsi="仿宋_GB2312" w:eastAsia="仿宋_GB2312" w:cs="仿宋_GB2312"/>
          <w:bCs/>
          <w:sz w:val="32"/>
          <w:szCs w:val="32"/>
        </w:rPr>
        <w:t>；区级、</w:t>
      </w:r>
      <w:r>
        <w:rPr>
          <w:rFonts w:ascii="仿宋_GB2312" w:hAnsi="仿宋_GB2312" w:eastAsia="仿宋_GB2312" w:cs="仿宋_GB2312"/>
          <w:bCs/>
          <w:sz w:val="32"/>
          <w:szCs w:val="32"/>
        </w:rPr>
        <w:t>镇级集中式饮用水水源</w:t>
      </w:r>
      <w:r>
        <w:rPr>
          <w:rFonts w:hint="eastAsia" w:ascii="仿宋_GB2312" w:hAnsi="仿宋_GB2312" w:eastAsia="仿宋_GB2312" w:cs="仿宋_GB2312"/>
          <w:bCs/>
          <w:sz w:val="32"/>
          <w:szCs w:val="32"/>
        </w:rPr>
        <w:t>地</w:t>
      </w:r>
      <w:r>
        <w:rPr>
          <w:rFonts w:ascii="仿宋_GB2312" w:hAnsi="仿宋_GB2312" w:eastAsia="仿宋_GB2312" w:cs="仿宋_GB2312"/>
          <w:bCs/>
          <w:sz w:val="32"/>
          <w:szCs w:val="32"/>
        </w:rPr>
        <w:t>水质稳定达标，</w:t>
      </w:r>
      <w:r>
        <w:rPr>
          <w:rFonts w:hint="eastAsia" w:ascii="仿宋_GB2312" w:hAnsi="仿宋_GB2312" w:eastAsia="仿宋_GB2312" w:cs="仿宋_GB2312"/>
          <w:bCs/>
          <w:sz w:val="32"/>
          <w:szCs w:val="32"/>
        </w:rPr>
        <w:t>地下水水位连续</w:t>
      </w:r>
      <w:r>
        <w:rPr>
          <w:rFonts w:ascii="仿宋_GB2312" w:hAnsi="仿宋_GB2312" w:eastAsia="仿宋_GB2312" w:cs="仿宋_GB2312"/>
          <w:bCs/>
          <w:sz w:val="32"/>
          <w:szCs w:val="32"/>
        </w:rPr>
        <w:t>6年回升。</w:t>
      </w:r>
      <w:r>
        <w:rPr>
          <w:rFonts w:hint="eastAsia" w:ascii="仿宋_GB2312" w:hAnsi="仿宋_GB2312" w:eastAsia="仿宋_GB2312" w:cs="仿宋_GB2312"/>
          <w:b/>
          <w:sz w:val="32"/>
          <w:szCs w:val="32"/>
        </w:rPr>
        <w:t>土壤环境质量保持稳定</w:t>
      </w:r>
      <w:r>
        <w:rPr>
          <w:rFonts w:hint="eastAsia" w:ascii="仿宋_GB2312" w:hAnsi="仿宋_GB2312" w:eastAsia="仿宋_GB2312" w:cs="仿宋_GB2312"/>
          <w:bCs/>
          <w:sz w:val="32"/>
          <w:szCs w:val="32"/>
        </w:rPr>
        <w:t>。坚持建设用地、农用地和未利用地“三地”齐抓共管，截至</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年顺义区受污染耕地、污染地块、重点建设用地安全利用率连续</w:t>
      </w:r>
      <w:r>
        <w:rPr>
          <w:rFonts w:ascii="仿宋_GB2312" w:hAnsi="仿宋_GB2312" w:eastAsia="仿宋_GB2312" w:cs="仿宋_GB2312"/>
          <w:bCs/>
          <w:sz w:val="32"/>
          <w:szCs w:val="32"/>
        </w:rPr>
        <w:t>7年保持100%</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率先</w:t>
      </w:r>
      <w:r>
        <w:rPr>
          <w:rFonts w:hint="eastAsia" w:ascii="仿宋_GB2312" w:hAnsi="仿宋_GB2312" w:eastAsia="仿宋_GB2312" w:cs="仿宋_GB2312"/>
          <w:bCs/>
          <w:sz w:val="32"/>
          <w:szCs w:val="32"/>
        </w:rPr>
        <w:t>在</w:t>
      </w:r>
      <w:r>
        <w:rPr>
          <w:rFonts w:ascii="仿宋_GB2312" w:hAnsi="仿宋_GB2312" w:eastAsia="仿宋_GB2312" w:cs="仿宋_GB2312"/>
          <w:bCs/>
          <w:sz w:val="32"/>
          <w:szCs w:val="32"/>
        </w:rPr>
        <w:t>全市完成汽车和医药两个重点行业土壤污染隐患排查试点示范项目。</w:t>
      </w:r>
      <w:r>
        <w:rPr>
          <w:rFonts w:hint="eastAsia" w:ascii="仿宋_GB2312" w:hAnsi="仿宋_GB2312" w:eastAsia="仿宋_GB2312" w:cs="仿宋_GB2312"/>
          <w:b/>
          <w:sz w:val="32"/>
          <w:szCs w:val="32"/>
        </w:rPr>
        <w:t>应对气候变化稳步推进</w:t>
      </w:r>
      <w:r>
        <w:rPr>
          <w:rFonts w:hint="eastAsia" w:ascii="仿宋_GB2312" w:hAnsi="仿宋_GB2312" w:eastAsia="仿宋_GB2312" w:cs="仿宋_GB2312"/>
          <w:bCs/>
          <w:sz w:val="32"/>
          <w:szCs w:val="32"/>
        </w:rPr>
        <w:t>。连续四年圆满完成任务，</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年顺义区单位地区生产总值二氧化碳排放量较</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年累计下降率在全市排名第</w:t>
      </w:r>
      <w:r>
        <w:rPr>
          <w:rFonts w:ascii="仿宋_GB2312" w:hAnsi="仿宋_GB2312" w:eastAsia="仿宋_GB2312" w:cs="仿宋_GB2312"/>
          <w:bCs/>
          <w:sz w:val="32"/>
          <w:szCs w:val="32"/>
        </w:rPr>
        <w:t>1。</w:t>
      </w:r>
      <w:r>
        <w:rPr>
          <w:rFonts w:hint="eastAsia" w:ascii="仿宋_GB2312" w:hAnsi="仿宋_GB2312" w:eastAsia="仿宋_GB2312" w:cs="仿宋_GB2312"/>
          <w:b/>
          <w:sz w:val="32"/>
          <w:szCs w:val="32"/>
        </w:rPr>
        <w:t>生态环境质量状况稳中向好</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2020-2022年</w:t>
      </w:r>
      <w:r>
        <w:rPr>
          <w:rFonts w:hint="eastAsia" w:ascii="仿宋_GB2312" w:hAnsi="仿宋_GB2312" w:eastAsia="仿宋_GB2312" w:cs="仿宋_GB2312"/>
          <w:bCs/>
          <w:sz w:val="32"/>
          <w:szCs w:val="32"/>
        </w:rPr>
        <w:t>，顺义区生态环境质量指数（</w:t>
      </w:r>
      <w:r>
        <w:rPr>
          <w:rFonts w:ascii="仿宋_GB2312" w:hAnsi="仿宋_GB2312" w:eastAsia="仿宋_GB2312" w:cs="仿宋_GB2312"/>
          <w:bCs/>
          <w:sz w:val="32"/>
          <w:szCs w:val="32"/>
        </w:rPr>
        <w:t>EI</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分别为63.02、67.9、68.0</w:t>
      </w:r>
      <w:r>
        <w:rPr>
          <w:rFonts w:hint="eastAsia" w:ascii="仿宋_GB2312" w:hAnsi="仿宋_GB2312" w:eastAsia="仿宋_GB2312" w:cs="仿宋_GB2312"/>
          <w:bCs/>
          <w:sz w:val="32"/>
          <w:szCs w:val="32"/>
        </w:rPr>
        <w:t>，“鸟中大熊猫”黑鹳、国家一级重点保护野生动物猎隼现身顺义，</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年全区绿化覆盖率达</w:t>
      </w:r>
      <w:r>
        <w:rPr>
          <w:rFonts w:ascii="仿宋_GB2312" w:hAnsi="仿宋_GB2312" w:eastAsia="仿宋_GB2312" w:cs="仿宋_GB2312"/>
          <w:bCs/>
          <w:sz w:val="32"/>
          <w:szCs w:val="32"/>
        </w:rPr>
        <w:t>56.57%、排名全市第2</w:t>
      </w:r>
      <w:r>
        <w:rPr>
          <w:rFonts w:hint="eastAsia" w:ascii="仿宋_GB2312" w:hAnsi="仿宋_GB2312" w:eastAsia="仿宋_GB2312" w:cs="仿宋_GB2312"/>
          <w:bCs/>
          <w:sz w:val="32"/>
          <w:szCs w:val="32"/>
        </w:rPr>
        <w:t>。</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78" w:name="_Hlk160483845"/>
      <w:r>
        <w:rPr>
          <w:rFonts w:hint="eastAsia" w:ascii="仿宋_GB2312" w:hAnsi="仿宋_GB2312" w:eastAsia="仿宋_GB2312" w:cs="仿宋_GB2312"/>
          <w:b/>
          <w:sz w:val="32"/>
          <w:szCs w:val="32"/>
        </w:rPr>
        <w:t>以高水平生态环境保护推动高质量发展走出“顺义路径”</w:t>
      </w:r>
      <w:r>
        <w:rPr>
          <w:rFonts w:hint="eastAsia" w:ascii="仿宋_GB2312" w:hAnsi="仿宋_GB2312" w:eastAsia="仿宋_GB2312" w:cs="仿宋_GB2312"/>
          <w:bCs/>
          <w:sz w:val="32"/>
          <w:szCs w:val="32"/>
        </w:rPr>
        <w:t>。近年来，顺义区深入贯彻习近平生态文明思想，坚持生态优先、节约集约、绿色低碳，探索出了一条以高水平生态环境保护推动经济社会高质量发展的绿色实践之路。</w:t>
      </w:r>
      <w:r>
        <w:rPr>
          <w:rFonts w:ascii="仿宋_GB2312" w:hAnsi="仿宋_GB2312" w:eastAsia="仿宋_GB2312" w:cs="仿宋_GB2312"/>
          <w:bCs/>
          <w:sz w:val="32"/>
          <w:szCs w:val="32"/>
        </w:rPr>
        <w:t>2022年，顺义区环境质量与经济发展同步向好，GDP总量2073.2亿元，排名全市第五；PM</w:t>
      </w:r>
      <w:r>
        <w:rPr>
          <w:rFonts w:ascii="仿宋_GB2312" w:hAnsi="仿宋_GB2312" w:eastAsia="仿宋_GB2312" w:cs="仿宋_GB2312"/>
          <w:bCs/>
          <w:sz w:val="32"/>
          <w:szCs w:val="32"/>
          <w:vertAlign w:val="subscript"/>
        </w:rPr>
        <w:t>2.5</w:t>
      </w:r>
      <w:r>
        <w:rPr>
          <w:rFonts w:hint="eastAsia" w:ascii="仿宋_GB2312" w:hAnsi="仿宋_GB2312" w:eastAsia="仿宋_GB2312" w:cs="仿宋_GB2312"/>
          <w:bCs/>
          <w:sz w:val="32"/>
          <w:szCs w:val="32"/>
        </w:rPr>
        <w:t>年均</w:t>
      </w:r>
      <w:r>
        <w:rPr>
          <w:rFonts w:ascii="仿宋_GB2312" w:hAnsi="仿宋_GB2312" w:eastAsia="仿宋_GB2312" w:cs="仿宋_GB2312"/>
          <w:bCs/>
          <w:sz w:val="32"/>
          <w:szCs w:val="32"/>
        </w:rPr>
        <w:t>浓度降至29微克/立方米，首次迈入“20+”，排名全市第五；优良天294天，排名全市第一。数据、排名实现“双历史最优”，顺义区成为北京市唯一经济总量和环境质量排名“双正向”的区。</w:t>
      </w:r>
      <w:r>
        <w:rPr>
          <w:rFonts w:hint="eastAsia" w:ascii="仿宋_GB2312" w:hAnsi="仿宋_GB2312" w:eastAsia="仿宋_GB2312" w:cs="仿宋_GB2312"/>
          <w:bCs/>
          <w:sz w:val="32"/>
          <w:szCs w:val="32"/>
        </w:rPr>
        <w:t>顺义区探索以高水平生态环境保护推动高质量发展的</w:t>
      </w:r>
      <w:r>
        <w:rPr>
          <w:rFonts w:ascii="仿宋_GB2312" w:hAnsi="仿宋_GB2312" w:eastAsia="仿宋_GB2312" w:cs="仿宋_GB2312"/>
          <w:bCs/>
          <w:sz w:val="32"/>
          <w:szCs w:val="32"/>
        </w:rPr>
        <w:t>实践证明，高品质的生态环境可以更有力支撑绿色发展，持续释放新的经济动能。</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蓝绿融合绿色生态空间不断扩大</w:t>
      </w:r>
      <w:r>
        <w:rPr>
          <w:rFonts w:ascii="仿宋_GB2312" w:hAnsi="仿宋_GB2312" w:eastAsia="仿宋_GB2312" w:cs="仿宋_GB2312"/>
          <w:b/>
          <w:sz w:val="32"/>
          <w:szCs w:val="32"/>
        </w:rPr>
        <w:t>。</w:t>
      </w:r>
      <w:bookmarkEnd w:id="78"/>
      <w:bookmarkStart w:id="79" w:name="_Hlk160483895"/>
      <w:r>
        <w:rPr>
          <w:rFonts w:hint="eastAsia" w:ascii="仿宋_GB2312" w:hAnsi="仿宋_GB2312" w:eastAsia="仿宋_GB2312" w:cs="仿宋_GB2312"/>
          <w:bCs/>
          <w:sz w:val="32"/>
          <w:szCs w:val="32"/>
        </w:rPr>
        <w:t>顺义区自然保护地由汉石桥市级湿地自然保护区、共青滨河森林公园（市级）组成，保护面积分别为</w:t>
      </w:r>
      <w:r>
        <w:rPr>
          <w:rFonts w:ascii="仿宋_GB2312" w:hAnsi="仿宋_GB2312" w:eastAsia="仿宋_GB2312" w:cs="仿宋_GB2312"/>
          <w:bCs/>
          <w:sz w:val="32"/>
          <w:szCs w:val="32"/>
        </w:rPr>
        <w:t>1900</w:t>
      </w:r>
      <w:r>
        <w:rPr>
          <w:rFonts w:hint="eastAsia" w:ascii="仿宋_GB2312" w:hAnsi="仿宋_GB2312" w:eastAsia="仿宋_GB2312" w:cs="仿宋_GB2312"/>
          <w:bCs/>
          <w:sz w:val="32"/>
          <w:szCs w:val="32"/>
        </w:rPr>
        <w:t>公顷、</w:t>
      </w:r>
      <w:r>
        <w:rPr>
          <w:rFonts w:ascii="仿宋_GB2312" w:hAnsi="仿宋_GB2312" w:eastAsia="仿宋_GB2312" w:cs="仿宋_GB2312"/>
          <w:bCs/>
          <w:sz w:val="32"/>
          <w:szCs w:val="32"/>
        </w:rPr>
        <w:t>634.86</w:t>
      </w:r>
      <w:r>
        <w:rPr>
          <w:rFonts w:hint="eastAsia" w:ascii="仿宋_GB2312" w:hAnsi="仿宋_GB2312" w:eastAsia="仿宋_GB2312" w:cs="仿宋_GB2312"/>
          <w:bCs/>
          <w:sz w:val="32"/>
          <w:szCs w:val="32"/>
        </w:rPr>
        <w:t>公顷。</w:t>
      </w:r>
      <w:bookmarkEnd w:id="79"/>
      <w:r>
        <w:rPr>
          <w:rFonts w:hint="eastAsia" w:ascii="仿宋_GB2312" w:hAnsi="仿宋_GB2312" w:eastAsia="仿宋_GB2312" w:cs="仿宋_GB2312"/>
          <w:bCs/>
          <w:sz w:val="32"/>
          <w:szCs w:val="32"/>
        </w:rPr>
        <w:t>“十三五”以来，顺义区积极推进自然保护地的整合优化，</w:t>
      </w:r>
      <w:r>
        <w:rPr>
          <w:rFonts w:ascii="仿宋_GB2312" w:hAnsi="仿宋_GB2312" w:eastAsia="仿宋_GB2312" w:cs="仿宋_GB2312"/>
          <w:bCs/>
          <w:sz w:val="32"/>
          <w:szCs w:val="32"/>
        </w:rPr>
        <w:t>确保</w:t>
      </w:r>
      <w:r>
        <w:rPr>
          <w:rFonts w:hint="eastAsia" w:ascii="仿宋_GB2312" w:hAnsi="仿宋_GB2312" w:eastAsia="仿宋_GB2312" w:cs="仿宋_GB2312"/>
          <w:bCs/>
          <w:sz w:val="32"/>
          <w:szCs w:val="32"/>
        </w:rPr>
        <w:t>自然保护地</w:t>
      </w:r>
      <w:r>
        <w:rPr>
          <w:rFonts w:ascii="仿宋_GB2312" w:hAnsi="仿宋_GB2312" w:eastAsia="仿宋_GB2312" w:cs="仿宋_GB2312"/>
          <w:bCs/>
          <w:sz w:val="32"/>
          <w:szCs w:val="32"/>
        </w:rPr>
        <w:t>全面</w:t>
      </w:r>
      <w:r>
        <w:rPr>
          <w:rFonts w:hint="eastAsia" w:ascii="仿宋_GB2312" w:hAnsi="仿宋_GB2312" w:eastAsia="仿宋_GB2312" w:cs="仿宋_GB2312"/>
          <w:bCs/>
          <w:sz w:val="32"/>
          <w:szCs w:val="32"/>
        </w:rPr>
        <w:t>保护。编制完成《顺义区中小河道管理及保护范围划定报告》，完成</w:t>
      </w:r>
      <w:r>
        <w:rPr>
          <w:rFonts w:ascii="仿宋_GB2312" w:hAnsi="仿宋_GB2312" w:eastAsia="仿宋_GB2312" w:cs="仿宋_GB2312"/>
          <w:bCs/>
          <w:sz w:val="32"/>
          <w:szCs w:val="32"/>
        </w:rPr>
        <w:t>30条区管河道管理及保护范围的划定，为</w:t>
      </w:r>
      <w:r>
        <w:rPr>
          <w:rFonts w:hint="eastAsia" w:ascii="仿宋_GB2312" w:hAnsi="仿宋_GB2312" w:eastAsia="仿宋_GB2312" w:cs="仿宋_GB2312"/>
          <w:bCs/>
          <w:sz w:val="32"/>
          <w:szCs w:val="32"/>
        </w:rPr>
        <w:t>进一步扩大绿色生态空间奠定了基础。持续深入推进新一轮百万亩造林，高标准完成温榆河顺义一期、城市森林二期、产业园区休闲公园小微绿地等工程，造林绿化在生态廊道和重要生态关键区域进行集中布局，采用近自然绿化及多种混交方式，突出乡土树种和地方特色，增加大型绿色生态斑块，让森林与城市相融。优化城镇绿地供给，推进城镇各级各类绿地建设，顺义区已有注册公园</w:t>
      </w:r>
      <w:r>
        <w:rPr>
          <w:rFonts w:ascii="仿宋_GB2312" w:hAnsi="仿宋_GB2312" w:eastAsia="仿宋_GB2312" w:cs="仿宋_GB2312"/>
          <w:bCs/>
          <w:sz w:val="32"/>
          <w:szCs w:val="32"/>
        </w:rPr>
        <w:t>18个，其中6个获得北京市“精品公园”称号，</w:t>
      </w:r>
      <w:r>
        <w:rPr>
          <w:rFonts w:hint="eastAsia" w:ascii="仿宋_GB2312" w:hAnsi="仿宋_GB2312" w:eastAsia="仿宋_GB2312" w:cs="仿宋_GB2312"/>
          <w:bCs/>
          <w:sz w:val="32"/>
          <w:szCs w:val="32"/>
        </w:rPr>
        <w:t>各镇、各村均建有可供游览休闲的公共绿地。</w:t>
      </w:r>
      <w:r>
        <w:rPr>
          <w:rFonts w:ascii="仿宋_GB2312" w:hAnsi="仿宋_GB2312" w:eastAsia="仿宋_GB2312" w:cs="仿宋_GB2312"/>
          <w:bCs/>
          <w:sz w:val="32"/>
          <w:szCs w:val="32"/>
        </w:rPr>
        <w:t>新建东郊森林公园湿地面积60公</w:t>
      </w:r>
      <w:r>
        <w:rPr>
          <w:rFonts w:hint="eastAsia" w:ascii="仿宋_GB2312" w:hAnsi="仿宋_GB2312" w:eastAsia="仿宋_GB2312" w:cs="仿宋_GB2312"/>
          <w:bCs/>
          <w:sz w:val="32"/>
          <w:szCs w:val="32"/>
        </w:rPr>
        <w:t>顷，综合治理罗马湖水体</w:t>
      </w:r>
      <w:r>
        <w:rPr>
          <w:rFonts w:ascii="仿宋_GB2312" w:hAnsi="仿宋_GB2312" w:eastAsia="仿宋_GB2312" w:cs="仿宋_GB2312"/>
          <w:bCs/>
          <w:sz w:val="32"/>
          <w:szCs w:val="32"/>
        </w:rPr>
        <w:t>23公顷，</w:t>
      </w:r>
      <w:r>
        <w:rPr>
          <w:rFonts w:hint="eastAsia" w:ascii="仿宋_GB2312" w:hAnsi="仿宋_GB2312" w:eastAsia="仿宋_GB2312" w:cs="仿宋_GB2312"/>
          <w:bCs/>
          <w:sz w:val="32"/>
          <w:szCs w:val="32"/>
        </w:rPr>
        <w:t>为生态系统用水提供了保障。制定实施《顺义区生物多样性保护行动计划（</w:t>
      </w:r>
      <w:r>
        <w:rPr>
          <w:rFonts w:ascii="仿宋_GB2312" w:hAnsi="仿宋_GB2312" w:eastAsia="仿宋_GB2312" w:cs="仿宋_GB2312"/>
          <w:bCs/>
          <w:sz w:val="32"/>
          <w:szCs w:val="32"/>
        </w:rPr>
        <w:t>2023-2025年）工作任务清单》，</w:t>
      </w:r>
      <w:r>
        <w:rPr>
          <w:rFonts w:hint="eastAsia" w:ascii="仿宋_GB2312" w:hAnsi="仿宋_GB2312" w:eastAsia="仿宋_GB2312" w:cs="仿宋_GB2312"/>
          <w:bCs/>
          <w:sz w:val="32"/>
          <w:szCs w:val="32"/>
        </w:rPr>
        <w:t>启动全域野外调查工作，调查对象涵盖生态系统、维管植物、鸟类等</w:t>
      </w:r>
      <w:r>
        <w:rPr>
          <w:rFonts w:ascii="仿宋_GB2312" w:hAnsi="仿宋_GB2312" w:eastAsia="仿宋_GB2312" w:cs="仿宋_GB2312"/>
          <w:bCs/>
          <w:sz w:val="32"/>
          <w:szCs w:val="32"/>
        </w:rPr>
        <w:t>13个类群，目前已在汉石桥湿地自然保护区（含核心区）、潮白河沿岸等重点区域调查观测到国家二级重点保护植物野大豆，国家</w:t>
      </w:r>
      <w:r>
        <w:rPr>
          <w:rFonts w:hint="eastAsia" w:ascii="仿宋_GB2312" w:hAnsi="仿宋_GB2312" w:eastAsia="仿宋_GB2312" w:cs="仿宋_GB2312"/>
          <w:bCs/>
          <w:sz w:val="32"/>
          <w:szCs w:val="32"/>
        </w:rPr>
        <w:t>一</w:t>
      </w:r>
      <w:r>
        <w:rPr>
          <w:rFonts w:ascii="仿宋_GB2312" w:hAnsi="仿宋_GB2312" w:eastAsia="仿宋_GB2312" w:cs="仿宋_GB2312"/>
          <w:bCs/>
          <w:sz w:val="32"/>
          <w:szCs w:val="32"/>
        </w:rPr>
        <w:t>级重点保护动物</w:t>
      </w:r>
      <w:r>
        <w:rPr>
          <w:rFonts w:hint="eastAsia" w:ascii="仿宋_GB2312" w:hAnsi="仿宋_GB2312" w:eastAsia="仿宋_GB2312" w:cs="仿宋_GB2312"/>
          <w:bCs/>
          <w:sz w:val="32"/>
          <w:szCs w:val="32"/>
        </w:rPr>
        <w:t>黑鹳</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猎隼</w:t>
      </w:r>
      <w:r>
        <w:rPr>
          <w:rFonts w:ascii="仿宋_GB2312" w:hAnsi="仿宋_GB2312" w:eastAsia="仿宋_GB2312" w:cs="仿宋_GB2312"/>
          <w:bCs/>
          <w:sz w:val="32"/>
          <w:szCs w:val="32"/>
        </w:rPr>
        <w:t>，世界极度濒危物种低斑蜻等</w:t>
      </w:r>
      <w:r>
        <w:rPr>
          <w:rFonts w:hint="eastAsia" w:ascii="仿宋_GB2312" w:hAnsi="仿宋_GB2312" w:eastAsia="仿宋_GB2312" w:cs="仿宋_GB2312"/>
          <w:bCs/>
          <w:sz w:val="32"/>
          <w:szCs w:val="32"/>
        </w:rPr>
        <w:t>，观测数据表明生态空间不断被优化、人与自然更和谐。</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ascii="仿宋_GB2312" w:hAnsi="仿宋_GB2312" w:eastAsia="仿宋_GB2312" w:cs="仿宋_GB2312"/>
          <w:b/>
          <w:sz w:val="32"/>
          <w:szCs w:val="32"/>
        </w:rPr>
        <w:t>城乡协调</w:t>
      </w:r>
      <w:r>
        <w:rPr>
          <w:rFonts w:hint="eastAsia" w:ascii="仿宋_GB2312" w:hAnsi="仿宋_GB2312" w:eastAsia="仿宋_GB2312" w:cs="仿宋_GB2312"/>
          <w:b/>
          <w:sz w:val="32"/>
          <w:szCs w:val="32"/>
        </w:rPr>
        <w:t>和谐</w:t>
      </w:r>
      <w:r>
        <w:rPr>
          <w:rFonts w:ascii="仿宋_GB2312" w:hAnsi="仿宋_GB2312" w:eastAsia="仿宋_GB2312" w:cs="仿宋_GB2312"/>
          <w:b/>
          <w:sz w:val="32"/>
          <w:szCs w:val="32"/>
        </w:rPr>
        <w:t>宜居</w:t>
      </w:r>
      <w:r>
        <w:rPr>
          <w:rFonts w:hint="eastAsia" w:ascii="仿宋_GB2312" w:hAnsi="仿宋_GB2312" w:eastAsia="仿宋_GB2312" w:cs="仿宋_GB2312"/>
          <w:b/>
          <w:sz w:val="32"/>
          <w:szCs w:val="32"/>
        </w:rPr>
        <w:t>水平不断提升。</w:t>
      </w:r>
      <w:r>
        <w:rPr>
          <w:rFonts w:hint="eastAsia" w:ascii="仿宋_GB2312" w:hAnsi="仿宋_GB2312" w:eastAsia="仿宋_GB2312" w:cs="仿宋_GB2312"/>
          <w:bCs/>
          <w:sz w:val="32"/>
          <w:szCs w:val="32"/>
        </w:rPr>
        <w:t>深入落实新版总规要求，推进“</w:t>
      </w:r>
      <w:r>
        <w:rPr>
          <w:rFonts w:ascii="仿宋_GB2312" w:hAnsi="仿宋_GB2312" w:eastAsia="仿宋_GB2312" w:cs="仿宋_GB2312"/>
          <w:bCs/>
          <w:sz w:val="32"/>
          <w:szCs w:val="32"/>
        </w:rPr>
        <w:t>城乡协调的首都和谐宜居示范区</w:t>
      </w:r>
      <w:r>
        <w:rPr>
          <w:rFonts w:hint="eastAsia" w:ascii="仿宋_GB2312" w:hAnsi="仿宋_GB2312" w:eastAsia="仿宋_GB2312" w:cs="仿宋_GB2312"/>
          <w:bCs/>
          <w:sz w:val="32"/>
          <w:szCs w:val="32"/>
        </w:rPr>
        <w:t>”建设。</w:t>
      </w:r>
      <w:r>
        <w:rPr>
          <w:rFonts w:ascii="仿宋_GB2312" w:hAnsi="仿宋_GB2312" w:eastAsia="仿宋_GB2312" w:cs="仿宋_GB2312"/>
          <w:b/>
          <w:sz w:val="32"/>
          <w:szCs w:val="32"/>
        </w:rPr>
        <w:t>道路网</w:t>
      </w:r>
      <w:r>
        <w:rPr>
          <w:rFonts w:hint="eastAsia" w:ascii="仿宋_GB2312" w:hAnsi="仿宋_GB2312" w:eastAsia="仿宋_GB2312" w:cs="仿宋_GB2312"/>
          <w:b/>
          <w:sz w:val="32"/>
          <w:szCs w:val="32"/>
        </w:rPr>
        <w:t>络不断完善。</w:t>
      </w:r>
      <w:r>
        <w:rPr>
          <w:rFonts w:hint="eastAsia" w:ascii="仿宋_GB2312" w:hAnsi="仿宋_GB2312" w:eastAsia="仿宋_GB2312" w:cs="仿宋_GB2312"/>
          <w:bCs/>
          <w:sz w:val="32"/>
          <w:szCs w:val="32"/>
        </w:rPr>
        <w:t>顺义区形成了以高速公路为龙头、国市道干线路网为骨架、县乡公路为支脉，“六横、十四纵、二放射、六高速”的道路网体系。</w:t>
      </w:r>
      <w:r>
        <w:rPr>
          <w:rFonts w:hint="eastAsia" w:ascii="仿宋_GB2312" w:hAnsi="仿宋_GB2312" w:eastAsia="仿宋_GB2312" w:cs="仿宋_GB2312"/>
          <w:b/>
          <w:sz w:val="32"/>
          <w:szCs w:val="32"/>
        </w:rPr>
        <w:t>公共交通持续优化。</w:t>
      </w:r>
      <w:r>
        <w:rPr>
          <w:rFonts w:hint="eastAsia" w:ascii="仿宋_GB2312" w:hAnsi="仿宋_GB2312" w:eastAsia="仿宋_GB2312" w:cs="仿宋_GB2312"/>
          <w:bCs/>
          <w:sz w:val="32"/>
          <w:szCs w:val="32"/>
        </w:rPr>
        <w:t>率先在全市实现顺义区内公交车全部采用新能源，</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年绿色出行比例达</w:t>
      </w:r>
      <w:r>
        <w:rPr>
          <w:rFonts w:ascii="仿宋_GB2312" w:hAnsi="仿宋_GB2312" w:eastAsia="仿宋_GB2312" w:cs="仿宋_GB2312"/>
          <w:bCs/>
          <w:sz w:val="32"/>
          <w:szCs w:val="32"/>
        </w:rPr>
        <w:t>74.6%</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实现垃圾分类示范片区全覆盖</w:t>
      </w:r>
      <w:r>
        <w:rPr>
          <w:rFonts w:hint="eastAsia" w:ascii="仿宋_GB2312" w:hAnsi="仿宋_GB2312" w:eastAsia="仿宋_GB2312" w:cs="仿宋_GB2312"/>
          <w:bCs/>
          <w:sz w:val="32"/>
          <w:szCs w:val="32"/>
        </w:rPr>
        <w:t>。制定实施《顺义区加快推进生活垃圾分类工作方案（</w:t>
      </w:r>
      <w:r>
        <w:rPr>
          <w:rFonts w:ascii="仿宋_GB2312" w:hAnsi="仿宋_GB2312" w:eastAsia="仿宋_GB2312" w:cs="仿宋_GB2312"/>
          <w:bCs/>
          <w:sz w:val="32"/>
          <w:szCs w:val="32"/>
        </w:rPr>
        <w:t>2018—2020年）》和《顺义区农村地</w:t>
      </w:r>
      <w:r>
        <w:rPr>
          <w:rFonts w:hint="eastAsia" w:ascii="仿宋_GB2312" w:hAnsi="仿宋_GB2312" w:eastAsia="仿宋_GB2312" w:cs="仿宋_GB2312"/>
          <w:bCs/>
          <w:sz w:val="32"/>
          <w:szCs w:val="32"/>
        </w:rPr>
        <w:t>区生活垃圾分类收运实施方案》，全区农村地区</w:t>
      </w:r>
      <w:r>
        <w:rPr>
          <w:rFonts w:ascii="仿宋_GB2312" w:hAnsi="仿宋_GB2312" w:eastAsia="仿宋_GB2312" w:cs="仿宋_GB2312"/>
          <w:bCs/>
          <w:sz w:val="32"/>
          <w:szCs w:val="32"/>
        </w:rPr>
        <w:t>36个村通过北京市生活垃圾分类示范村创建验收</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垃圾处理设施建设加快</w:t>
      </w:r>
      <w:r>
        <w:rPr>
          <w:rFonts w:hint="eastAsia" w:ascii="仿宋_GB2312" w:hAnsi="仿宋_GB2312" w:eastAsia="仿宋_GB2312" w:cs="仿宋_GB2312"/>
          <w:bCs/>
          <w:sz w:val="32"/>
          <w:szCs w:val="32"/>
        </w:rPr>
        <w:t>。建成生活垃圾处理中心焚烧二期、餐厨垃圾处理等设施，</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年生活垃圾焚烧三期工程建成投用，顺义区生活垃圾焚烧处理总能力达到</w:t>
      </w:r>
      <w:r>
        <w:rPr>
          <w:rFonts w:ascii="仿宋_GB2312" w:hAnsi="仿宋_GB2312" w:eastAsia="仿宋_GB2312" w:cs="仿宋_GB2312"/>
          <w:bCs/>
          <w:sz w:val="32"/>
          <w:szCs w:val="32"/>
        </w:rPr>
        <w:t>1500吨/日</w:t>
      </w:r>
      <w:r>
        <w:rPr>
          <w:rFonts w:hint="eastAsia" w:ascii="仿宋_GB2312" w:hAnsi="仿宋_GB2312" w:eastAsia="仿宋_GB2312" w:cs="仿宋_GB2312"/>
          <w:bCs/>
          <w:sz w:val="32"/>
          <w:szCs w:val="32"/>
        </w:rPr>
        <w:t>，实现原生垃圾零填埋目标</w:t>
      </w:r>
      <w:r>
        <w:rPr>
          <w:rFonts w:ascii="仿宋_GB2312" w:hAnsi="仿宋_GB2312" w:eastAsia="仿宋_GB2312" w:cs="仿宋_GB2312"/>
          <w:bCs/>
          <w:sz w:val="32"/>
          <w:szCs w:val="32"/>
        </w:rPr>
        <w:t>，生活垃圾无害化处理率达100%。</w:t>
      </w:r>
      <w:r>
        <w:rPr>
          <w:rFonts w:hint="eastAsia" w:ascii="仿宋_GB2312" w:hAnsi="仿宋_GB2312" w:eastAsia="仿宋_GB2312" w:cs="仿宋_GB2312"/>
          <w:bCs/>
          <w:sz w:val="32"/>
          <w:szCs w:val="32"/>
        </w:rPr>
        <w:t>加强建筑垃圾资源化处置设施转向升级，推动全区资源化处置设施按照《北京市消纳处置场所设置运行规范》运行，实现建筑垃圾产生有源头、末端处理有去处，建筑垃圾本地资源化处理。“厕所革命”顺利推进，完成</w:t>
      </w:r>
      <w:r>
        <w:rPr>
          <w:rFonts w:ascii="仿宋_GB2312" w:hAnsi="仿宋_GB2312" w:eastAsia="仿宋_GB2312" w:cs="仿宋_GB2312"/>
          <w:bCs/>
          <w:sz w:val="32"/>
          <w:szCs w:val="32"/>
        </w:rPr>
        <w:t>61座二类以上城市</w:t>
      </w:r>
      <w:r>
        <w:rPr>
          <w:rFonts w:hint="eastAsia" w:ascii="仿宋_GB2312" w:hAnsi="仿宋_GB2312" w:eastAsia="仿宋_GB2312" w:cs="仿宋_GB2312"/>
          <w:bCs/>
          <w:sz w:val="32"/>
          <w:szCs w:val="32"/>
        </w:rPr>
        <w:t>公厕品质提升改造、</w:t>
      </w:r>
      <w:r>
        <w:rPr>
          <w:rFonts w:ascii="仿宋_GB2312" w:hAnsi="仿宋_GB2312" w:eastAsia="仿宋_GB2312" w:cs="仿宋_GB2312"/>
          <w:bCs/>
          <w:sz w:val="32"/>
          <w:szCs w:val="32"/>
        </w:rPr>
        <w:t>626座农村地区公厕达标改造，城市公</w:t>
      </w:r>
      <w:r>
        <w:rPr>
          <w:rFonts w:hint="eastAsia" w:ascii="仿宋_GB2312" w:hAnsi="仿宋_GB2312" w:eastAsia="仿宋_GB2312" w:cs="仿宋_GB2312"/>
          <w:bCs/>
          <w:sz w:val="32"/>
          <w:szCs w:val="32"/>
        </w:rPr>
        <w:t>厕品质提升和农村公厕达标改造任务全部完成。</w:t>
      </w:r>
      <w:r>
        <w:rPr>
          <w:rFonts w:hint="eastAsia" w:ascii="仿宋_GB2312" w:hAnsi="仿宋_GB2312" w:eastAsia="仿宋_GB2312" w:cs="仿宋_GB2312"/>
          <w:b/>
          <w:sz w:val="32"/>
          <w:szCs w:val="32"/>
        </w:rPr>
        <w:t>城乡环境治理工作深入推进</w:t>
      </w:r>
      <w:r>
        <w:rPr>
          <w:rFonts w:hint="eastAsia" w:ascii="仿宋_GB2312" w:hAnsi="仿宋_GB2312" w:eastAsia="仿宋_GB2312" w:cs="仿宋_GB2312"/>
          <w:bCs/>
          <w:sz w:val="32"/>
          <w:szCs w:val="32"/>
        </w:rPr>
        <w:t>。积极推进顺义第一印象区建设，开展机场周边及铁路沿线、六环路、机场高速和轨道交通等交通廊道环境综合整治，深入推进</w:t>
      </w:r>
      <w:r>
        <w:rPr>
          <w:rFonts w:ascii="仿宋_GB2312" w:hAnsi="仿宋_GB2312" w:eastAsia="仿宋_GB2312" w:cs="仿宋_GB2312"/>
          <w:bCs/>
          <w:sz w:val="32"/>
          <w:szCs w:val="32"/>
        </w:rPr>
        <w:t>170条背街小巷环境整治，老旧小区、街巷道路等人居环境明显改善。</w:t>
      </w:r>
      <w:r>
        <w:rPr>
          <w:rFonts w:hint="eastAsia" w:ascii="仿宋_GB2312" w:hAnsi="仿宋_GB2312" w:eastAsia="仿宋_GB2312" w:cs="仿宋_GB2312"/>
          <w:b/>
          <w:sz w:val="32"/>
          <w:szCs w:val="32"/>
        </w:rPr>
        <w:t>污水处理能力大幅提升。</w:t>
      </w:r>
      <w:r>
        <w:rPr>
          <w:rFonts w:hint="eastAsia" w:ascii="仿宋_GB2312" w:hAnsi="仿宋_GB2312" w:eastAsia="仿宋_GB2312" w:cs="仿宋_GB2312"/>
          <w:bCs/>
          <w:sz w:val="32"/>
          <w:szCs w:val="32"/>
        </w:rPr>
        <w:t>推进城镇污水处理和再生水设施建设，</w:t>
      </w:r>
      <w:r>
        <w:rPr>
          <w:rFonts w:ascii="仿宋_GB2312" w:hAnsi="仿宋_GB2312" w:eastAsia="仿宋_GB2312" w:cs="仿宋_GB2312"/>
          <w:bCs/>
          <w:sz w:val="32"/>
          <w:szCs w:val="32"/>
        </w:rPr>
        <w:t>2022年全区已建污水处理设施118座，总设计处理能力达47.111万</w:t>
      </w:r>
      <w:r>
        <w:rPr>
          <w:rFonts w:hint="eastAsia" w:ascii="仿宋_GB2312" w:hAnsi="仿宋_GB2312" w:eastAsia="仿宋_GB2312" w:cs="仿宋_GB2312"/>
          <w:bCs/>
          <w:sz w:val="32"/>
          <w:szCs w:val="32"/>
        </w:rPr>
        <w:t>吨</w:t>
      </w:r>
      <w:r>
        <w:rPr>
          <w:rFonts w:ascii="仿宋_GB2312" w:hAnsi="仿宋_GB2312" w:eastAsia="仿宋_GB2312" w:cs="仿宋_GB2312"/>
          <w:bCs/>
          <w:sz w:val="32"/>
          <w:szCs w:val="32"/>
        </w:rPr>
        <w:t>/日，其中城镇生活污水处理厂14座，总设计处理能力41.85万</w:t>
      </w:r>
      <w:r>
        <w:rPr>
          <w:rFonts w:hint="eastAsia" w:ascii="仿宋_GB2312" w:hAnsi="仿宋_GB2312" w:eastAsia="仿宋_GB2312" w:cs="仿宋_GB2312"/>
          <w:bCs/>
          <w:sz w:val="32"/>
          <w:szCs w:val="32"/>
        </w:rPr>
        <w:t>吨</w:t>
      </w:r>
      <w:r>
        <w:rPr>
          <w:rFonts w:ascii="仿宋_GB2312" w:hAnsi="仿宋_GB2312" w:eastAsia="仿宋_GB2312" w:cs="仿宋_GB2312"/>
          <w:bCs/>
          <w:sz w:val="32"/>
          <w:szCs w:val="32"/>
        </w:rPr>
        <w:t>/日；农村生活污水处理站104座，总设计处理能力5.261万</w:t>
      </w:r>
      <w:r>
        <w:rPr>
          <w:rFonts w:hint="eastAsia" w:ascii="仿宋_GB2312" w:hAnsi="仿宋_GB2312" w:eastAsia="仿宋_GB2312" w:cs="仿宋_GB2312"/>
          <w:bCs/>
          <w:sz w:val="32"/>
          <w:szCs w:val="32"/>
        </w:rPr>
        <w:t>吨</w:t>
      </w:r>
      <w:r>
        <w:rPr>
          <w:rFonts w:ascii="仿宋_GB2312" w:hAnsi="仿宋_GB2312" w:eastAsia="仿宋_GB2312" w:cs="仿宋_GB2312"/>
          <w:bCs/>
          <w:sz w:val="32"/>
          <w:szCs w:val="32"/>
        </w:rPr>
        <w:t>/日，农村地区生活污水收集及处理设施逐步完善。建成顺义区污泥处置中心，设计处理能力400</w:t>
      </w:r>
      <w:r>
        <w:rPr>
          <w:rFonts w:hint="eastAsia" w:ascii="仿宋_GB2312" w:hAnsi="仿宋_GB2312" w:eastAsia="仿宋_GB2312" w:cs="仿宋_GB2312"/>
          <w:bCs/>
          <w:sz w:val="32"/>
          <w:szCs w:val="32"/>
        </w:rPr>
        <w:t>吨</w:t>
      </w:r>
      <w:r>
        <w:rPr>
          <w:rFonts w:ascii="仿宋_GB2312" w:hAnsi="仿宋_GB2312" w:eastAsia="仿宋_GB2312" w:cs="仿宋_GB2312"/>
          <w:bCs/>
          <w:sz w:val="32"/>
          <w:szCs w:val="32"/>
        </w:rPr>
        <w:t>/日。2022年</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全区污水处理率</w:t>
      </w:r>
      <w:r>
        <w:rPr>
          <w:rFonts w:hint="eastAsia" w:ascii="仿宋_GB2312" w:hAnsi="仿宋_GB2312" w:eastAsia="仿宋_GB2312" w:cs="仿宋_GB2312"/>
          <w:bCs/>
          <w:sz w:val="32"/>
          <w:szCs w:val="32"/>
        </w:rPr>
        <w:t>分别</w:t>
      </w:r>
      <w:r>
        <w:rPr>
          <w:rFonts w:ascii="仿宋_GB2312" w:hAnsi="仿宋_GB2312" w:eastAsia="仿宋_GB2312" w:cs="仿宋_GB2312"/>
          <w:bCs/>
          <w:sz w:val="32"/>
          <w:szCs w:val="32"/>
        </w:rPr>
        <w:t>达到95.7%</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96.9%</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持续巩固农村人居环境整治成效</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年累计完成</w:t>
      </w:r>
      <w:r>
        <w:rPr>
          <w:rFonts w:ascii="仿宋_GB2312" w:hAnsi="仿宋_GB2312" w:eastAsia="仿宋_GB2312" w:cs="仿宋_GB2312"/>
          <w:bCs/>
          <w:sz w:val="32"/>
          <w:szCs w:val="32"/>
        </w:rPr>
        <w:t>349个村治污</w:t>
      </w:r>
      <w:r>
        <w:rPr>
          <w:rFonts w:hint="eastAsia" w:ascii="仿宋_GB2312" w:hAnsi="仿宋_GB2312" w:eastAsia="仿宋_GB2312" w:cs="仿宋_GB2312"/>
          <w:bCs/>
          <w:sz w:val="32"/>
          <w:szCs w:val="32"/>
        </w:rPr>
        <w:t>工程建设，农村生活污水基本实现全收集、全处理，所有村庄通过市级美丽乡村验收，获评“全国村庄清洁行动先进县”。</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生态文明体制机制不断完善。全面加强党对生态环境保护工作的领导。</w:t>
      </w:r>
      <w:r>
        <w:rPr>
          <w:rFonts w:hint="eastAsia" w:ascii="仿宋_GB2312" w:hAnsi="仿宋_GB2312" w:eastAsia="仿宋_GB2312" w:cs="仿宋_GB2312"/>
          <w:sz w:val="32"/>
          <w:szCs w:val="32"/>
        </w:rPr>
        <w:t>建立区委生态文明建设委员会及</w:t>
      </w:r>
      <w:r>
        <w:rPr>
          <w:rFonts w:ascii="仿宋_GB2312" w:hAnsi="仿宋_GB2312" w:eastAsia="仿宋_GB2312" w:cs="仿宋_GB2312"/>
          <w:sz w:val="32"/>
          <w:szCs w:val="32"/>
        </w:rPr>
        <w:t>7个专项工作小组，2023</w:t>
      </w:r>
      <w:r>
        <w:rPr>
          <w:rFonts w:hint="eastAsia" w:ascii="仿宋_GB2312" w:hAnsi="仿宋_GB2312" w:eastAsia="仿宋_GB2312" w:cs="仿宋_GB2312"/>
          <w:sz w:val="32"/>
          <w:szCs w:val="32"/>
        </w:rPr>
        <w:t>年优化为“一办五组”机构，</w:t>
      </w:r>
      <w:r>
        <w:rPr>
          <w:rFonts w:ascii="仿宋_GB2312" w:hAnsi="仿宋_GB2312" w:eastAsia="仿宋_GB2312" w:cs="仿宋_GB2312"/>
          <w:sz w:val="32"/>
          <w:szCs w:val="32"/>
        </w:rPr>
        <w:t>充分发挥议事协调作用，研究</w:t>
      </w:r>
      <w:r>
        <w:rPr>
          <w:rFonts w:hint="eastAsia" w:ascii="仿宋_GB2312" w:hAnsi="仿宋_GB2312" w:eastAsia="仿宋_GB2312" w:cs="仿宋_GB2312"/>
          <w:sz w:val="32"/>
          <w:szCs w:val="32"/>
        </w:rPr>
        <w:t>部署生态环境保护各领域相关工作，形成生态文明建设的强大合力。</w:t>
      </w:r>
      <w:r>
        <w:rPr>
          <w:rFonts w:hint="eastAsia" w:ascii="仿宋_GB2312" w:hAnsi="仿宋_GB2312" w:eastAsia="仿宋_GB2312" w:cs="仿宋_GB2312"/>
          <w:b/>
          <w:bCs/>
          <w:sz w:val="32"/>
          <w:szCs w:val="32"/>
        </w:rPr>
        <w:t>不断深化生态文明决策部署。</w:t>
      </w:r>
      <w:r>
        <w:rPr>
          <w:rFonts w:hint="eastAsia" w:ascii="仿宋_GB2312" w:hAnsi="仿宋_GB2312" w:eastAsia="仿宋_GB2312" w:cs="仿宋_GB2312"/>
          <w:sz w:val="32"/>
          <w:szCs w:val="32"/>
        </w:rPr>
        <w:t>定期通过区委生态文明建设委员会会议、区政府常务会议、党（工）委书记会议等，调度推进污染防治攻坚战、生态环境保护各领域工作。</w:t>
      </w:r>
      <w:r>
        <w:rPr>
          <w:rFonts w:hint="eastAsia" w:ascii="仿宋_GB2312" w:hAnsi="仿宋_GB2312" w:eastAsia="仿宋_GB2312" w:cs="仿宋_GB2312"/>
          <w:b/>
          <w:bCs/>
          <w:sz w:val="32"/>
          <w:szCs w:val="32"/>
        </w:rPr>
        <w:t>努力构建新时代生态环境治理体系。</w:t>
      </w:r>
      <w:r>
        <w:rPr>
          <w:rFonts w:hint="eastAsia" w:ascii="仿宋_GB2312" w:hAnsi="仿宋_GB2312" w:eastAsia="仿宋_GB2312" w:cs="仿宋_GB2312"/>
          <w:sz w:val="32"/>
          <w:szCs w:val="32"/>
        </w:rPr>
        <w:t>印发实施《顺义区生态环境保护工作职责分工规定》、《顺义区委生态文明建设委员会</w:t>
      </w:r>
      <w:r>
        <w:rPr>
          <w:rFonts w:ascii="仿宋_GB2312" w:hAnsi="仿宋_GB2312" w:eastAsia="仿宋_GB2312" w:cs="仿宋_GB2312"/>
          <w:sz w:val="32"/>
          <w:szCs w:val="32"/>
        </w:rPr>
        <w:t>2022年工作要点》</w:t>
      </w:r>
      <w:r>
        <w:rPr>
          <w:rFonts w:hint="eastAsia" w:ascii="仿宋_GB2312" w:hAnsi="仿宋_GB2312" w:eastAsia="仿宋_GB2312" w:cs="仿宋_GB2312"/>
          <w:sz w:val="32"/>
          <w:szCs w:val="32"/>
        </w:rPr>
        <w:t>、《顺义区深入打好污染防治攻坚战</w:t>
      </w:r>
      <w:r>
        <w:rPr>
          <w:rFonts w:ascii="仿宋_GB2312" w:hAnsi="仿宋_GB2312" w:eastAsia="仿宋_GB2312" w:cs="仿宋_GB2312"/>
          <w:sz w:val="32"/>
          <w:szCs w:val="32"/>
        </w:rPr>
        <w:t>2022年行动计划》</w:t>
      </w:r>
      <w:r>
        <w:rPr>
          <w:rFonts w:hint="eastAsia" w:ascii="仿宋_GB2312" w:hAnsi="仿宋_GB2312" w:eastAsia="仿宋_GB2312" w:cs="仿宋_GB2312"/>
          <w:sz w:val="32"/>
          <w:szCs w:val="32"/>
        </w:rPr>
        <w:t>等文件，进一步健全生态环境治理体系。</w:t>
      </w:r>
      <w:r>
        <w:rPr>
          <w:rFonts w:hint="eastAsia" w:ascii="仿宋_GB2312" w:hAnsi="仿宋_GB2312" w:eastAsia="仿宋_GB2312" w:cs="仿宋_GB2312"/>
          <w:b/>
          <w:bCs/>
          <w:sz w:val="32"/>
          <w:szCs w:val="32"/>
        </w:rPr>
        <w:t>环境监管能力大幅提升。</w:t>
      </w:r>
      <w:r>
        <w:rPr>
          <w:rFonts w:hint="eastAsia" w:ascii="仿宋_GB2312" w:hAnsi="仿宋_GB2312" w:eastAsia="仿宋_GB2312" w:cs="仿宋_GB2312"/>
          <w:sz w:val="32"/>
          <w:szCs w:val="32"/>
        </w:rPr>
        <w:t>利用科技手段，构建立体的大气污染综合监管指挥平台和水环境智慧管理平台，实现精准治污和科学治污；深入生态环境执法，积极落实监督执法正面清单，强化行刑衔接，发挥“环保警察”作用，开展点穴执法、全时执法、精准执法，通过非道路移动机械登记、移动执法等系统，提升执法效能。</w:t>
      </w:r>
      <w:r>
        <w:rPr>
          <w:rFonts w:hint="eastAsia" w:ascii="仿宋_GB2312" w:hAnsi="仿宋_GB2312" w:eastAsia="仿宋_GB2312" w:cs="仿宋_GB2312"/>
          <w:b/>
          <w:bCs/>
          <w:sz w:val="32"/>
          <w:szCs w:val="32"/>
        </w:rPr>
        <w:t>环境信息化建设逐步完善。</w:t>
      </w:r>
      <w:r>
        <w:rPr>
          <w:rFonts w:hint="eastAsia" w:ascii="仿宋_GB2312" w:hAnsi="仿宋_GB2312" w:eastAsia="仿宋_GB2312" w:cs="仿宋_GB2312"/>
          <w:sz w:val="32"/>
          <w:szCs w:val="32"/>
        </w:rPr>
        <w:t>建立顺义环保巡查</w:t>
      </w:r>
      <w:r>
        <w:rPr>
          <w:rFonts w:ascii="仿宋_GB2312" w:hAnsi="仿宋_GB2312" w:eastAsia="仿宋_GB2312" w:cs="仿宋_GB2312"/>
          <w:sz w:val="32"/>
          <w:szCs w:val="32"/>
        </w:rPr>
        <w:t>、顺义环保在线平台等环境管理应用平台，实现</w:t>
      </w:r>
      <w:r>
        <w:rPr>
          <w:rFonts w:hint="eastAsia" w:ascii="仿宋_GB2312" w:hAnsi="仿宋_GB2312" w:eastAsia="仿宋_GB2312" w:cs="仿宋_GB2312"/>
          <w:sz w:val="32"/>
          <w:szCs w:val="32"/>
        </w:rPr>
        <w:t>了空气质量、餐饮油烟、水环境监测系统数据实时共享并进行数据分析。</w:t>
      </w:r>
    </w:p>
    <w:p>
      <w:pPr>
        <w:adjustRightInd w:val="0"/>
        <w:snapToGrid w:val="0"/>
        <w:spacing w:line="560" w:lineRule="exact"/>
        <w:ind w:firstLine="643" w:firstLineChars="200"/>
        <w:contextualSpacing/>
        <w:rPr>
          <w:rFonts w:ascii="仿宋_GB2312" w:hAnsi="仿宋_GB2312" w:eastAsia="仿宋_GB2312" w:cs="仿宋_GB2312"/>
          <w:sz w:val="32"/>
          <w:szCs w:val="32"/>
        </w:rPr>
      </w:pPr>
      <w:bookmarkStart w:id="80" w:name="_Hlk160482536"/>
      <w:r>
        <w:rPr>
          <w:rFonts w:hint="eastAsia" w:ascii="仿宋_GB2312" w:hAnsi="仿宋_GB2312" w:eastAsia="仿宋_GB2312" w:cs="仿宋_GB2312"/>
          <w:b/>
          <w:sz w:val="32"/>
          <w:szCs w:val="32"/>
        </w:rPr>
        <w:t>生态文化服务供给能力不断提升。</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2022年底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顺义区人均公共文化服务设施建筑面积达2.2平米，全市排名第2，平原新城排名第1；在全市乡镇（街道）综合文化中心服务效能评估中全市排名第1</w:t>
      </w:r>
      <w:r>
        <w:rPr>
          <w:rFonts w:hint="eastAsia" w:ascii="仿宋_GB2312" w:hAnsi="仿宋_GB2312" w:eastAsia="仿宋_GB2312" w:cs="仿宋_GB2312"/>
          <w:sz w:val="32"/>
          <w:szCs w:val="32"/>
        </w:rPr>
        <w:t>。</w:t>
      </w:r>
      <w:bookmarkEnd w:id="80"/>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年，顺义区获评第一批北京市公共文化服务体系示范区，举办各类文化活动</w:t>
      </w:r>
      <w:r>
        <w:rPr>
          <w:rFonts w:ascii="仿宋_GB2312" w:hAnsi="仿宋_GB2312" w:eastAsia="仿宋_GB2312" w:cs="仿宋_GB2312"/>
          <w:sz w:val="32"/>
          <w:szCs w:val="32"/>
        </w:rPr>
        <w:t>1770场，着力优化文</w:t>
      </w:r>
      <w:r>
        <w:rPr>
          <w:rFonts w:hint="eastAsia" w:ascii="仿宋_GB2312" w:hAnsi="仿宋_GB2312" w:eastAsia="仿宋_GB2312" w:cs="仿宋_GB2312"/>
          <w:sz w:val="32"/>
          <w:szCs w:val="32"/>
        </w:rPr>
        <w:t>化服务载体功能，更加便利群众走进博物馆、文化馆和图书馆；持续丰富“四季村晚”等群众文化活动，在全市创新打造“百场村晚倡新风”品牌。</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sz w:val="32"/>
          <w:szCs w:val="32"/>
        </w:rPr>
        <w:t>生态文明宣传和教育深入人心。</w:t>
      </w:r>
      <w:r>
        <w:rPr>
          <w:rFonts w:hint="eastAsia" w:ascii="仿宋_GB2312" w:hAnsi="仿宋_GB2312" w:eastAsia="仿宋_GB2312" w:cs="仿宋_GB2312"/>
          <w:sz w:val="32"/>
          <w:szCs w:val="32"/>
        </w:rPr>
        <w:t>顺义区已连续四年开展公众生态环境意识调查，调查结果表明顺义区公众对生态环境的重视度、满意度、认知度、关注度、践行度逐年提升。持续开展宣传品牌活动，环保网格员知识竞赛、中小学生环保主题演讲等已成为顺义区环保品牌活动。充分运用新媒体宣传平台“顺义生态环境”微信、微博等传播生态环境保护知识，积极宣传生态文明建设先进典型。不断开拓宣传教育资源，拓宽生态宣教的覆盖面和影响力，将生态环境教育“课堂”延伸至全区</w:t>
      </w:r>
      <w:r>
        <w:rPr>
          <w:rFonts w:ascii="仿宋_GB2312" w:hAnsi="仿宋_GB2312" w:eastAsia="仿宋_GB2312" w:cs="仿宋_GB2312"/>
          <w:sz w:val="32"/>
          <w:szCs w:val="32"/>
        </w:rPr>
        <w:t>4家环境教育基地、3家环保设施开放单</w:t>
      </w:r>
      <w:r>
        <w:rPr>
          <w:rFonts w:hint="eastAsia" w:ascii="仿宋_GB2312" w:hAnsi="仿宋_GB2312" w:eastAsia="仿宋_GB2312" w:cs="仿宋_GB2312"/>
          <w:sz w:val="32"/>
          <w:szCs w:val="32"/>
        </w:rPr>
        <w:t>位。深入开展环保主题教育，以进社区、进学校的形式，借助世界环境日、低碳日、生物多样性日、首都全民义务植树日等主题宣传活动，进一步提高宣传覆盖率、增强全民生态文明意识。</w:t>
      </w:r>
      <w:bookmarkEnd w:id="73"/>
    </w:p>
    <w:p>
      <w:pPr>
        <w:pStyle w:val="3"/>
        <w:numPr>
          <w:ilvl w:val="0"/>
          <w:numId w:val="1"/>
        </w:numPr>
        <w:snapToGrid w:val="0"/>
        <w:spacing w:before="0" w:after="0" w:line="560" w:lineRule="exact"/>
        <w:ind w:left="0" w:firstLine="640" w:firstLineChars="200"/>
        <w:jc w:val="left"/>
        <w:rPr>
          <w:rFonts w:ascii="黑体" w:hAnsi="黑体" w:eastAsia="黑体" w:cs="黑体"/>
          <w:b w:val="0"/>
          <w:bCs w:val="0"/>
        </w:rPr>
      </w:pPr>
      <w:bookmarkStart w:id="81" w:name="_Toc15187_WPSOffice_Level2"/>
      <w:bookmarkStart w:id="82" w:name="_Toc136794665"/>
      <w:r>
        <w:rPr>
          <w:rFonts w:ascii="黑体" w:hAnsi="黑体" w:eastAsia="黑体" w:cs="黑体"/>
          <w:b w:val="0"/>
          <w:bCs w:val="0"/>
        </w:rPr>
        <w:t>存在</w:t>
      </w:r>
      <w:r>
        <w:rPr>
          <w:rFonts w:hint="eastAsia" w:ascii="黑体" w:hAnsi="黑体" w:eastAsia="黑体" w:cs="黑体"/>
          <w:b w:val="0"/>
          <w:bCs w:val="0"/>
        </w:rPr>
        <w:t>的主要</w:t>
      </w:r>
      <w:r>
        <w:rPr>
          <w:rFonts w:ascii="黑体" w:hAnsi="黑体" w:eastAsia="黑体" w:cs="黑体"/>
          <w:b w:val="0"/>
          <w:bCs w:val="0"/>
        </w:rPr>
        <w:t>问题</w:t>
      </w:r>
      <w:bookmarkEnd w:id="81"/>
      <w:bookmarkEnd w:id="82"/>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83" w:name="_Hlk164030069"/>
      <w:bookmarkStart w:id="84" w:name="_Hlk154678939"/>
      <w:r>
        <w:rPr>
          <w:rFonts w:hint="eastAsia" w:ascii="仿宋_GB2312" w:hAnsi="仿宋_GB2312" w:eastAsia="仿宋_GB2312" w:cs="仿宋_GB2312"/>
          <w:b/>
          <w:sz w:val="32"/>
          <w:szCs w:val="32"/>
        </w:rPr>
        <w:t>生态环境质量仍需持续提升</w:t>
      </w:r>
      <w:r>
        <w:rPr>
          <w:rFonts w:hint="eastAsia" w:ascii="仿宋_GB2312" w:hAnsi="仿宋_GB2312" w:eastAsia="仿宋_GB2312" w:cs="仿宋_GB2312"/>
          <w:bCs/>
          <w:sz w:val="32"/>
          <w:szCs w:val="32"/>
        </w:rPr>
        <w:t>。</w:t>
      </w:r>
      <w:bookmarkEnd w:id="83"/>
      <w:r>
        <w:rPr>
          <w:rFonts w:hint="eastAsia" w:ascii="仿宋_GB2312" w:hAnsi="仿宋_GB2312" w:eastAsia="仿宋_GB2312" w:cs="仿宋_GB2312"/>
          <w:bCs/>
          <w:sz w:val="32"/>
          <w:szCs w:val="32"/>
        </w:rPr>
        <w:t>扬尘污染问题仍有待解决，</w:t>
      </w:r>
      <w:r>
        <w:rPr>
          <w:rFonts w:ascii="仿宋_GB2312" w:hAnsi="仿宋_GB2312" w:eastAsia="仿宋_GB2312" w:cs="仿宋_GB2312"/>
          <w:bCs/>
          <w:sz w:val="32"/>
          <w:szCs w:val="32"/>
        </w:rPr>
        <w:t>2022年顺义区属地TSP浓度进入全市后30次数较多</w:t>
      </w:r>
      <w:r>
        <w:rPr>
          <w:rFonts w:hint="eastAsia" w:ascii="仿宋_GB2312" w:hAnsi="仿宋_GB2312" w:eastAsia="仿宋_GB2312" w:cs="仿宋_GB2312"/>
          <w:bCs/>
          <w:sz w:val="32"/>
          <w:szCs w:val="32"/>
        </w:rPr>
        <w:t>，主要</w:t>
      </w:r>
      <w:r>
        <w:rPr>
          <w:rFonts w:ascii="仿宋_GB2312" w:hAnsi="仿宋_GB2312" w:eastAsia="仿宋_GB2312" w:cs="仿宋_GB2312"/>
          <w:bCs/>
          <w:sz w:val="32"/>
          <w:szCs w:val="32"/>
        </w:rPr>
        <w:t>受施工工地数量多、土石方开挖面积大</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农村地区拆违工地面积大</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渣土运输车频繁拉运等因素影响。</w:t>
      </w:r>
      <w:r>
        <w:rPr>
          <w:rFonts w:hint="eastAsia" w:ascii="仿宋_GB2312" w:hAnsi="仿宋_GB2312" w:eastAsia="仿宋_GB2312" w:cs="仿宋_GB2312"/>
          <w:bCs/>
          <w:sz w:val="32"/>
          <w:szCs w:val="32"/>
        </w:rPr>
        <w:t>顺义区内地表水断面水质不稳定，考核断面水质受雨污分流管路改造不彻底、河道溢流等问题影响。生态环境质量指数有待进一步提升，顺义区生态环境质量级别为“良”，全市排名第</w:t>
      </w:r>
      <w:r>
        <w:rPr>
          <w:rFonts w:ascii="仿宋_GB2312" w:hAnsi="仿宋_GB2312" w:eastAsia="仿宋_GB2312" w:cs="仿宋_GB2312"/>
          <w:bCs/>
          <w:sz w:val="32"/>
          <w:szCs w:val="32"/>
        </w:rPr>
        <w:t>8，但与生态涵养区和全市的平均水平相比仍有一定的差距。生态系统稳定性有待提高，大面积景观生态林主要集中在郊区，生态空间连通性较弱，生态功能尚未得到充分发挥，与生态状况和质量相关的湿地、森林、动植物等生物多样性监测指标、内容、频次、方案等有待完善。</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85" w:name="_Hlk164030074"/>
      <w:r>
        <w:rPr>
          <w:rFonts w:hint="eastAsia" w:ascii="仿宋_GB2312" w:hAnsi="仿宋_GB2312" w:eastAsia="仿宋_GB2312" w:cs="仿宋_GB2312"/>
          <w:b/>
          <w:sz w:val="32"/>
          <w:szCs w:val="32"/>
        </w:rPr>
        <w:t>生态经济低碳发展仍需强化</w:t>
      </w:r>
      <w:bookmarkEnd w:id="85"/>
      <w:r>
        <w:rPr>
          <w:rFonts w:hint="eastAsia" w:ascii="仿宋_GB2312" w:hAnsi="仿宋_GB2312" w:eastAsia="仿宋_GB2312" w:cs="仿宋_GB2312"/>
          <w:bCs/>
          <w:sz w:val="32"/>
          <w:szCs w:val="32"/>
        </w:rPr>
        <w:t>。近三年顺义区碳排放总量和碳排放强度均达到市级要求，</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年碳排放强度较</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年的累计下降率在全市排名第</w:t>
      </w:r>
      <w:r>
        <w:rPr>
          <w:rFonts w:ascii="仿宋_GB2312" w:hAnsi="仿宋_GB2312" w:eastAsia="仿宋_GB2312" w:cs="仿宋_GB2312"/>
          <w:bCs/>
          <w:sz w:val="32"/>
          <w:szCs w:val="32"/>
        </w:rPr>
        <w:t>1，但2022</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碳排放总量和碳排放强度均居全市第2，</w:t>
      </w:r>
      <w:r>
        <w:rPr>
          <w:rFonts w:hint="eastAsia" w:ascii="仿宋_GB2312" w:hAnsi="仿宋_GB2312" w:eastAsia="仿宋_GB2312" w:cs="仿宋_GB2312"/>
          <w:bCs/>
          <w:sz w:val="32"/>
          <w:szCs w:val="32"/>
        </w:rPr>
        <w:t>与全市平均水平相比仍有一定的差距。航空运输业和工业企业碳排放总量的占比较高，有效减排路径还需持续拓展。</w:t>
      </w:r>
      <w:bookmarkEnd w:id="84"/>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86" w:name="_Hlk164030080"/>
      <w:r>
        <w:rPr>
          <w:rFonts w:hint="eastAsia" w:ascii="仿宋_GB2312" w:hAnsi="仿宋_GB2312" w:eastAsia="仿宋_GB2312" w:cs="仿宋_GB2312"/>
          <w:b/>
          <w:sz w:val="32"/>
          <w:szCs w:val="32"/>
        </w:rPr>
        <w:t>生态文化体系建设仍需完善</w:t>
      </w:r>
      <w:bookmarkEnd w:id="86"/>
      <w:r>
        <w:rPr>
          <w:rFonts w:hint="eastAsia" w:ascii="仿宋_GB2312" w:hAnsi="仿宋_GB2312" w:eastAsia="仿宋_GB2312" w:cs="仿宋_GB2312"/>
          <w:bCs/>
          <w:sz w:val="32"/>
          <w:szCs w:val="32"/>
        </w:rPr>
        <w:t>。历史文化和公共文化统筹转化为当前生态文明建设所需的生态文化建设仍存不足，优秀、深厚的历史文化资源仍有待挖掘和传承。生态文明宣传力度有待加强，各类文化活动仍需加强生态文明建设宣传。</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87" w:name="_Hlk164030085"/>
      <w:r>
        <w:rPr>
          <w:rFonts w:hint="eastAsia" w:ascii="仿宋_GB2312" w:hAnsi="仿宋_GB2312" w:eastAsia="仿宋_GB2312" w:cs="仿宋_GB2312"/>
          <w:b/>
          <w:sz w:val="32"/>
          <w:szCs w:val="32"/>
        </w:rPr>
        <w:t>生态文明制度有待健全深化</w:t>
      </w:r>
      <w:bookmarkEnd w:id="87"/>
      <w:r>
        <w:rPr>
          <w:rFonts w:hint="eastAsia" w:ascii="仿宋_GB2312" w:hAnsi="仿宋_GB2312" w:eastAsia="仿宋_GB2312" w:cs="仿宋_GB2312"/>
          <w:bCs/>
          <w:sz w:val="32"/>
          <w:szCs w:val="32"/>
        </w:rPr>
        <w:t>。现代环境治理体系正处于建设阶段，有待进一步健全和完善深化。顺义区在水环境镇街跨界断面等方面建立了生态补偿机制，但全区以各类生态环境要素为实践对象的分类补偿制度仍需进一步完善深化。</w:t>
      </w:r>
    </w:p>
    <w:p>
      <w:pPr>
        <w:pStyle w:val="3"/>
        <w:numPr>
          <w:ilvl w:val="0"/>
          <w:numId w:val="1"/>
        </w:numPr>
        <w:snapToGrid w:val="0"/>
        <w:spacing w:before="0" w:after="0" w:line="560" w:lineRule="exact"/>
        <w:ind w:left="0" w:firstLine="640" w:firstLineChars="200"/>
        <w:jc w:val="left"/>
        <w:rPr>
          <w:rFonts w:ascii="黑体" w:hAnsi="黑体" w:eastAsia="黑体" w:cs="黑体"/>
          <w:b w:val="0"/>
          <w:bCs w:val="0"/>
        </w:rPr>
      </w:pPr>
      <w:bookmarkStart w:id="88" w:name="_Toc15330_WPSOffice_Level2"/>
      <w:r>
        <w:rPr>
          <w:rFonts w:hint="eastAsia" w:ascii="黑体" w:hAnsi="黑体" w:eastAsia="黑体" w:cs="黑体"/>
          <w:b w:val="0"/>
          <w:bCs w:val="0"/>
        </w:rPr>
        <w:t>新时期发展机遇</w:t>
      </w:r>
      <w:bookmarkEnd w:id="88"/>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89" w:name="_Hlk154678995"/>
      <w:r>
        <w:rPr>
          <w:rFonts w:ascii="仿宋_GB2312" w:hAnsi="仿宋_GB2312" w:eastAsia="仿宋_GB2312" w:cs="仿宋_GB2312"/>
          <w:b/>
          <w:sz w:val="32"/>
          <w:szCs w:val="32"/>
        </w:rPr>
        <w:t>习近平生态文明思想为新时代</w:t>
      </w:r>
      <w:r>
        <w:rPr>
          <w:rFonts w:hint="eastAsia" w:ascii="仿宋_GB2312" w:hAnsi="仿宋_GB2312" w:eastAsia="仿宋_GB2312" w:cs="仿宋_GB2312"/>
          <w:b/>
          <w:sz w:val="32"/>
          <w:szCs w:val="32"/>
        </w:rPr>
        <w:t>顺义区</w:t>
      </w:r>
      <w:r>
        <w:rPr>
          <w:rFonts w:ascii="仿宋_GB2312" w:hAnsi="仿宋_GB2312" w:eastAsia="仿宋_GB2312" w:cs="仿宋_GB2312"/>
          <w:b/>
          <w:sz w:val="32"/>
          <w:szCs w:val="32"/>
        </w:rPr>
        <w:t>加强生态文明建设提供了方向指引和根本遵循</w:t>
      </w:r>
      <w:r>
        <w:rPr>
          <w:rFonts w:ascii="仿宋_GB2312" w:hAnsi="仿宋_GB2312" w:eastAsia="仿宋_GB2312" w:cs="仿宋_GB2312"/>
          <w:bCs/>
          <w:sz w:val="32"/>
          <w:szCs w:val="32"/>
        </w:rPr>
        <w:t>。党的十八大以来，我国生态环境保护从认识到实践发生了历史性、转折性和全局性变化，生态文明建设取得显著成效，进入认识最深、力度最大、举措最实、推进最快，也是成效最好的时期。</w:t>
      </w:r>
      <w:r>
        <w:rPr>
          <w:rFonts w:hint="eastAsia" w:ascii="仿宋_GB2312" w:hAnsi="仿宋_GB2312" w:eastAsia="仿宋_GB2312" w:cs="仿宋_GB2312"/>
          <w:bCs/>
          <w:sz w:val="32"/>
          <w:szCs w:val="32"/>
        </w:rPr>
        <w:t>党的二十大擘画了全面建设社会主义现代化国家的宏伟蓝图，建设美丽中国是其中的重要目标，</w:t>
      </w:r>
      <w:r>
        <w:rPr>
          <w:rFonts w:hint="eastAsia" w:ascii="仿宋_GB2312" w:hAnsi="仿宋_GB2312" w:eastAsia="仿宋_GB2312" w:cs="仿宋_GB2312"/>
          <w:sz w:val="32"/>
          <w:szCs w:val="32"/>
        </w:rPr>
        <w:t>明确了新时代生态文明建设的战略任务</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习近平总书记在全国生态环境保护大会上</w:t>
      </w:r>
      <w:r>
        <w:rPr>
          <w:rFonts w:hint="eastAsia" w:ascii="仿宋_GB2312" w:hAnsi="仿宋_GB2312" w:eastAsia="仿宋_GB2312" w:cs="仿宋_GB2312"/>
          <w:bCs/>
          <w:sz w:val="32"/>
          <w:szCs w:val="32"/>
        </w:rPr>
        <w:t>深入分析了生态文明建设仍处于压力叠加、负重前行的关键期，深刻阐述了新征程上推进生态文明建设需要处理好高质量发展和高水平保护、重点攻坚和协同治理、自然恢复和人工修复、外部约束和内生动力、“双碳”承诺和自主行动这五个重大关系，系统部署了全面推进美丽中国建设的战略任务和重大举措，为顺义区进一步以高品质生态环境支撑高质量发展，加快推进人与自然和谐共生的现代化，推进生态文明建设和建设美丽顺义提供了方向指引和根本遵循。</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碳达峰碳中和</w:t>
      </w:r>
      <w:r>
        <w:rPr>
          <w:rFonts w:ascii="仿宋_GB2312" w:hAnsi="仿宋_GB2312" w:eastAsia="仿宋_GB2312" w:cs="仿宋_GB2312"/>
          <w:b/>
          <w:sz w:val="32"/>
          <w:szCs w:val="32"/>
        </w:rPr>
        <w:t>目标</w:t>
      </w:r>
      <w:r>
        <w:rPr>
          <w:rFonts w:hint="eastAsia" w:ascii="仿宋_GB2312" w:hAnsi="仿宋_GB2312" w:eastAsia="仿宋_GB2312" w:cs="仿宋_GB2312"/>
          <w:b/>
          <w:sz w:val="32"/>
          <w:szCs w:val="32"/>
        </w:rPr>
        <w:t>为顺义区高质量发展带来新机遇</w:t>
      </w:r>
      <w:r>
        <w:rPr>
          <w:rFonts w:hint="eastAsia" w:ascii="仿宋_GB2312" w:hAnsi="仿宋_GB2312" w:eastAsia="仿宋_GB2312" w:cs="仿宋_GB2312"/>
          <w:bCs/>
          <w:sz w:val="32"/>
          <w:szCs w:val="32"/>
        </w:rPr>
        <w:t>。碳达峰碳中和目标本质是通过绿色低碳转型发展应对全球气候危机，由资源依赖发展向技术依赖发展转变，快速推进全球新一轮科技创新革命和绿色产业革命。</w:t>
      </w:r>
      <w:r>
        <w:rPr>
          <w:rFonts w:ascii="仿宋_GB2312" w:hAnsi="仿宋_GB2312" w:eastAsia="仿宋_GB2312" w:cs="仿宋_GB2312"/>
          <w:bCs/>
          <w:sz w:val="32"/>
          <w:szCs w:val="32"/>
        </w:rPr>
        <w:t>“十四五”时期，我国生态文明建设进入</w:t>
      </w:r>
      <w:r>
        <w:rPr>
          <w:rFonts w:hint="eastAsia" w:ascii="仿宋_GB2312" w:hAnsi="仿宋_GB2312" w:eastAsia="仿宋_GB2312" w:cs="仿宋_GB2312"/>
          <w:bCs/>
          <w:sz w:val="32"/>
          <w:szCs w:val="32"/>
        </w:rPr>
        <w:t>加快绿色化、低碳化的高质量发展阶段。顺义区立足“</w:t>
      </w:r>
      <w:r>
        <w:rPr>
          <w:rFonts w:ascii="仿宋_GB2312" w:hAnsi="仿宋_GB2312" w:eastAsia="仿宋_GB2312" w:cs="仿宋_GB2312"/>
          <w:bCs/>
          <w:sz w:val="32"/>
          <w:szCs w:val="32"/>
        </w:rPr>
        <w:t>创新引领的区域经济提升发展先行区</w:t>
      </w:r>
      <w:r>
        <w:rPr>
          <w:rFonts w:hint="eastAsia" w:ascii="仿宋_GB2312" w:hAnsi="仿宋_GB2312" w:eastAsia="仿宋_GB2312" w:cs="仿宋_GB2312"/>
          <w:bCs/>
          <w:sz w:val="32"/>
          <w:szCs w:val="32"/>
        </w:rPr>
        <w:t>”功能定位，迫切需要充分把握碳达峰碳中和带来的发展机遇，坚定不移走生态优先、绿色低碳的高质量发展道路，着力构建绿色低碳循环经济体系，以能源和产业绿色低碳发展为抓手，通过减污降碳协同增效和环境标准提升，推动产业、能源、交通运输和空间结构转型升级，全面落实生态环境分区管控要求，严把生态环境准入关。推动绿色低碳技术研发和推广应用，支持节能环保等产业发展壮大，推动经济社会发展绿色化、低碳化。</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ascii="仿宋_GB2312" w:hAnsi="仿宋_GB2312" w:eastAsia="仿宋_GB2312" w:cs="仿宋_GB2312"/>
          <w:b/>
          <w:sz w:val="32"/>
          <w:szCs w:val="32"/>
        </w:rPr>
        <w:t>落实首都城市战略定位和“两区”建设为</w:t>
      </w:r>
      <w:r>
        <w:rPr>
          <w:rFonts w:hint="eastAsia" w:ascii="仿宋_GB2312" w:hAnsi="仿宋_GB2312" w:eastAsia="仿宋_GB2312" w:cs="仿宋_GB2312"/>
          <w:b/>
          <w:sz w:val="32"/>
          <w:szCs w:val="32"/>
        </w:rPr>
        <w:t>顺义区</w:t>
      </w:r>
      <w:r>
        <w:rPr>
          <w:rFonts w:ascii="仿宋_GB2312" w:hAnsi="仿宋_GB2312" w:eastAsia="仿宋_GB2312" w:cs="仿宋_GB2312"/>
          <w:b/>
          <w:sz w:val="32"/>
          <w:szCs w:val="32"/>
        </w:rPr>
        <w:t>生态环境保护工作带来全新机遇</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当前和今后一个时期，我国进入新发展阶段，北京市进入落实首都城市战略定位的关键时期，“四个中心”“四个服务”能量加速释放，顺义区被赋予“平原新城看顺义”的重大使命</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有利于顺义区主动承接适宜功能和产业，放大“两区”政策叠加效应，培育开放发展新优势，为顺义区生态环境保护工作带来了全新机遇。落实“平原新城看顺义”的目标要求，</w:t>
      </w:r>
      <w:r>
        <w:rPr>
          <w:rFonts w:ascii="仿宋_GB2312" w:hAnsi="仿宋_GB2312" w:eastAsia="仿宋_GB2312" w:cs="仿宋_GB2312"/>
          <w:bCs/>
          <w:sz w:val="32"/>
          <w:szCs w:val="32"/>
        </w:rPr>
        <w:t>坚持以服务首都发展为统领，以推动绿色低碳发展、促进人与自然和谐共生为总体发展方向，以努力实现“低碳、天蓝、水清、土净、地绿”美丽顺义为目标，以改善生态环境质量为核心，以解决突出生态环境问题为重点，巩固污染防治攻坚战成果，进一步从结构</w:t>
      </w:r>
      <w:r>
        <w:rPr>
          <w:rFonts w:hint="eastAsia" w:ascii="仿宋_GB2312" w:hAnsi="仿宋_GB2312" w:eastAsia="仿宋_GB2312" w:cs="仿宋_GB2312"/>
          <w:bCs/>
          <w:sz w:val="32"/>
          <w:szCs w:val="32"/>
        </w:rPr>
        <w:t>优化</w:t>
      </w:r>
      <w:r>
        <w:rPr>
          <w:rFonts w:ascii="仿宋_GB2312" w:hAnsi="仿宋_GB2312" w:eastAsia="仿宋_GB2312" w:cs="仿宋_GB2312"/>
          <w:bCs/>
          <w:sz w:val="32"/>
          <w:szCs w:val="32"/>
        </w:rPr>
        <w:t>调整中挖掘</w:t>
      </w:r>
      <w:r>
        <w:rPr>
          <w:rFonts w:hint="eastAsia" w:ascii="仿宋_GB2312" w:hAnsi="仿宋_GB2312" w:eastAsia="仿宋_GB2312" w:cs="仿宋_GB2312"/>
          <w:bCs/>
          <w:sz w:val="32"/>
          <w:szCs w:val="32"/>
        </w:rPr>
        <w:t>生态环境</w:t>
      </w:r>
      <w:r>
        <w:rPr>
          <w:rFonts w:ascii="仿宋_GB2312" w:hAnsi="仿宋_GB2312" w:eastAsia="仿宋_GB2312" w:cs="仿宋_GB2312"/>
          <w:bCs/>
          <w:sz w:val="32"/>
          <w:szCs w:val="32"/>
        </w:rPr>
        <w:t>质量改善的潜力，统筹城市与农村发展、统筹河东与河西区域发展</w:t>
      </w:r>
      <w:r>
        <w:rPr>
          <w:rFonts w:hint="eastAsia" w:ascii="仿宋_GB2312" w:hAnsi="仿宋_GB2312" w:eastAsia="仿宋_GB2312" w:cs="仿宋_GB2312"/>
          <w:bCs/>
          <w:sz w:val="32"/>
          <w:szCs w:val="32"/>
        </w:rPr>
        <w:t>。</w:t>
      </w:r>
      <w:bookmarkEnd w:id="89"/>
    </w:p>
    <w:p>
      <w:pPr>
        <w:adjustRightInd w:val="0"/>
        <w:snapToGrid w:val="0"/>
        <w:spacing w:line="560" w:lineRule="exact"/>
        <w:ind w:firstLine="480"/>
        <w:rPr>
          <w:rFonts w:ascii="仿宋_GB2312" w:hAnsi="仿宋_GB2312" w:eastAsia="仿宋_GB2312" w:cs="仿宋_GB2312"/>
          <w:sz w:val="32"/>
          <w:szCs w:val="32"/>
        </w:rPr>
      </w:pPr>
    </w:p>
    <w:p>
      <w:pPr>
        <w:pStyle w:val="3"/>
        <w:numPr>
          <w:ilvl w:val="0"/>
          <w:numId w:val="1"/>
        </w:numPr>
        <w:snapToGrid w:val="0"/>
        <w:spacing w:before="0" w:after="0" w:line="560" w:lineRule="exact"/>
        <w:ind w:left="0" w:firstLine="640" w:firstLineChars="200"/>
        <w:jc w:val="left"/>
        <w:rPr>
          <w:rFonts w:ascii="黑体" w:hAnsi="黑体" w:eastAsia="黑体" w:cs="黑体"/>
          <w:b w:val="0"/>
          <w:bCs w:val="0"/>
        </w:rPr>
      </w:pPr>
      <w:bookmarkStart w:id="90" w:name="_Toc24497_WPSOffice_Level2"/>
      <w:r>
        <w:rPr>
          <w:rFonts w:hint="eastAsia" w:ascii="黑体" w:hAnsi="黑体" w:eastAsia="黑体" w:cs="黑体"/>
          <w:b w:val="0"/>
          <w:bCs w:val="0"/>
        </w:rPr>
        <w:t>面临的压力挑战</w:t>
      </w:r>
      <w:bookmarkEnd w:id="90"/>
    </w:p>
    <w:p>
      <w:pPr>
        <w:adjustRightInd w:val="0"/>
        <w:snapToGrid w:val="0"/>
        <w:spacing w:line="560" w:lineRule="exact"/>
        <w:ind w:firstLine="643" w:firstLineChars="200"/>
        <w:contextualSpacing/>
        <w:rPr>
          <w:rFonts w:ascii="仿宋_GB2312" w:hAnsi="仿宋_GB2312" w:eastAsia="仿宋_GB2312" w:cs="仿宋_GB2312"/>
          <w:bCs/>
          <w:sz w:val="32"/>
          <w:szCs w:val="32"/>
        </w:rPr>
      </w:pPr>
      <w:bookmarkStart w:id="91" w:name="_Hlk154679153"/>
      <w:r>
        <w:rPr>
          <w:rFonts w:hint="eastAsia" w:ascii="仿宋_GB2312" w:hAnsi="仿宋_GB2312" w:eastAsia="仿宋_GB2312" w:cs="仿宋_GB2312"/>
          <w:b/>
          <w:sz w:val="32"/>
          <w:szCs w:val="32"/>
        </w:rPr>
        <w:t>环境空气质量持续改善压力较大</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“十三五”以来，顺义区压煤减煤、重点行业企业减排、淘汰老旧机动车、公交</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清洁能源化、“散乱污”清理整治等减排</w:t>
      </w:r>
      <w:r>
        <w:rPr>
          <w:rFonts w:ascii="仿宋_GB2312" w:hAnsi="仿宋_GB2312" w:eastAsia="仿宋_GB2312" w:cs="仿宋_GB2312"/>
          <w:sz w:val="32"/>
          <w:szCs w:val="32"/>
        </w:rPr>
        <w:t>措施</w:t>
      </w:r>
      <w:r>
        <w:rPr>
          <w:rFonts w:hint="eastAsia" w:ascii="仿宋_GB2312" w:hAnsi="仿宋_GB2312" w:eastAsia="仿宋_GB2312" w:cs="仿宋_GB2312"/>
          <w:sz w:val="32"/>
          <w:szCs w:val="32"/>
        </w:rPr>
        <w:t>逐步推进落实，减排空间逐步收窄，持续改善空气质量难度增大。</w:t>
      </w:r>
      <w:r>
        <w:rPr>
          <w:rFonts w:ascii="仿宋_GB2312" w:hAnsi="仿宋_GB2312" w:eastAsia="仿宋_GB2312" w:cs="仿宋_GB2312"/>
          <w:sz w:val="32"/>
          <w:szCs w:val="32"/>
        </w:rPr>
        <w:t>2018年以来，臭氧超过PM</w:t>
      </w:r>
      <w:r>
        <w:rPr>
          <w:rFonts w:ascii="仿宋_GB2312" w:hAnsi="仿宋_GB2312" w:eastAsia="仿宋_GB2312" w:cs="仿宋_GB2312"/>
          <w:sz w:val="32"/>
          <w:szCs w:val="32"/>
          <w:vertAlign w:val="subscript"/>
        </w:rPr>
        <w:t>2.5</w:t>
      </w:r>
      <w:r>
        <w:rPr>
          <w:rFonts w:ascii="仿宋_GB2312" w:hAnsi="仿宋_GB2312" w:eastAsia="仿宋_GB2312" w:cs="仿宋_GB2312"/>
          <w:sz w:val="32"/>
          <w:szCs w:val="32"/>
        </w:rPr>
        <w:t>成为顺</w:t>
      </w:r>
      <w:r>
        <w:rPr>
          <w:rFonts w:hint="eastAsia" w:ascii="仿宋_GB2312" w:hAnsi="仿宋_GB2312" w:eastAsia="仿宋_GB2312" w:cs="仿宋_GB2312"/>
          <w:sz w:val="32"/>
          <w:szCs w:val="32"/>
        </w:rPr>
        <w:t>义区的主要污染物，臭氧污染的挑战逐渐凸显，</w:t>
      </w:r>
      <w:r>
        <w:rPr>
          <w:rFonts w:ascii="仿宋_GB2312" w:hAnsi="仿宋_GB2312" w:eastAsia="仿宋_GB2312" w:cs="仿宋_GB2312"/>
          <w:bCs/>
          <w:sz w:val="32"/>
          <w:szCs w:val="32"/>
        </w:rPr>
        <w:t>PM</w:t>
      </w:r>
      <w:r>
        <w:rPr>
          <w:rFonts w:ascii="仿宋_GB2312" w:hAnsi="仿宋_GB2312" w:eastAsia="仿宋_GB2312" w:cs="仿宋_GB2312"/>
          <w:bCs/>
          <w:sz w:val="32"/>
          <w:szCs w:val="32"/>
          <w:vertAlign w:val="subscript"/>
        </w:rPr>
        <w:t>2.5</w:t>
      </w:r>
      <w:r>
        <w:rPr>
          <w:rFonts w:hint="eastAsia" w:ascii="仿宋_GB2312" w:hAnsi="仿宋_GB2312" w:eastAsia="仿宋_GB2312" w:cs="仿宋_GB2312"/>
          <w:bCs/>
          <w:sz w:val="32"/>
          <w:szCs w:val="32"/>
        </w:rPr>
        <w:t>和臭氧协同控制能力有待提升</w:t>
      </w:r>
      <w:r>
        <w:rPr>
          <w:rFonts w:hint="eastAsia" w:ascii="仿宋_GB2312" w:hAnsi="仿宋_GB2312" w:eastAsia="仿宋_GB2312" w:cs="仿宋_GB2312"/>
          <w:sz w:val="32"/>
          <w:szCs w:val="32"/>
        </w:rPr>
        <w:t>。挥发性有机物（</w:t>
      </w:r>
      <w:r>
        <w:rPr>
          <w:rFonts w:ascii="仿宋_GB2312" w:hAnsi="仿宋_GB2312" w:eastAsia="仿宋_GB2312" w:cs="仿宋_GB2312"/>
          <w:sz w:val="32"/>
          <w:szCs w:val="32"/>
        </w:rPr>
        <w:t>VOCs）排放来源多、分布散，尚未得到有效控制，全区VOCs</w:t>
      </w:r>
      <w:r>
        <w:rPr>
          <w:rFonts w:hint="eastAsia" w:ascii="仿宋_GB2312" w:hAnsi="仿宋_GB2312" w:eastAsia="仿宋_GB2312" w:cs="仿宋_GB2312"/>
          <w:sz w:val="32"/>
          <w:szCs w:val="32"/>
        </w:rPr>
        <w:t>排放总量仍处于较高状态，</w:t>
      </w:r>
      <w:r>
        <w:rPr>
          <w:rFonts w:ascii="仿宋_GB2312" w:hAnsi="仿宋_GB2312" w:eastAsia="仿宋_GB2312" w:cs="仿宋_GB2312"/>
          <w:sz w:val="32"/>
          <w:szCs w:val="32"/>
        </w:rPr>
        <w:t>VOCs治理</w:t>
      </w:r>
      <w:r>
        <w:rPr>
          <w:rFonts w:hint="eastAsia" w:ascii="仿宋_GB2312" w:hAnsi="仿宋_GB2312" w:eastAsia="仿宋_GB2312" w:cs="仿宋_GB2312"/>
          <w:sz w:val="32"/>
          <w:szCs w:val="32"/>
        </w:rPr>
        <w:t>已</w:t>
      </w:r>
      <w:r>
        <w:rPr>
          <w:rFonts w:ascii="仿宋_GB2312" w:hAnsi="仿宋_GB2312" w:eastAsia="仿宋_GB2312" w:cs="仿宋_GB2312"/>
          <w:sz w:val="32"/>
          <w:szCs w:val="32"/>
        </w:rPr>
        <w:t>成为“十四五”时期顺</w:t>
      </w:r>
      <w:r>
        <w:rPr>
          <w:rFonts w:hint="eastAsia" w:ascii="仿宋_GB2312" w:hAnsi="仿宋_GB2312" w:eastAsia="仿宋_GB2312" w:cs="仿宋_GB2312"/>
          <w:sz w:val="32"/>
          <w:szCs w:val="32"/>
        </w:rPr>
        <w:t>义区空气质量改善的重点。此外，</w:t>
      </w:r>
      <w:r>
        <w:rPr>
          <w:rFonts w:ascii="仿宋_GB2312" w:hAnsi="仿宋_GB2312" w:eastAsia="仿宋_GB2312" w:cs="仿宋_GB2312"/>
          <w:bCs/>
          <w:sz w:val="32"/>
          <w:szCs w:val="32"/>
        </w:rPr>
        <w:t>顺义区位于东南传输通道的前端，不利气象条件下，</w:t>
      </w:r>
      <w:r>
        <w:rPr>
          <w:rFonts w:hint="eastAsia" w:ascii="仿宋_GB2312" w:hAnsi="仿宋_GB2312" w:eastAsia="仿宋_GB2312" w:cs="仿宋_GB2312"/>
          <w:bCs/>
          <w:sz w:val="32"/>
          <w:szCs w:val="32"/>
        </w:rPr>
        <w:t>受</w:t>
      </w:r>
      <w:r>
        <w:rPr>
          <w:rFonts w:ascii="仿宋_GB2312" w:hAnsi="仿宋_GB2312" w:eastAsia="仿宋_GB2312" w:cs="仿宋_GB2312"/>
          <w:bCs/>
          <w:sz w:val="32"/>
          <w:szCs w:val="32"/>
        </w:rPr>
        <w:t>河北廊坊</w:t>
      </w:r>
      <w:r>
        <w:rPr>
          <w:rFonts w:hint="eastAsia" w:ascii="仿宋_GB2312" w:hAnsi="仿宋_GB2312" w:eastAsia="仿宋_GB2312" w:cs="仿宋_GB2312"/>
          <w:bCs/>
          <w:sz w:val="32"/>
          <w:szCs w:val="32"/>
        </w:rPr>
        <w:t>等外源输入性</w:t>
      </w:r>
      <w:r>
        <w:rPr>
          <w:rFonts w:ascii="仿宋_GB2312" w:hAnsi="仿宋_GB2312" w:eastAsia="仿宋_GB2312" w:cs="仿宋_GB2312"/>
          <w:bCs/>
          <w:sz w:val="32"/>
          <w:szCs w:val="32"/>
        </w:rPr>
        <w:t>污染物</w:t>
      </w:r>
      <w:r>
        <w:rPr>
          <w:rFonts w:hint="eastAsia" w:ascii="仿宋_GB2312" w:hAnsi="仿宋_GB2312" w:eastAsia="仿宋_GB2312" w:cs="仿宋_GB2312"/>
          <w:bCs/>
          <w:sz w:val="32"/>
          <w:szCs w:val="32"/>
        </w:rPr>
        <w:t>影响</w:t>
      </w:r>
      <w:r>
        <w:rPr>
          <w:rFonts w:ascii="仿宋_GB2312" w:hAnsi="仿宋_GB2312" w:eastAsia="仿宋_GB2312" w:cs="仿宋_GB2312"/>
          <w:bCs/>
          <w:sz w:val="32"/>
          <w:szCs w:val="32"/>
        </w:rPr>
        <w:t>，且</w:t>
      </w:r>
      <w:r>
        <w:rPr>
          <w:rFonts w:hint="eastAsia" w:ascii="仿宋_GB2312" w:hAnsi="仿宋_GB2312" w:eastAsia="仿宋_GB2312" w:cs="仿宋_GB2312"/>
          <w:bCs/>
          <w:sz w:val="32"/>
          <w:szCs w:val="32"/>
        </w:rPr>
        <w:t>停</w:t>
      </w:r>
      <w:r>
        <w:rPr>
          <w:rFonts w:ascii="仿宋_GB2312" w:hAnsi="仿宋_GB2312" w:eastAsia="仿宋_GB2312" w:cs="仿宋_GB2312"/>
          <w:bCs/>
          <w:sz w:val="32"/>
          <w:szCs w:val="32"/>
        </w:rPr>
        <w:t>留时间较长，对全年PM</w:t>
      </w:r>
      <w:r>
        <w:rPr>
          <w:rFonts w:ascii="仿宋_GB2312" w:hAnsi="仿宋_GB2312" w:eastAsia="仿宋_GB2312" w:cs="仿宋_GB2312"/>
          <w:bCs/>
          <w:sz w:val="32"/>
          <w:szCs w:val="32"/>
          <w:vertAlign w:val="subscript"/>
        </w:rPr>
        <w:t>2.5</w:t>
      </w:r>
      <w:r>
        <w:rPr>
          <w:rFonts w:ascii="仿宋_GB2312" w:hAnsi="仿宋_GB2312" w:eastAsia="仿宋_GB2312" w:cs="仿宋_GB2312"/>
          <w:bCs/>
          <w:sz w:val="32"/>
          <w:szCs w:val="32"/>
        </w:rPr>
        <w:t>和重污染天</w:t>
      </w:r>
      <w:r>
        <w:rPr>
          <w:rFonts w:hint="eastAsia" w:ascii="仿宋_GB2312" w:hAnsi="仿宋_GB2312" w:eastAsia="仿宋_GB2312" w:cs="仿宋_GB2312"/>
          <w:bCs/>
          <w:sz w:val="32"/>
          <w:szCs w:val="32"/>
        </w:rPr>
        <w:t>数</w:t>
      </w:r>
      <w:r>
        <w:rPr>
          <w:rFonts w:ascii="仿宋_GB2312" w:hAnsi="仿宋_GB2312" w:eastAsia="仿宋_GB2312" w:cs="仿宋_GB2312"/>
          <w:bCs/>
          <w:sz w:val="32"/>
          <w:szCs w:val="32"/>
        </w:rPr>
        <w:t>任务指标完成</w:t>
      </w:r>
      <w:r>
        <w:rPr>
          <w:rFonts w:hint="eastAsia" w:ascii="仿宋_GB2312" w:hAnsi="仿宋_GB2312" w:eastAsia="仿宋_GB2312" w:cs="仿宋_GB2312"/>
          <w:bCs/>
          <w:sz w:val="32"/>
          <w:szCs w:val="32"/>
        </w:rPr>
        <w:t>形成制约</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年随着工业生产和社会服务稳步回暖，重点建设项目加快推进，污染物排放逐步恢复至正常水平，气象条件整体不利，同时又遭遇了多次外来沙尘影响，空气质量同比反弹，</w:t>
      </w:r>
      <w:r>
        <w:rPr>
          <w:rFonts w:ascii="仿宋_GB2312" w:hAnsi="仿宋_GB2312" w:eastAsia="仿宋_GB2312" w:cs="仿宋_GB2312"/>
          <w:bCs/>
          <w:sz w:val="32"/>
          <w:szCs w:val="32"/>
        </w:rPr>
        <w:t>2023年PM</w:t>
      </w:r>
      <w:r>
        <w:rPr>
          <w:rFonts w:ascii="仿宋_GB2312" w:hAnsi="仿宋_GB2312" w:eastAsia="仿宋_GB2312" w:cs="仿宋_GB2312"/>
          <w:bCs/>
          <w:sz w:val="32"/>
          <w:szCs w:val="32"/>
          <w:vertAlign w:val="subscript"/>
        </w:rPr>
        <w:t>2.5</w:t>
      </w:r>
      <w:r>
        <w:rPr>
          <w:rFonts w:hint="eastAsia" w:ascii="仿宋_GB2312" w:hAnsi="仿宋_GB2312" w:eastAsia="仿宋_GB2312" w:cs="仿宋_GB2312"/>
          <w:bCs/>
          <w:sz w:val="32"/>
          <w:szCs w:val="32"/>
        </w:rPr>
        <w:t>年均浓度为</w:t>
      </w:r>
      <w:r>
        <w:rPr>
          <w:rFonts w:ascii="仿宋_GB2312" w:hAnsi="仿宋_GB2312" w:eastAsia="仿宋_GB2312" w:cs="仿宋_GB2312"/>
          <w:bCs/>
          <w:sz w:val="32"/>
          <w:szCs w:val="32"/>
        </w:rPr>
        <w:t>32</w:t>
      </w:r>
      <w:r>
        <w:rPr>
          <w:rFonts w:hint="eastAsia" w:ascii="仿宋_GB2312" w:hAnsi="仿宋_GB2312" w:eastAsia="仿宋_GB2312" w:cs="仿宋_GB2312"/>
          <w:bCs/>
          <w:sz w:val="32"/>
          <w:szCs w:val="32"/>
        </w:rPr>
        <w:t>微克</w:t>
      </w:r>
      <w:r>
        <w:rPr>
          <w:rFonts w:ascii="仿宋_GB2312" w:hAnsi="仿宋_GB2312" w:eastAsia="仿宋_GB2312" w:cs="仿宋_GB2312"/>
          <w:bCs/>
          <w:sz w:val="32"/>
          <w:szCs w:val="32"/>
        </w:rPr>
        <w:t>/立方米，</w:t>
      </w:r>
      <w:r>
        <w:rPr>
          <w:rFonts w:hint="eastAsia" w:ascii="仿宋_GB2312" w:hAnsi="仿宋_GB2312" w:eastAsia="仿宋_GB2312" w:cs="仿宋_GB2312"/>
          <w:bCs/>
          <w:sz w:val="32"/>
          <w:szCs w:val="32"/>
        </w:rPr>
        <w:t>全市排名第</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ascii="仿宋_GB2312" w:hAnsi="仿宋_GB2312" w:eastAsia="仿宋_GB2312" w:cs="仿宋_GB2312"/>
          <w:b/>
          <w:sz w:val="32"/>
          <w:szCs w:val="32"/>
        </w:rPr>
        <w:t>水生态环境</w:t>
      </w:r>
      <w:r>
        <w:rPr>
          <w:rFonts w:hint="eastAsia" w:ascii="仿宋_GB2312" w:hAnsi="仿宋_GB2312" w:eastAsia="仿宋_GB2312" w:cs="仿宋_GB2312"/>
          <w:b/>
          <w:sz w:val="32"/>
          <w:szCs w:val="32"/>
        </w:rPr>
        <w:t>进一步</w:t>
      </w:r>
      <w:r>
        <w:rPr>
          <w:rFonts w:ascii="仿宋_GB2312" w:hAnsi="仿宋_GB2312" w:eastAsia="仿宋_GB2312" w:cs="仿宋_GB2312"/>
          <w:b/>
          <w:sz w:val="32"/>
          <w:szCs w:val="32"/>
        </w:rPr>
        <w:t>改善面临挑战</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顺义区</w:t>
      </w:r>
      <w:r>
        <w:rPr>
          <w:rFonts w:ascii="仿宋_GB2312" w:hAnsi="仿宋_GB2312" w:eastAsia="仿宋_GB2312" w:cs="仿宋_GB2312"/>
          <w:bCs/>
          <w:sz w:val="32"/>
          <w:szCs w:val="32"/>
        </w:rPr>
        <w:t>生态补水量与生态用水需求</w:t>
      </w:r>
      <w:r>
        <w:rPr>
          <w:rFonts w:hint="eastAsia" w:ascii="仿宋_GB2312" w:hAnsi="仿宋_GB2312" w:eastAsia="仿宋_GB2312" w:cs="仿宋_GB2312"/>
          <w:bCs/>
          <w:sz w:val="32"/>
          <w:szCs w:val="32"/>
        </w:rPr>
        <w:t>之间存在</w:t>
      </w:r>
      <w:r>
        <w:rPr>
          <w:rFonts w:ascii="仿宋_GB2312" w:hAnsi="仿宋_GB2312" w:eastAsia="仿宋_GB2312" w:cs="仿宋_GB2312"/>
          <w:bCs/>
          <w:sz w:val="32"/>
          <w:szCs w:val="32"/>
        </w:rPr>
        <w:t>一定差距，部分河道生态水量不足，河湖自净能力差</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多数河流的流速极缓，藻类大量增殖，水体通透性有待提高，溶解氧浓度较低，水生态系统脆弱，其服务功能和生态价值有待改善。地表水仍有部分断面不达标，超标水体主要表现为有机物、氨氮和总磷浓度高。</w:t>
      </w:r>
      <w:r>
        <w:rPr>
          <w:rFonts w:hint="eastAsia" w:ascii="仿宋_GB2312" w:hAnsi="仿宋_GB2312" w:eastAsia="仿宋_GB2312" w:cs="仿宋_GB2312"/>
          <w:bCs/>
          <w:sz w:val="32"/>
          <w:szCs w:val="32"/>
        </w:rPr>
        <w:t>受汛期影响，地表水断面水质不稳定</w:t>
      </w:r>
      <w:r>
        <w:rPr>
          <w:rFonts w:ascii="仿宋_GB2312" w:hAnsi="仿宋_GB2312" w:eastAsia="仿宋_GB2312" w:cs="仿宋_GB2312"/>
          <w:bCs/>
          <w:sz w:val="32"/>
          <w:szCs w:val="32"/>
        </w:rPr>
        <w:t>，雨季的河流污染物浓度已明显高于非雨季</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系统有效的城市面源污染治理体系尚未形成，存在雨污合流问题，同时农业农村污染源造成的非点源污染仍然缺乏有效的技术和管理手段，其污染物入河量控制难度较大</w:t>
      </w:r>
      <w:r>
        <w:rPr>
          <w:rFonts w:hint="eastAsia" w:ascii="仿宋_GB2312" w:hAnsi="仿宋_GB2312" w:eastAsia="仿宋_GB2312" w:cs="仿宋_GB2312"/>
          <w:bCs/>
          <w:sz w:val="32"/>
          <w:szCs w:val="32"/>
        </w:rPr>
        <w:t>。</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绿色低碳转型发展面临新挑战</w:t>
      </w:r>
      <w:r>
        <w:rPr>
          <w:rFonts w:hint="eastAsia" w:ascii="仿宋_GB2312" w:hAnsi="仿宋_GB2312" w:eastAsia="仿宋_GB2312" w:cs="仿宋_GB2312"/>
          <w:bCs/>
          <w:sz w:val="32"/>
          <w:szCs w:val="32"/>
        </w:rPr>
        <w:t>。“十四五”时期，顺义区加快构建“</w:t>
      </w:r>
      <w:r>
        <w:rPr>
          <w:rFonts w:ascii="仿宋_GB2312" w:hAnsi="仿宋_GB2312" w:eastAsia="仿宋_GB2312" w:cs="仿宋_GB2312"/>
          <w:bCs/>
          <w:sz w:val="32"/>
          <w:szCs w:val="32"/>
        </w:rPr>
        <w:t>3+4+1</w:t>
      </w:r>
      <w:r>
        <w:rPr>
          <w:rFonts w:hint="eastAsia" w:ascii="仿宋_GB2312" w:hAnsi="仿宋_GB2312" w:eastAsia="仿宋_GB2312" w:cs="仿宋_GB2312"/>
          <w:bCs/>
          <w:sz w:val="32"/>
          <w:szCs w:val="32"/>
        </w:rPr>
        <w:t>”高精尖产业新格局，推进</w:t>
      </w:r>
      <w:r>
        <w:rPr>
          <w:rFonts w:ascii="仿宋_GB2312" w:hAnsi="仿宋_GB2312" w:eastAsia="仿宋_GB2312" w:cs="仿宋_GB2312"/>
          <w:bCs/>
          <w:sz w:val="32"/>
          <w:szCs w:val="32"/>
        </w:rPr>
        <w:t>港城融合的国际航空中心核心区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创新引领的区域经济提升发展先行区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城乡协调的首都和谐宜居示范区</w:t>
      </w:r>
      <w:r>
        <w:rPr>
          <w:rFonts w:hint="eastAsia" w:ascii="仿宋_GB2312" w:hAnsi="仿宋_GB2312" w:eastAsia="仿宋_GB2312" w:cs="仿宋_GB2312"/>
          <w:bCs/>
          <w:sz w:val="32"/>
          <w:szCs w:val="32"/>
        </w:rPr>
        <w:t>建设，推动民生福祉显著提升，</w:t>
      </w:r>
      <w:r>
        <w:rPr>
          <w:rFonts w:ascii="仿宋_GB2312" w:hAnsi="仿宋_GB2312" w:eastAsia="仿宋_GB2312" w:cs="仿宋_GB2312"/>
          <w:bCs/>
          <w:sz w:val="32"/>
          <w:szCs w:val="32"/>
        </w:rPr>
        <w:t>能源</w:t>
      </w:r>
      <w:r>
        <w:rPr>
          <w:rFonts w:hint="eastAsia" w:ascii="仿宋_GB2312" w:hAnsi="仿宋_GB2312" w:eastAsia="仿宋_GB2312" w:cs="仿宋_GB2312"/>
          <w:bCs/>
          <w:sz w:val="32"/>
          <w:szCs w:val="32"/>
        </w:rPr>
        <w:t>资源</w:t>
      </w:r>
      <w:r>
        <w:rPr>
          <w:rFonts w:ascii="仿宋_GB2312" w:hAnsi="仿宋_GB2312" w:eastAsia="仿宋_GB2312" w:cs="仿宋_GB2312"/>
          <w:bCs/>
          <w:sz w:val="32"/>
          <w:szCs w:val="32"/>
        </w:rPr>
        <w:t>消费</w:t>
      </w:r>
      <w:r>
        <w:rPr>
          <w:rFonts w:hint="eastAsia" w:ascii="仿宋_GB2312" w:hAnsi="仿宋_GB2312" w:eastAsia="仿宋_GB2312" w:cs="仿宋_GB2312"/>
          <w:bCs/>
          <w:sz w:val="32"/>
          <w:szCs w:val="32"/>
        </w:rPr>
        <w:t>量</w:t>
      </w:r>
      <w:r>
        <w:rPr>
          <w:rFonts w:ascii="仿宋_GB2312" w:hAnsi="仿宋_GB2312" w:eastAsia="仿宋_GB2312" w:cs="仿宋_GB2312"/>
          <w:bCs/>
          <w:sz w:val="32"/>
          <w:szCs w:val="32"/>
        </w:rPr>
        <w:t>和碳排放量还将在</w:t>
      </w:r>
      <w:r>
        <w:rPr>
          <w:rFonts w:hint="eastAsia" w:ascii="仿宋_GB2312" w:hAnsi="仿宋_GB2312" w:eastAsia="仿宋_GB2312" w:cs="仿宋_GB2312"/>
          <w:bCs/>
          <w:sz w:val="32"/>
          <w:szCs w:val="32"/>
        </w:rPr>
        <w:t>未来</w:t>
      </w:r>
      <w:r>
        <w:rPr>
          <w:rFonts w:ascii="仿宋_GB2312" w:hAnsi="仿宋_GB2312" w:eastAsia="仿宋_GB2312" w:cs="仿宋_GB2312"/>
          <w:bCs/>
          <w:sz w:val="32"/>
          <w:szCs w:val="32"/>
        </w:rPr>
        <w:t>一段时间内保持增长态势。随着疫情后生产生活逐步恢复，能源消费</w:t>
      </w:r>
      <w:r>
        <w:rPr>
          <w:rFonts w:hint="eastAsia" w:ascii="仿宋_GB2312" w:hAnsi="仿宋_GB2312" w:eastAsia="仿宋_GB2312" w:cs="仿宋_GB2312"/>
          <w:bCs/>
          <w:sz w:val="32"/>
          <w:szCs w:val="32"/>
        </w:rPr>
        <w:t>、用水总量</w:t>
      </w:r>
      <w:r>
        <w:rPr>
          <w:rFonts w:ascii="仿宋_GB2312" w:hAnsi="仿宋_GB2312" w:eastAsia="仿宋_GB2312" w:cs="仿宋_GB2312"/>
          <w:bCs/>
          <w:sz w:val="32"/>
          <w:szCs w:val="32"/>
        </w:rPr>
        <w:t>和碳排放总量将出现恢复性反弹。</w:t>
      </w:r>
      <w:r>
        <w:rPr>
          <w:rFonts w:hint="eastAsia" w:ascii="仿宋_GB2312" w:hAnsi="仿宋_GB2312" w:eastAsia="仿宋_GB2312" w:cs="仿宋_GB2312"/>
          <w:bCs/>
          <w:sz w:val="32"/>
          <w:szCs w:val="32"/>
        </w:rPr>
        <w:t>为了</w:t>
      </w:r>
      <w:r>
        <w:rPr>
          <w:rFonts w:ascii="仿宋_GB2312" w:hAnsi="仿宋_GB2312" w:eastAsia="仿宋_GB2312" w:cs="仿宋_GB2312"/>
          <w:bCs/>
          <w:sz w:val="32"/>
          <w:szCs w:val="32"/>
        </w:rPr>
        <w:t>实现能源</w:t>
      </w:r>
      <w:r>
        <w:rPr>
          <w:rFonts w:hint="eastAsia" w:ascii="仿宋_GB2312" w:hAnsi="仿宋_GB2312" w:eastAsia="仿宋_GB2312" w:cs="仿宋_GB2312"/>
          <w:bCs/>
          <w:sz w:val="32"/>
          <w:szCs w:val="32"/>
        </w:rPr>
        <w:t>、水资源、</w:t>
      </w:r>
      <w:r>
        <w:rPr>
          <w:rFonts w:ascii="仿宋_GB2312" w:hAnsi="仿宋_GB2312" w:eastAsia="仿宋_GB2312" w:cs="仿宋_GB2312"/>
          <w:bCs/>
          <w:sz w:val="32"/>
          <w:szCs w:val="32"/>
        </w:rPr>
        <w:t>碳排放</w:t>
      </w:r>
      <w:r>
        <w:rPr>
          <w:rFonts w:hint="eastAsia" w:ascii="仿宋_GB2312" w:hAnsi="仿宋_GB2312" w:eastAsia="仿宋_GB2312" w:cs="仿宋_GB2312"/>
          <w:bCs/>
          <w:sz w:val="32"/>
          <w:szCs w:val="32"/>
        </w:rPr>
        <w:t>的</w:t>
      </w:r>
      <w:r>
        <w:rPr>
          <w:rFonts w:ascii="仿宋_GB2312" w:hAnsi="仿宋_GB2312" w:eastAsia="仿宋_GB2312" w:cs="仿宋_GB2312"/>
          <w:bCs/>
          <w:sz w:val="32"/>
          <w:szCs w:val="32"/>
        </w:rPr>
        <w:t>控制目标，需要克服新能源资源禀赋较差、</w:t>
      </w:r>
      <w:r>
        <w:rPr>
          <w:rFonts w:hint="eastAsia" w:ascii="仿宋_GB2312" w:hAnsi="仿宋_GB2312" w:eastAsia="仿宋_GB2312" w:cs="仿宋_GB2312"/>
          <w:bCs/>
          <w:sz w:val="32"/>
          <w:szCs w:val="32"/>
        </w:rPr>
        <w:t>区内水资源短缺、</w:t>
      </w:r>
      <w:r>
        <w:rPr>
          <w:rFonts w:ascii="仿宋_GB2312" w:hAnsi="仿宋_GB2312" w:eastAsia="仿宋_GB2312" w:cs="仿宋_GB2312"/>
          <w:bCs/>
          <w:sz w:val="32"/>
          <w:szCs w:val="32"/>
        </w:rPr>
        <w:t>技术成熟度不足、成本较高等诸多困难</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顺义区</w:t>
      </w:r>
      <w:r>
        <w:rPr>
          <w:rFonts w:hint="eastAsia" w:ascii="仿宋_GB2312" w:hAnsi="仿宋_GB2312" w:eastAsia="仿宋_GB2312" w:cs="仿宋_GB2312"/>
          <w:bCs/>
          <w:sz w:val="32"/>
          <w:szCs w:val="32"/>
        </w:rPr>
        <w:t>能源消费刚性需求比例依然较高，主要依赖化石能源，新能源与可再生能源比例较低，尚未形成绿色低碳的能源治理格局和有效减碳措施，同时顺义区万元地区生产总值能耗和万元地区生产总值碳排放的指标值均高于北京市平均值。经济社会发展对水资源的需求不断扩大，供水以地下水为主的供需矛盾日益突出。现阶段绿色低碳发展水平难以支撑碳达峰后稳中有降的刚性减量目标，绿色低碳转型发展的要求更高，需要</w:t>
      </w:r>
      <w:r>
        <w:rPr>
          <w:rFonts w:ascii="仿宋_GB2312" w:hAnsi="仿宋_GB2312" w:eastAsia="仿宋_GB2312" w:cs="仿宋_GB2312"/>
          <w:bCs/>
          <w:sz w:val="32"/>
          <w:szCs w:val="32"/>
        </w:rPr>
        <w:t>持续优化电力结构、供暖模式、出行方式、车辆结构，逐步</w:t>
      </w:r>
      <w:r>
        <w:rPr>
          <w:rFonts w:hint="eastAsia" w:ascii="仿宋_GB2312" w:hAnsi="仿宋_GB2312" w:eastAsia="仿宋_GB2312" w:cs="仿宋_GB2312"/>
          <w:bCs/>
          <w:sz w:val="32"/>
          <w:szCs w:val="32"/>
        </w:rPr>
        <w:t>提升可再生能源占比，大幅提升能源资源利用效率，谋划布局绿电供应体系，守住用水总量指标红线，加强节水型社会建设，持续开展创新技术研发应用。</w:t>
      </w:r>
      <w:bookmarkEnd w:id="91"/>
    </w:p>
    <w:p>
      <w:pPr>
        <w:adjustRightInd w:val="0"/>
        <w:snapToGrid w:val="0"/>
        <w:spacing w:line="560" w:lineRule="exact"/>
        <w:ind w:firstLine="640" w:firstLineChars="200"/>
        <w:contextualSpacing/>
        <w:rPr>
          <w:rFonts w:ascii="仿宋_GB2312" w:hAnsi="仿宋_GB2312" w:eastAsia="仿宋_GB2312" w:cs="仿宋_GB2312"/>
          <w:bCs/>
          <w:sz w:val="32"/>
          <w:szCs w:val="32"/>
        </w:rPr>
        <w:sectPr>
          <w:footerReference r:id="rId10" w:type="default"/>
          <w:pgSz w:w="11906" w:h="16838"/>
          <w:pgMar w:top="1440" w:right="1797" w:bottom="1440" w:left="1797" w:header="851" w:footer="283" w:gutter="0"/>
          <w:pgNumType w:start="1"/>
          <w:cols w:space="425" w:num="1"/>
          <w:docGrid w:linePitch="381" w:charSpace="0"/>
        </w:sectPr>
      </w:pPr>
    </w:p>
    <w:p>
      <w:pPr>
        <w:pStyle w:val="2"/>
        <w:spacing w:line="560" w:lineRule="exact"/>
        <w:rPr>
          <w:b w:val="0"/>
          <w:bCs w:val="0"/>
          <w:sz w:val="44"/>
          <w:szCs w:val="52"/>
        </w:rPr>
      </w:pPr>
      <w:bookmarkStart w:id="92" w:name="_Toc17995_WPSOffice_Level1"/>
      <w:bookmarkStart w:id="93" w:name="_Toc136794668"/>
      <w:r>
        <w:rPr>
          <w:b w:val="0"/>
          <w:bCs w:val="0"/>
          <w:sz w:val="44"/>
          <w:szCs w:val="52"/>
        </w:rPr>
        <w:t>第二章 规划总则</w:t>
      </w:r>
      <w:bookmarkEnd w:id="92"/>
      <w:bookmarkEnd w:id="93"/>
    </w:p>
    <w:p>
      <w:pPr>
        <w:pStyle w:val="3"/>
        <w:numPr>
          <w:ilvl w:val="0"/>
          <w:numId w:val="2"/>
        </w:numPr>
        <w:spacing w:line="560" w:lineRule="exact"/>
        <w:ind w:left="0" w:firstLine="640" w:firstLineChars="200"/>
        <w:jc w:val="left"/>
        <w:rPr>
          <w:rFonts w:ascii="黑体" w:hAnsi="黑体" w:eastAsia="黑体" w:cs="黑体"/>
          <w:b w:val="0"/>
          <w:bCs w:val="0"/>
        </w:rPr>
      </w:pPr>
      <w:bookmarkStart w:id="94" w:name="_Toc30335_WPSOffice_Level2"/>
      <w:bookmarkStart w:id="95" w:name="_Toc136794669"/>
      <w:r>
        <w:rPr>
          <w:rFonts w:hint="eastAsia" w:ascii="黑体" w:hAnsi="黑体" w:eastAsia="黑体" w:cs="黑体"/>
          <w:b w:val="0"/>
          <w:bCs w:val="0"/>
        </w:rPr>
        <w:t>指</w:t>
      </w:r>
      <w:r>
        <w:rPr>
          <w:rFonts w:ascii="黑体" w:hAnsi="黑体" w:eastAsia="黑体" w:cs="黑体"/>
          <w:b w:val="0"/>
          <w:bCs w:val="0"/>
        </w:rPr>
        <w:t>导思想</w:t>
      </w:r>
      <w:bookmarkEnd w:id="94"/>
      <w:bookmarkEnd w:id="95"/>
    </w:p>
    <w:p>
      <w:pPr>
        <w:adjustRightInd w:val="0"/>
        <w:snapToGrid w:val="0"/>
        <w:spacing w:line="560" w:lineRule="exact"/>
        <w:ind w:firstLine="640" w:firstLineChars="200"/>
        <w:contextualSpacing/>
        <w:rPr>
          <w:rFonts w:ascii="仿宋_GB2312" w:hAnsi="仿宋_GB2312" w:eastAsia="仿宋_GB2312" w:cs="仿宋_GB2312"/>
          <w:bCs/>
          <w:sz w:val="32"/>
          <w:szCs w:val="32"/>
        </w:rPr>
      </w:pPr>
      <w:bookmarkStart w:id="96" w:name="_Toc136794670"/>
      <w:r>
        <w:rPr>
          <w:rFonts w:hint="eastAsia" w:ascii="仿宋_GB2312" w:hAnsi="仿宋_GB2312" w:eastAsia="仿宋_GB2312" w:cs="仿宋_GB2312"/>
          <w:bCs/>
          <w:sz w:val="32"/>
          <w:szCs w:val="32"/>
        </w:rPr>
        <w:t>以习近平生态文明思想为指导，全面贯彻落实党的二十大精神，深入贯彻习近平总书记在全国生态环境保护大会上重要讲话精神和对北京一系列重要讲话精神，完整、准确、全面贯彻新发展理念，践行“绿水青山就是金山银山”理念，坚持高质量发展作为新时代的硬道理，以首都城市发展战略为引领，落实“平原新城看顺义”的目标要求，紧紧围绕首都社会主义现代化平原新城和“</w:t>
      </w:r>
      <w:r>
        <w:rPr>
          <w:rFonts w:ascii="仿宋_GB2312" w:hAnsi="仿宋_GB2312" w:eastAsia="仿宋_GB2312" w:cs="仿宋_GB2312"/>
          <w:bCs/>
          <w:sz w:val="32"/>
          <w:szCs w:val="32"/>
        </w:rPr>
        <w:t>港城融合的国际航空中心核心区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创新引领的区域经济提升发展先行区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城乡协调的首都和谐宜居示范区</w:t>
      </w:r>
      <w:r>
        <w:rPr>
          <w:rFonts w:hint="eastAsia" w:ascii="仿宋_GB2312" w:hAnsi="仿宋_GB2312" w:eastAsia="仿宋_GB2312" w:cs="仿宋_GB2312"/>
          <w:bCs/>
          <w:sz w:val="32"/>
          <w:szCs w:val="32"/>
        </w:rPr>
        <w:t>”的功能定位，大力实施绿色北京战略，牢牢把握“两区”建设机遇，以生态环境质量改善为核心，以创新绿色低碳为动力，统筹产业结构调整、污染治理、生态保护、应对气候变化，协同推进降碳、减污、扩绿、增长，构建生态环境现代化治理体系，以高水平生态环境保护推动经济社会高质量发展，全面推进顺义区新时期生态文明建设，力争创成生态文明建设示范区，助力顺义区建设成为人与自然和谐共生的首都社会主义现代化平原新城。</w:t>
      </w:r>
    </w:p>
    <w:p>
      <w:pPr>
        <w:pStyle w:val="3"/>
        <w:numPr>
          <w:ilvl w:val="0"/>
          <w:numId w:val="2"/>
        </w:numPr>
        <w:spacing w:line="560" w:lineRule="exact"/>
        <w:ind w:left="0" w:firstLine="640" w:firstLineChars="200"/>
        <w:jc w:val="left"/>
        <w:rPr>
          <w:rFonts w:ascii="黑体" w:hAnsi="黑体" w:eastAsia="黑体" w:cs="黑体"/>
          <w:b w:val="0"/>
          <w:bCs w:val="0"/>
        </w:rPr>
      </w:pPr>
      <w:bookmarkStart w:id="97" w:name="_Toc4953_WPSOffice_Level2"/>
      <w:r>
        <w:rPr>
          <w:rFonts w:hint="eastAsia" w:ascii="黑体" w:hAnsi="黑体" w:eastAsia="黑体" w:cs="黑体"/>
          <w:b w:val="0"/>
          <w:bCs w:val="0"/>
        </w:rPr>
        <w:t>规划思路</w:t>
      </w:r>
      <w:bookmarkEnd w:id="97"/>
    </w:p>
    <w:p>
      <w:pPr>
        <w:adjustRightInd w:val="0"/>
        <w:snapToGrid w:val="0"/>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以习近平生态文明思想为指引，深入贯彻全国、全市、全区生态环境保护大会精神和生态文明建设决策部署，牢固树立和践行“绿水青山就是金山银山”的理念，全面落实北京城市总规、顺义区分区规划，充分衔接顺义区国民经济和社会发展、生态环境保护、能源发展、园林绿化发展、水务发展、现代农业和村镇发展、城市管理发展、重大基础设施发展、科技创新发展等“十四五”规划以及深入打好污染防治攻坚战行动计划、生物多样性保护行动计划（</w:t>
      </w:r>
      <w:r>
        <w:rPr>
          <w:rFonts w:ascii="仿宋_GB2312" w:hAnsi="仿宋_GB2312" w:eastAsia="仿宋_GB2312" w:cs="仿宋_GB2312"/>
          <w:bCs/>
          <w:sz w:val="32"/>
          <w:szCs w:val="32"/>
        </w:rPr>
        <w:t>2023-2025年）工作任务清单、顺义区碳达峰碳中和行动方案等政策文件要求，把生态文明建设摆在全区工作的</w:t>
      </w:r>
      <w:r>
        <w:rPr>
          <w:rFonts w:hint="eastAsia" w:ascii="仿宋_GB2312" w:hAnsi="仿宋_GB2312" w:eastAsia="仿宋_GB2312" w:cs="仿宋_GB2312"/>
          <w:bCs/>
          <w:sz w:val="32"/>
          <w:szCs w:val="32"/>
        </w:rPr>
        <w:t>突出位置，守住顺义生态安全底线，积极稳妥推进碳达峰碳中和，促进高标准打好污染防治攻坚战，大力提升生态系统多样性、稳定性、持续性，加快推动经济社会发展绿色低碳转型，协同推进降碳、减污、扩绿、增长，以高品质生态环境支撑顺义高质量发展，建立健全美丽顺义建设保障体系，努力打造人与自然和谐共生的中国式现代化进程中平原新城发展样板，推动美丽顺义建设迈上新台阶。</w:t>
      </w:r>
    </w:p>
    <w:p>
      <w:pPr>
        <w:adjustRightInd w:val="0"/>
        <w:snapToGrid w:val="0"/>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牢牢把握推进中国式现代化和高质量发展的根本要求，紧紧围绕北京城市总体规划赋予顺义的“港城融合的国际航空中心核心区，创新引领的区域经济提升发展先行区，城乡协调的首都和谐宜居示范区”功能定位，加快落实“平原新城看顺义”和“三个走在前列”目标要求，按照《顺义区创建国家生态文明建设示范区工作方案》（顺生态文明委〔</w:t>
      </w:r>
      <w:r>
        <w:rPr>
          <w:rFonts w:ascii="仿宋_GB2312" w:hAnsi="仿宋_GB2312" w:eastAsia="仿宋_GB2312" w:cs="仿宋_GB2312"/>
          <w:bCs/>
          <w:sz w:val="32"/>
          <w:szCs w:val="32"/>
        </w:rPr>
        <w:t>2023〕9号）要求，以国家生态文明建设示范区创建为抓手，以生态文明建设为统领，强化与相关部门、单位协同合作，统筹做好生态文明建设示范区创建各项工作。在分析总结顺义区“十三五”以来生态文明建设和生态环境保护</w:t>
      </w:r>
      <w:r>
        <w:rPr>
          <w:rFonts w:hint="eastAsia" w:ascii="仿宋_GB2312" w:hAnsi="仿宋_GB2312" w:eastAsia="仿宋_GB2312" w:cs="仿宋_GB2312"/>
          <w:bCs/>
          <w:sz w:val="32"/>
          <w:szCs w:val="32"/>
        </w:rPr>
        <w:t>领域新情况和新特点的基础上，围绕目标责任、生态安全、生态经济、生态文化、生态文明制度、顺义特色等方面，结合生态文明建设短板分析，提出具有针对性、指导性、可操作性的生态文明建设重点任务和工程，稳步提升顺义区生态文明建设水平，持续发力打造首都平原新城生态文明建设样板，创新赋能促进绿色低碳发展，助力顺义区高质量发展，为率先基本建成首都社会主义现代化平原新城贡献力量。</w:t>
      </w:r>
    </w:p>
    <w:p>
      <w:pPr>
        <w:pStyle w:val="3"/>
        <w:numPr>
          <w:ilvl w:val="0"/>
          <w:numId w:val="2"/>
        </w:numPr>
        <w:spacing w:line="560" w:lineRule="exact"/>
        <w:ind w:left="0" w:firstLine="640" w:firstLineChars="200"/>
        <w:jc w:val="left"/>
        <w:rPr>
          <w:rFonts w:ascii="黑体" w:hAnsi="黑体" w:eastAsia="黑体" w:cs="黑体"/>
          <w:b w:val="0"/>
          <w:bCs w:val="0"/>
        </w:rPr>
      </w:pPr>
      <w:bookmarkStart w:id="98" w:name="_Toc8494_WPSOffice_Level2"/>
      <w:r>
        <w:rPr>
          <w:rFonts w:hint="eastAsia" w:ascii="黑体" w:hAnsi="黑体" w:eastAsia="黑体" w:cs="黑体"/>
          <w:b w:val="0"/>
          <w:bCs w:val="0"/>
        </w:rPr>
        <w:t>基本原则</w:t>
      </w:r>
      <w:bookmarkEnd w:id="96"/>
      <w:bookmarkEnd w:id="98"/>
    </w:p>
    <w:p>
      <w:pPr>
        <w:adjustRightInd w:val="0"/>
        <w:snapToGrid w:val="0"/>
        <w:spacing w:line="560" w:lineRule="exact"/>
        <w:ind w:firstLine="643" w:firstLineChars="200"/>
        <w:contextualSpacing/>
        <w:rPr>
          <w:rFonts w:ascii="仿宋_GB2312" w:hAnsi="仿宋_GB2312" w:eastAsia="仿宋_GB2312" w:cs="仿宋_GB2312"/>
          <w:sz w:val="32"/>
          <w:szCs w:val="32"/>
        </w:rPr>
      </w:pPr>
      <w:bookmarkStart w:id="99" w:name="_Toc136794671"/>
      <w:r>
        <w:rPr>
          <w:rFonts w:ascii="仿宋_GB2312" w:hAnsi="仿宋_GB2312" w:eastAsia="仿宋_GB2312" w:cs="仿宋_GB2312"/>
          <w:b/>
          <w:bCs/>
          <w:sz w:val="32"/>
          <w:szCs w:val="32"/>
        </w:rPr>
        <w:t>坚持</w:t>
      </w:r>
      <w:r>
        <w:rPr>
          <w:rFonts w:hint="eastAsia" w:ascii="仿宋_GB2312" w:hAnsi="仿宋_GB2312" w:eastAsia="仿宋_GB2312" w:cs="仿宋_GB2312"/>
          <w:b/>
          <w:bCs/>
          <w:sz w:val="32"/>
          <w:szCs w:val="32"/>
        </w:rPr>
        <w:t>生态优先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牢固树立和践行</w:t>
      </w:r>
      <w:r>
        <w:rPr>
          <w:rFonts w:hint="eastAsia" w:ascii="仿宋_GB2312" w:hAnsi="仿宋_GB2312" w:eastAsia="仿宋_GB2312" w:cs="仿宋_GB2312"/>
          <w:sz w:val="32"/>
          <w:szCs w:val="32"/>
        </w:rPr>
        <w:t>“人与自然和谐共生”</w:t>
      </w:r>
      <w:r>
        <w:rPr>
          <w:rFonts w:ascii="仿宋_GB2312" w:hAnsi="仿宋_GB2312" w:eastAsia="仿宋_GB2312" w:cs="仿宋_GB2312"/>
          <w:sz w:val="32"/>
          <w:szCs w:val="32"/>
        </w:rPr>
        <w:t>“绿水青山就是金山银</w:t>
      </w:r>
      <w:r>
        <w:rPr>
          <w:rFonts w:hint="eastAsia" w:ascii="仿宋_GB2312" w:hAnsi="仿宋_GB2312" w:eastAsia="仿宋_GB2312" w:cs="仿宋_GB2312"/>
          <w:sz w:val="32"/>
          <w:szCs w:val="32"/>
        </w:rPr>
        <w:t>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理念，</w:t>
      </w:r>
      <w:r>
        <w:rPr>
          <w:rFonts w:hint="eastAsia" w:ascii="仿宋_GB2312" w:hAnsi="仿宋_GB2312" w:eastAsia="仿宋_GB2312" w:cs="仿宋_GB2312"/>
          <w:sz w:val="32"/>
          <w:szCs w:val="32"/>
        </w:rPr>
        <w:t>把保护生态环境摆在全区更加突出的位置，</w:t>
      </w:r>
      <w:r>
        <w:rPr>
          <w:rFonts w:hint="eastAsia" w:ascii="仿宋_GB2312" w:hAnsi="仿宋_GB2312" w:eastAsia="仿宋_GB2312" w:cs="仿宋_GB2312"/>
          <w:bCs/>
          <w:sz w:val="32"/>
          <w:szCs w:val="32"/>
        </w:rPr>
        <w:t>严守生态保护红线，</w:t>
      </w:r>
      <w:r>
        <w:rPr>
          <w:rFonts w:hint="eastAsia" w:ascii="仿宋_GB2312" w:hAnsi="仿宋_GB2312" w:eastAsia="仿宋_GB2312" w:cs="仿宋_GB2312"/>
          <w:sz w:val="32"/>
          <w:szCs w:val="32"/>
        </w:rPr>
        <w:t>持续改善生态环境质量，不断提升生态系统多样性稳定性持续性，</w:t>
      </w:r>
      <w:r>
        <w:rPr>
          <w:rFonts w:hint="eastAsia" w:ascii="仿宋_GB2312" w:hAnsi="仿宋_GB2312" w:eastAsia="仿宋_GB2312" w:cs="仿宋_GB2312"/>
          <w:bCs/>
          <w:sz w:val="32"/>
          <w:szCs w:val="32"/>
        </w:rPr>
        <w:t>推动经济社会高质量发展、可持续发展。</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ascii="仿宋_GB2312" w:hAnsi="仿宋_GB2312" w:eastAsia="仿宋_GB2312" w:cs="仿宋_GB2312"/>
          <w:b/>
          <w:bCs/>
          <w:sz w:val="32"/>
          <w:szCs w:val="32"/>
        </w:rPr>
        <w:t>坚持绿色发展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深入贯彻新发展理念，</w:t>
      </w:r>
      <w:r>
        <w:rPr>
          <w:rFonts w:ascii="仿宋_GB2312" w:hAnsi="仿宋_GB2312" w:eastAsia="仿宋_GB2312" w:cs="仿宋_GB2312"/>
          <w:sz w:val="32"/>
          <w:szCs w:val="32"/>
        </w:rPr>
        <w:t>把新发展理念贯穿</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经济社会发展各领域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全过程，</w:t>
      </w:r>
      <w:r>
        <w:rPr>
          <w:rFonts w:hint="eastAsia" w:ascii="仿宋_GB2312" w:hAnsi="仿宋_GB2312" w:eastAsia="仿宋_GB2312" w:cs="仿宋_GB2312"/>
          <w:sz w:val="32"/>
          <w:szCs w:val="32"/>
        </w:rPr>
        <w:t>统筹推进经济高质量发展，</w:t>
      </w:r>
      <w:r>
        <w:rPr>
          <w:rFonts w:ascii="仿宋_GB2312" w:hAnsi="仿宋_GB2312" w:eastAsia="仿宋_GB2312" w:cs="仿宋_GB2312"/>
          <w:sz w:val="32"/>
          <w:szCs w:val="32"/>
        </w:rPr>
        <w:t>以推动绿色发展、促进人与自然和谐共生为总体发展方向，推进重点行业</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领域绿色</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低碳</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发展，积极践行绿色生产生活方式，促进经济社会发展全面绿色转型。</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ascii="仿宋_GB2312" w:hAnsi="仿宋_GB2312" w:eastAsia="仿宋_GB2312" w:cs="仿宋_GB2312"/>
          <w:b/>
          <w:bCs/>
          <w:sz w:val="32"/>
          <w:szCs w:val="32"/>
        </w:rPr>
        <w:t>坚持以人为</w:t>
      </w:r>
      <w:r>
        <w:rPr>
          <w:rFonts w:hint="eastAsia" w:ascii="仿宋_GB2312" w:hAnsi="仿宋_GB2312" w:eastAsia="仿宋_GB2312" w:cs="仿宋_GB2312"/>
          <w:b/>
          <w:bCs/>
          <w:sz w:val="32"/>
          <w:szCs w:val="32"/>
        </w:rPr>
        <w:t>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深入贯彻</w:t>
      </w:r>
      <w:r>
        <w:rPr>
          <w:rFonts w:ascii="仿宋_GB2312" w:hAnsi="仿宋_GB2312" w:eastAsia="仿宋_GB2312" w:cs="仿宋_GB2312"/>
          <w:sz w:val="32"/>
          <w:szCs w:val="32"/>
        </w:rPr>
        <w:t>以人民为中心的发展</w:t>
      </w:r>
      <w:r>
        <w:rPr>
          <w:rFonts w:hint="eastAsia" w:ascii="仿宋_GB2312" w:hAnsi="仿宋_GB2312" w:eastAsia="仿宋_GB2312" w:cs="仿宋_GB2312"/>
          <w:sz w:val="32"/>
          <w:szCs w:val="32"/>
        </w:rPr>
        <w:t>理念</w:t>
      </w:r>
      <w:r>
        <w:rPr>
          <w:rFonts w:ascii="仿宋_GB2312" w:hAnsi="仿宋_GB2312" w:eastAsia="仿宋_GB2312" w:cs="仿宋_GB2312"/>
          <w:sz w:val="32"/>
          <w:szCs w:val="32"/>
        </w:rPr>
        <w:t>，以改善老百姓关注的</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环境质量问题作为根本出发点，</w:t>
      </w:r>
      <w:r>
        <w:rPr>
          <w:rFonts w:hint="eastAsia" w:ascii="仿宋_GB2312" w:hAnsi="仿宋_GB2312" w:eastAsia="仿宋_GB2312" w:cs="仿宋_GB2312"/>
          <w:sz w:val="32"/>
          <w:szCs w:val="32"/>
        </w:rPr>
        <w:t>以满足人民日益增长的优美生态环境需求为根本目的，着力</w:t>
      </w:r>
      <w:r>
        <w:rPr>
          <w:rFonts w:ascii="仿宋_GB2312" w:hAnsi="仿宋_GB2312" w:eastAsia="仿宋_GB2312" w:cs="仿宋_GB2312"/>
          <w:sz w:val="32"/>
          <w:szCs w:val="32"/>
        </w:rPr>
        <w:t>解决</w:t>
      </w:r>
      <w:r>
        <w:rPr>
          <w:rFonts w:hint="eastAsia" w:ascii="仿宋_GB2312" w:hAnsi="仿宋_GB2312" w:eastAsia="仿宋_GB2312" w:cs="仿宋_GB2312"/>
          <w:sz w:val="32"/>
          <w:szCs w:val="32"/>
        </w:rPr>
        <w:t>影响人民</w:t>
      </w:r>
      <w:r>
        <w:rPr>
          <w:rFonts w:ascii="仿宋_GB2312" w:hAnsi="仿宋_GB2312" w:eastAsia="仿宋_GB2312" w:cs="仿宋_GB2312"/>
          <w:sz w:val="32"/>
          <w:szCs w:val="32"/>
        </w:rPr>
        <w:t>群众健康的突出</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环境问题，努力提供更多优质生态产品，不断增强人民群众获得感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幸福感</w:t>
      </w:r>
      <w:r>
        <w:rPr>
          <w:rFonts w:hint="eastAsia" w:ascii="仿宋_GB2312" w:hAnsi="仿宋_GB2312" w:eastAsia="仿宋_GB2312" w:cs="仿宋_GB2312"/>
          <w:sz w:val="32"/>
          <w:szCs w:val="32"/>
        </w:rPr>
        <w:t>、安全感</w:t>
      </w:r>
      <w:r>
        <w:rPr>
          <w:rFonts w:ascii="仿宋_GB2312" w:hAnsi="仿宋_GB2312" w:eastAsia="仿宋_GB2312" w:cs="仿宋_GB2312"/>
          <w:sz w:val="32"/>
          <w:szCs w:val="32"/>
        </w:rPr>
        <w:t>。</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ascii="仿宋_GB2312" w:hAnsi="仿宋_GB2312" w:eastAsia="仿宋_GB2312" w:cs="仿宋_GB2312"/>
          <w:b/>
          <w:bCs/>
          <w:sz w:val="32"/>
          <w:szCs w:val="32"/>
        </w:rPr>
        <w:t>坚持</w:t>
      </w:r>
      <w:r>
        <w:rPr>
          <w:rFonts w:hint="eastAsia" w:ascii="仿宋_GB2312" w:hAnsi="仿宋_GB2312" w:eastAsia="仿宋_GB2312" w:cs="仿宋_GB2312"/>
          <w:b/>
          <w:bCs/>
          <w:sz w:val="32"/>
          <w:szCs w:val="32"/>
        </w:rPr>
        <w:t>创新赋能。</w:t>
      </w:r>
      <w:r>
        <w:rPr>
          <w:rFonts w:hint="eastAsia" w:ascii="仿宋_GB2312" w:hAnsi="仿宋_GB2312" w:eastAsia="仿宋_GB2312" w:cs="仿宋_GB2312"/>
          <w:sz w:val="32"/>
          <w:szCs w:val="32"/>
        </w:rPr>
        <w:t>深入推进创新驱动发展战略，坚持把创新赋能作为顺义区高质量发展的第一动力，以科技创新、制度创新破解</w:t>
      </w:r>
      <w:r>
        <w:rPr>
          <w:rFonts w:ascii="仿宋_GB2312" w:hAnsi="仿宋_GB2312" w:eastAsia="仿宋_GB2312" w:cs="仿宋_GB2312"/>
          <w:sz w:val="32"/>
          <w:szCs w:val="32"/>
        </w:rPr>
        <w:t>生态文明建设</w:t>
      </w:r>
      <w:r>
        <w:rPr>
          <w:rFonts w:hint="eastAsia" w:ascii="仿宋_GB2312" w:hAnsi="仿宋_GB2312" w:eastAsia="仿宋_GB2312" w:cs="仿宋_GB2312"/>
          <w:sz w:val="32"/>
          <w:szCs w:val="32"/>
        </w:rPr>
        <w:t>难题，</w:t>
      </w:r>
      <w:r>
        <w:rPr>
          <w:rFonts w:hint="eastAsia" w:ascii="仿宋_GB2312" w:hAnsi="仿宋_GB2312" w:eastAsia="仿宋_GB2312" w:cs="仿宋_GB2312"/>
          <w:bCs/>
          <w:sz w:val="32"/>
          <w:szCs w:val="32"/>
        </w:rPr>
        <w:t>通过创新推动产业转型升级、助力新兴产业发展，全面提升综合竞争力，培育壮大发展新动能。</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坚持突出特色</w:t>
      </w:r>
      <w:r>
        <w:rPr>
          <w:rFonts w:hint="eastAsia" w:ascii="仿宋_GB2312" w:hAnsi="仿宋_GB2312" w:eastAsia="仿宋_GB2312" w:cs="仿宋_GB2312"/>
          <w:sz w:val="32"/>
          <w:szCs w:val="32"/>
        </w:rPr>
        <w:t>。立足</w:t>
      </w:r>
      <w:r>
        <w:rPr>
          <w:rFonts w:hint="eastAsia" w:ascii="仿宋_GB2312" w:hAnsi="仿宋_GB2312" w:eastAsia="仿宋_GB2312" w:cs="仿宋_GB2312"/>
          <w:bCs/>
          <w:sz w:val="32"/>
          <w:szCs w:val="32"/>
        </w:rPr>
        <w:t>顺义区经济社会发展和生态环境保护实际，</w:t>
      </w:r>
      <w:r>
        <w:rPr>
          <w:rFonts w:ascii="仿宋_GB2312" w:hAnsi="仿宋_GB2312" w:eastAsia="仿宋_GB2312" w:cs="仿宋_GB2312"/>
          <w:bCs/>
          <w:sz w:val="32"/>
          <w:szCs w:val="32"/>
        </w:rPr>
        <w:t>以创</w:t>
      </w:r>
      <w:r>
        <w:rPr>
          <w:rFonts w:hint="eastAsia" w:ascii="仿宋_GB2312" w:hAnsi="仿宋_GB2312" w:eastAsia="仿宋_GB2312" w:cs="仿宋_GB2312"/>
          <w:bCs/>
          <w:sz w:val="32"/>
          <w:szCs w:val="32"/>
        </w:rPr>
        <w:t>建</w:t>
      </w:r>
      <w:r>
        <w:rPr>
          <w:rFonts w:ascii="仿宋_GB2312" w:hAnsi="仿宋_GB2312" w:eastAsia="仿宋_GB2312" w:cs="仿宋_GB2312"/>
          <w:bCs/>
          <w:sz w:val="32"/>
          <w:szCs w:val="32"/>
        </w:rPr>
        <w:t>生态文明建设示范区为</w:t>
      </w:r>
      <w:r>
        <w:rPr>
          <w:rFonts w:hint="eastAsia" w:ascii="仿宋_GB2312" w:hAnsi="仿宋_GB2312" w:eastAsia="仿宋_GB2312" w:cs="仿宋_GB2312"/>
          <w:bCs/>
          <w:sz w:val="32"/>
          <w:szCs w:val="32"/>
        </w:rPr>
        <w:t>抓手</w:t>
      </w:r>
      <w:r>
        <w:rPr>
          <w:rFonts w:ascii="仿宋_GB2312" w:hAnsi="仿宋_GB2312" w:eastAsia="仿宋_GB2312" w:cs="仿宋_GB2312"/>
          <w:bCs/>
          <w:sz w:val="32"/>
          <w:szCs w:val="32"/>
        </w:rPr>
        <w:t>，以</w:t>
      </w:r>
      <w:r>
        <w:rPr>
          <w:rFonts w:hint="eastAsia" w:ascii="仿宋_GB2312" w:hAnsi="仿宋_GB2312" w:eastAsia="仿宋_GB2312" w:cs="仿宋_GB2312"/>
          <w:bCs/>
          <w:sz w:val="32"/>
          <w:szCs w:val="32"/>
        </w:rPr>
        <w:t>港城融合国门引领</w:t>
      </w:r>
      <w:r>
        <w:rPr>
          <w:rFonts w:ascii="仿宋_GB2312" w:hAnsi="仿宋_GB2312" w:eastAsia="仿宋_GB2312" w:cs="仿宋_GB2312"/>
          <w:bCs/>
          <w:sz w:val="32"/>
          <w:szCs w:val="32"/>
        </w:rPr>
        <w:t>、高端产业</w:t>
      </w:r>
      <w:r>
        <w:rPr>
          <w:rFonts w:hint="eastAsia" w:ascii="仿宋_GB2312" w:hAnsi="仿宋_GB2312" w:eastAsia="仿宋_GB2312" w:cs="仿宋_GB2312"/>
          <w:bCs/>
          <w:sz w:val="32"/>
          <w:szCs w:val="32"/>
        </w:rPr>
        <w:t>创新引领、生态</w:t>
      </w:r>
      <w:r>
        <w:rPr>
          <w:rFonts w:ascii="仿宋_GB2312" w:hAnsi="仿宋_GB2312" w:eastAsia="仿宋_GB2312" w:cs="仿宋_GB2312"/>
          <w:bCs/>
          <w:sz w:val="32"/>
          <w:szCs w:val="32"/>
        </w:rPr>
        <w:t>和谐宜居</w:t>
      </w:r>
      <w:r>
        <w:rPr>
          <w:rFonts w:hint="eastAsia" w:ascii="仿宋_GB2312" w:hAnsi="仿宋_GB2312" w:eastAsia="仿宋_GB2312" w:cs="仿宋_GB2312"/>
          <w:bCs/>
          <w:sz w:val="32"/>
          <w:szCs w:val="32"/>
        </w:rPr>
        <w:t>示范</w:t>
      </w:r>
      <w:r>
        <w:rPr>
          <w:rFonts w:ascii="仿宋_GB2312" w:hAnsi="仿宋_GB2312" w:eastAsia="仿宋_GB2312" w:cs="仿宋_GB2312"/>
          <w:bCs/>
          <w:sz w:val="32"/>
          <w:szCs w:val="32"/>
        </w:rPr>
        <w:t>为特色，</w:t>
      </w:r>
      <w:r>
        <w:rPr>
          <w:rFonts w:hint="eastAsia" w:ascii="仿宋_GB2312" w:hAnsi="仿宋_GB2312" w:eastAsia="仿宋_GB2312" w:cs="仿宋_GB2312"/>
          <w:bCs/>
          <w:sz w:val="32"/>
          <w:szCs w:val="32"/>
        </w:rPr>
        <w:t>谋划顺义区生态文明建</w:t>
      </w:r>
      <w:r>
        <w:rPr>
          <w:rFonts w:hint="eastAsia" w:ascii="仿宋_GB2312" w:hAnsi="仿宋_GB2312" w:eastAsia="仿宋_GB2312" w:cs="仿宋_GB2312"/>
          <w:sz w:val="32"/>
          <w:szCs w:val="32"/>
        </w:rPr>
        <w:t>设的目标指标、重点任务和保障措施，推动</w:t>
      </w:r>
      <w:r>
        <w:rPr>
          <w:rFonts w:ascii="仿宋_GB2312" w:hAnsi="仿宋_GB2312" w:eastAsia="仿宋_GB2312" w:cs="仿宋_GB2312"/>
          <w:sz w:val="32"/>
          <w:szCs w:val="32"/>
        </w:rPr>
        <w:t>全区生态文明建设水平的全面提升</w:t>
      </w:r>
      <w:r>
        <w:rPr>
          <w:rFonts w:hint="eastAsia" w:ascii="仿宋_GB2312" w:hAnsi="仿宋_GB2312" w:eastAsia="仿宋_GB2312" w:cs="仿宋_GB2312"/>
          <w:sz w:val="32"/>
          <w:szCs w:val="32"/>
        </w:rPr>
        <w:t>。</w:t>
      </w:r>
    </w:p>
    <w:p>
      <w:pPr>
        <w:adjustRightInd w:val="0"/>
        <w:snapToGrid w:val="0"/>
        <w:spacing w:line="560" w:lineRule="exact"/>
        <w:ind w:firstLine="643" w:firstLineChars="200"/>
        <w:contextualSpacing/>
        <w:rPr>
          <w:rFonts w:ascii="仿宋" w:hAnsi="仿宋" w:eastAsia="仿宋"/>
          <w:sz w:val="30"/>
          <w:szCs w:val="30"/>
        </w:rPr>
      </w:pPr>
      <w:r>
        <w:rPr>
          <w:rFonts w:ascii="仿宋_GB2312" w:hAnsi="仿宋_GB2312" w:eastAsia="仿宋_GB2312" w:cs="仿宋_GB2312"/>
          <w:b/>
          <w:bCs/>
          <w:sz w:val="32"/>
          <w:szCs w:val="32"/>
        </w:rPr>
        <w:t>坚持</w:t>
      </w:r>
      <w:r>
        <w:rPr>
          <w:rFonts w:hint="eastAsia" w:ascii="仿宋_GB2312" w:hAnsi="仿宋_GB2312" w:eastAsia="仿宋_GB2312" w:cs="仿宋_GB2312"/>
          <w:b/>
          <w:bCs/>
          <w:sz w:val="32"/>
          <w:szCs w:val="32"/>
        </w:rPr>
        <w:t>全民参与</w:t>
      </w:r>
      <w:r>
        <w:rPr>
          <w:rFonts w:hint="eastAsia" w:ascii="仿宋_GB2312" w:hAnsi="仿宋_GB2312" w:eastAsia="仿宋_GB2312" w:cs="仿宋_GB2312"/>
          <w:sz w:val="32"/>
          <w:szCs w:val="32"/>
        </w:rPr>
        <w:t>。深入贯彻共享发展理念，探索“党委政府主导、部门齐抓共管、企业协同推进、社会</w:t>
      </w:r>
      <w:r>
        <w:rPr>
          <w:rFonts w:hint="eastAsia" w:ascii="仿宋_GB2312" w:hAnsi="仿宋_GB2312" w:eastAsia="仿宋_GB2312" w:cs="仿宋_GB2312"/>
          <w:bCs/>
          <w:sz w:val="32"/>
          <w:szCs w:val="32"/>
        </w:rPr>
        <w:t>广泛</w:t>
      </w:r>
      <w:r>
        <w:rPr>
          <w:rFonts w:hint="eastAsia" w:ascii="仿宋_GB2312" w:hAnsi="仿宋_GB2312" w:eastAsia="仿宋_GB2312" w:cs="仿宋_GB2312"/>
          <w:sz w:val="32"/>
          <w:szCs w:val="32"/>
        </w:rPr>
        <w:t>参与”的工作机制，全民参与凝聚合力，</w:t>
      </w:r>
      <w:r>
        <w:rPr>
          <w:rFonts w:hint="eastAsia" w:ascii="仿宋_GB2312" w:hAnsi="仿宋_GB2312" w:eastAsia="仿宋_GB2312" w:cs="仿宋_GB2312"/>
          <w:bCs/>
          <w:sz w:val="32"/>
          <w:szCs w:val="32"/>
        </w:rPr>
        <w:t>让全区人民群众共享生态文明建设成果</w:t>
      </w:r>
      <w:r>
        <w:rPr>
          <w:rFonts w:hint="eastAsia" w:ascii="仿宋_GB2312" w:hAnsi="仿宋_GB2312" w:eastAsia="仿宋_GB2312" w:cs="仿宋_GB2312"/>
          <w:sz w:val="32"/>
          <w:szCs w:val="32"/>
        </w:rPr>
        <w:t>，推动形成生态文明全民共建共享的良好格局。</w:t>
      </w:r>
    </w:p>
    <w:p>
      <w:pPr>
        <w:pStyle w:val="3"/>
        <w:numPr>
          <w:ilvl w:val="0"/>
          <w:numId w:val="2"/>
        </w:numPr>
        <w:spacing w:line="560" w:lineRule="exact"/>
        <w:ind w:left="0" w:firstLine="640" w:firstLineChars="200"/>
        <w:jc w:val="left"/>
        <w:rPr>
          <w:rFonts w:ascii="黑体" w:hAnsi="黑体" w:eastAsia="黑体" w:cs="黑体"/>
          <w:b w:val="0"/>
          <w:bCs w:val="0"/>
        </w:rPr>
      </w:pPr>
      <w:bookmarkStart w:id="100" w:name="_Toc29174_WPSOffice_Level2"/>
      <w:r>
        <w:rPr>
          <w:rFonts w:hint="eastAsia" w:ascii="黑体" w:hAnsi="黑体" w:eastAsia="黑体" w:cs="黑体"/>
          <w:b w:val="0"/>
          <w:bCs w:val="0"/>
        </w:rPr>
        <w:t>规划范围</w:t>
      </w:r>
      <w:bookmarkEnd w:id="99"/>
      <w:bookmarkEnd w:id="100"/>
    </w:p>
    <w:p>
      <w:pPr>
        <w:adjustRightInd w:val="0"/>
        <w:snapToGrid w:val="0"/>
        <w:spacing w:line="560" w:lineRule="exact"/>
        <w:ind w:firstLine="640" w:firstLineChars="200"/>
        <w:contextualSpacing/>
        <w:rPr>
          <w:rFonts w:ascii="仿宋" w:hAnsi="仿宋" w:eastAsia="仿宋"/>
          <w:sz w:val="30"/>
          <w:szCs w:val="30"/>
        </w:rPr>
      </w:pPr>
      <w:bookmarkStart w:id="101" w:name="_Toc136794672"/>
      <w:r>
        <w:rPr>
          <w:rFonts w:hint="eastAsia" w:ascii="仿宋_GB2312" w:hAnsi="仿宋_GB2312" w:eastAsia="仿宋_GB2312" w:cs="仿宋_GB2312"/>
          <w:sz w:val="32"/>
          <w:szCs w:val="32"/>
        </w:rPr>
        <w:t>本次规划的范围为顺义区行政辖区范围，</w:t>
      </w:r>
      <w:r>
        <w:rPr>
          <w:rFonts w:ascii="仿宋_GB2312" w:hAnsi="仿宋_GB2312" w:eastAsia="仿宋_GB2312" w:cs="仿宋_GB2312"/>
          <w:sz w:val="32"/>
          <w:szCs w:val="32"/>
        </w:rPr>
        <w:t>总面积1021平方公里</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19个建制镇和6个街道办事处。</w:t>
      </w:r>
    </w:p>
    <w:p>
      <w:pPr>
        <w:pStyle w:val="3"/>
        <w:numPr>
          <w:ilvl w:val="0"/>
          <w:numId w:val="2"/>
        </w:numPr>
        <w:spacing w:line="560" w:lineRule="exact"/>
        <w:ind w:left="0" w:firstLine="640" w:firstLineChars="200"/>
        <w:jc w:val="left"/>
        <w:rPr>
          <w:rFonts w:ascii="黑体" w:hAnsi="黑体" w:eastAsia="黑体" w:cs="黑体"/>
          <w:b w:val="0"/>
          <w:bCs w:val="0"/>
        </w:rPr>
      </w:pPr>
      <w:bookmarkStart w:id="102" w:name="_Toc23160_WPSOffice_Level2"/>
      <w:r>
        <w:rPr>
          <w:rFonts w:hint="eastAsia" w:ascii="黑体" w:hAnsi="黑体" w:eastAsia="黑体" w:cs="黑体"/>
          <w:b w:val="0"/>
          <w:bCs w:val="0"/>
        </w:rPr>
        <w:t>规划期限</w:t>
      </w:r>
      <w:bookmarkEnd w:id="101"/>
      <w:bookmarkEnd w:id="102"/>
    </w:p>
    <w:p>
      <w:pPr>
        <w:adjustRightInd w:val="0"/>
        <w:snapToGrid w:val="0"/>
        <w:spacing w:line="560" w:lineRule="exact"/>
        <w:ind w:firstLine="640" w:firstLineChars="200"/>
        <w:contextualSpacing/>
        <w:rPr>
          <w:rFonts w:ascii="仿宋" w:hAnsi="仿宋" w:eastAsia="仿宋"/>
          <w:sz w:val="30"/>
          <w:szCs w:val="30"/>
        </w:rPr>
      </w:pPr>
      <w:bookmarkStart w:id="103" w:name="_Toc136794673"/>
      <w:r>
        <w:rPr>
          <w:rFonts w:hint="eastAsia" w:ascii="仿宋_GB2312" w:hAnsi="仿宋_GB2312" w:eastAsia="仿宋_GB2312" w:cs="仿宋_GB2312"/>
          <w:sz w:val="32"/>
          <w:szCs w:val="32"/>
        </w:rPr>
        <w:t>本次规划以</w:t>
      </w:r>
      <w:r>
        <w:rPr>
          <w:rFonts w:ascii="仿宋_GB2312" w:hAnsi="仿宋_GB2312" w:eastAsia="仿宋_GB2312" w:cs="仿宋_GB2312"/>
          <w:sz w:val="32"/>
          <w:szCs w:val="32"/>
        </w:rPr>
        <w:t>2022年为基准年，</w:t>
      </w:r>
      <w:r>
        <w:rPr>
          <w:rFonts w:hint="eastAsia" w:ascii="仿宋_GB2312" w:hAnsi="仿宋_GB2312" w:eastAsia="仿宋_GB2312" w:cs="仿宋_GB2312"/>
          <w:sz w:val="32"/>
          <w:szCs w:val="32"/>
        </w:rPr>
        <w:t>规划期限为</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年至</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年，分为近期和远期，</w:t>
      </w:r>
      <w:r>
        <w:rPr>
          <w:rFonts w:ascii="仿宋_GB2312" w:hAnsi="仿宋_GB2312" w:eastAsia="仿宋_GB2312" w:cs="仿宋_GB2312"/>
          <w:sz w:val="32"/>
          <w:szCs w:val="32"/>
        </w:rPr>
        <w:t>近期到2025年，远期到2035年。</w:t>
      </w:r>
    </w:p>
    <w:p>
      <w:pPr>
        <w:pStyle w:val="3"/>
        <w:numPr>
          <w:ilvl w:val="0"/>
          <w:numId w:val="2"/>
        </w:numPr>
        <w:spacing w:line="560" w:lineRule="exact"/>
        <w:ind w:left="0" w:firstLine="640" w:firstLineChars="200"/>
        <w:jc w:val="left"/>
        <w:rPr>
          <w:rFonts w:ascii="黑体" w:hAnsi="黑体" w:eastAsia="黑体" w:cs="黑体"/>
          <w:b w:val="0"/>
          <w:bCs w:val="0"/>
        </w:rPr>
      </w:pPr>
      <w:bookmarkStart w:id="104" w:name="_Toc29518_WPSOffice_Level2"/>
      <w:r>
        <w:rPr>
          <w:rFonts w:hint="eastAsia" w:ascii="黑体" w:hAnsi="黑体" w:eastAsia="黑体" w:cs="黑体"/>
          <w:b w:val="0"/>
          <w:bCs w:val="0"/>
        </w:rPr>
        <w:t>规划目标</w:t>
      </w:r>
      <w:bookmarkEnd w:id="103"/>
      <w:bookmarkEnd w:id="104"/>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sz w:val="32"/>
          <w:szCs w:val="32"/>
        </w:rPr>
        <w:t>：新时期，顺义区生态文明建设取得重大进展，树立生态环境高站位目标责任标杆，建成全方位优质生态环境特色风貌区、创新引领新质生产力发展先行区、高水平生态文化融合发展样板区、生态文明制度体系现代化引领区，建设成为“生态环境优美、产业绿色高端、生态惠民宜居、生态文化悦民”的平原新城生态文明建设示范样板，实现人与自然和谐共生现代化。</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近期目标（</w:t>
      </w:r>
      <w:r>
        <w:rPr>
          <w:rFonts w:ascii="仿宋_GB2312" w:hAnsi="仿宋_GB2312" w:eastAsia="仿宋_GB2312" w:cs="仿宋_GB2312"/>
          <w:b/>
          <w:bCs/>
          <w:sz w:val="32"/>
          <w:szCs w:val="32"/>
        </w:rPr>
        <w:t>2023—2025年）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生态文明建设水平稳步提升，目标责任持续深入贯彻落实，</w:t>
      </w:r>
      <w:r>
        <w:rPr>
          <w:rFonts w:ascii="仿宋_GB2312" w:hAnsi="仿宋_GB2312" w:eastAsia="仿宋_GB2312" w:cs="仿宋_GB2312"/>
          <w:sz w:val="32"/>
          <w:szCs w:val="32"/>
        </w:rPr>
        <w:t>生态文明制度改革创新取得</w:t>
      </w:r>
      <w:r>
        <w:rPr>
          <w:rFonts w:hint="eastAsia" w:ascii="仿宋_GB2312" w:hAnsi="仿宋_GB2312" w:eastAsia="仿宋_GB2312" w:cs="仿宋_GB2312"/>
          <w:sz w:val="32"/>
          <w:szCs w:val="32"/>
        </w:rPr>
        <w:t>明显</w:t>
      </w:r>
      <w:r>
        <w:rPr>
          <w:rFonts w:ascii="仿宋_GB2312" w:hAnsi="仿宋_GB2312" w:eastAsia="仿宋_GB2312" w:cs="仿宋_GB2312"/>
          <w:sz w:val="32"/>
          <w:szCs w:val="32"/>
        </w:rPr>
        <w:t>进展</w:t>
      </w:r>
      <w:r>
        <w:rPr>
          <w:rFonts w:hint="eastAsia" w:ascii="仿宋_GB2312" w:hAnsi="仿宋_GB2312" w:eastAsia="仿宋_GB2312" w:cs="仿宋_GB2312"/>
          <w:sz w:val="32"/>
          <w:szCs w:val="32"/>
        </w:rPr>
        <w:t>，生态环境分区管控制度基本建立，全域覆盖、精准科学的生态环境分区管控体系初步形成，生态环境质量持续改善，高品质生态环境支撑高质量发展成效突出，新质生产力发展取得新进展，以“</w:t>
      </w:r>
      <w:r>
        <w:rPr>
          <w:rFonts w:ascii="仿宋_GB2312" w:hAnsi="仿宋_GB2312" w:eastAsia="仿宋_GB2312" w:cs="仿宋_GB2312"/>
          <w:sz w:val="32"/>
          <w:szCs w:val="32"/>
        </w:rPr>
        <w:t>3+4+1”</w:t>
      </w:r>
      <w:r>
        <w:rPr>
          <w:rFonts w:hint="eastAsia" w:ascii="仿宋_GB2312" w:hAnsi="仿宋_GB2312" w:eastAsia="仿宋_GB2312" w:cs="仿宋_GB2312"/>
          <w:sz w:val="32"/>
          <w:szCs w:val="32"/>
        </w:rPr>
        <w:t>高精尖产业为主导的绿色低碳经济发展体系基本形成，</w:t>
      </w:r>
      <w:r>
        <w:rPr>
          <w:rFonts w:ascii="仿宋_GB2312" w:hAnsi="仿宋_GB2312" w:eastAsia="仿宋_GB2312" w:cs="仿宋_GB2312"/>
          <w:sz w:val="32"/>
          <w:szCs w:val="32"/>
        </w:rPr>
        <w:t>生活宜居水平</w:t>
      </w:r>
      <w:r>
        <w:rPr>
          <w:rFonts w:hint="eastAsia" w:ascii="仿宋_GB2312" w:hAnsi="仿宋_GB2312" w:eastAsia="仿宋_GB2312" w:cs="仿宋_GB2312"/>
          <w:sz w:val="32"/>
          <w:szCs w:val="32"/>
        </w:rPr>
        <w:t>进一步提升，绿色生产生活方式持续推广，绿色发展理念</w:t>
      </w:r>
      <w:r>
        <w:rPr>
          <w:rFonts w:ascii="仿宋_GB2312" w:hAnsi="仿宋_GB2312" w:eastAsia="仿宋_GB2312" w:cs="仿宋_GB2312"/>
          <w:sz w:val="32"/>
          <w:szCs w:val="32"/>
        </w:rPr>
        <w:t>深入人心，</w:t>
      </w:r>
      <w:r>
        <w:rPr>
          <w:rFonts w:hint="eastAsia" w:ascii="仿宋_GB2312" w:hAnsi="仿宋_GB2312" w:eastAsia="仿宋_GB2312" w:cs="仿宋_GB2312"/>
          <w:sz w:val="32"/>
          <w:szCs w:val="32"/>
        </w:rPr>
        <w:t>在“两区”建设、高端制造、新城发展上走在前列，在“国门空港城”建设、“创新前沿地”建设、“宜居示范区”建设方面取得明显进展，“低碳、天蓝、水清、土净、地绿”的美丽顺义建设取得重大进展，在平原新城中率先成为</w:t>
      </w:r>
      <w:r>
        <w:rPr>
          <w:rFonts w:ascii="仿宋_GB2312" w:hAnsi="仿宋_GB2312" w:eastAsia="仿宋_GB2312" w:cs="仿宋_GB2312"/>
          <w:sz w:val="32"/>
          <w:szCs w:val="32"/>
        </w:rPr>
        <w:t>生态文明建设示范区。</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年，能源和水资源消耗、碳排放总量得到有效控制，</w:t>
      </w:r>
      <w:r>
        <w:rPr>
          <w:rFonts w:ascii="仿宋_GB2312" w:hAnsi="仿宋_GB2312" w:eastAsia="仿宋_GB2312" w:cs="仿宋_GB2312"/>
          <w:sz w:val="32"/>
          <w:szCs w:val="32"/>
        </w:rPr>
        <w:t>单位地区生产总值二氧化碳排放下降率达到北京市要求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空气质量优良天数比</w:t>
      </w:r>
      <w:r>
        <w:rPr>
          <w:rFonts w:hint="eastAsia" w:ascii="仿宋_GB2312" w:hAnsi="仿宋_GB2312" w:eastAsia="仿宋_GB2312" w:cs="仿宋_GB2312"/>
          <w:sz w:val="32"/>
          <w:szCs w:val="32"/>
        </w:rPr>
        <w:t>率</w:t>
      </w:r>
      <w:r>
        <w:rPr>
          <w:rFonts w:ascii="仿宋_GB2312" w:hAnsi="仿宋_GB2312" w:eastAsia="仿宋_GB2312" w:cs="仿宋_GB2312"/>
          <w:sz w:val="32"/>
          <w:szCs w:val="32"/>
        </w:rPr>
        <w:t>、PM</w:t>
      </w:r>
      <w:r>
        <w:rPr>
          <w:rFonts w:ascii="仿宋_GB2312" w:hAnsi="仿宋_GB2312" w:eastAsia="仿宋_GB2312" w:cs="仿宋_GB2312"/>
          <w:sz w:val="32"/>
          <w:szCs w:val="32"/>
          <w:vertAlign w:val="subscript"/>
        </w:rPr>
        <w:t>2.5</w:t>
      </w:r>
      <w:r>
        <w:rPr>
          <w:rFonts w:ascii="仿宋_GB2312" w:hAnsi="仿宋_GB2312" w:eastAsia="仿宋_GB2312" w:cs="仿宋_GB2312"/>
          <w:sz w:val="32"/>
          <w:szCs w:val="32"/>
        </w:rPr>
        <w:t>年均浓度</w:t>
      </w:r>
      <w:r>
        <w:rPr>
          <w:rFonts w:hint="eastAsia" w:ascii="仿宋_GB2312" w:hAnsi="仿宋_GB2312" w:eastAsia="仿宋_GB2312" w:cs="仿宋_GB2312"/>
          <w:sz w:val="32"/>
          <w:szCs w:val="32"/>
        </w:rPr>
        <w:t>均达到北京市要求，</w:t>
      </w:r>
      <w:r>
        <w:rPr>
          <w:rFonts w:ascii="仿宋_GB2312" w:hAnsi="仿宋_GB2312" w:eastAsia="仿宋_GB2312" w:cs="仿宋_GB2312"/>
          <w:sz w:val="32"/>
          <w:szCs w:val="32"/>
        </w:rPr>
        <w:t>地表水国考、市考断面达标比例达到100%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受污染耕地安全利用率达到北京市要求</w:t>
      </w:r>
      <w:r>
        <w:rPr>
          <w:rFonts w:hint="eastAsia" w:ascii="仿宋_GB2312" w:hAnsi="仿宋_GB2312" w:eastAsia="仿宋_GB2312" w:cs="仿宋_GB2312"/>
          <w:sz w:val="32"/>
          <w:szCs w:val="32"/>
        </w:rPr>
        <w:t>，生活垃圾回收利用率达到北京市要求，</w:t>
      </w:r>
      <w:r>
        <w:rPr>
          <w:rFonts w:ascii="仿宋_GB2312" w:hAnsi="仿宋_GB2312" w:eastAsia="仿宋_GB2312" w:cs="仿宋_GB2312"/>
          <w:sz w:val="32"/>
          <w:szCs w:val="32"/>
        </w:rPr>
        <w:t>生态环境质量指数达到北京市要求</w:t>
      </w:r>
      <w:r>
        <w:rPr>
          <w:rFonts w:hint="eastAsia" w:ascii="仿宋_GB2312" w:hAnsi="仿宋_GB2312" w:eastAsia="仿宋_GB2312" w:cs="仿宋_GB2312"/>
          <w:sz w:val="32"/>
          <w:szCs w:val="32"/>
        </w:rPr>
        <w:t>，绿色出行比例达</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w:t>
      </w:r>
    </w:p>
    <w:p>
      <w:pPr>
        <w:adjustRightInd w:val="0"/>
        <w:snapToGrid w:val="0"/>
        <w:spacing w:line="56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远期目标（</w:t>
      </w:r>
      <w:r>
        <w:rPr>
          <w:rFonts w:ascii="仿宋_GB2312" w:hAnsi="仿宋_GB2312" w:eastAsia="仿宋_GB2312" w:cs="仿宋_GB2312"/>
          <w:b/>
          <w:bCs/>
          <w:sz w:val="32"/>
          <w:szCs w:val="32"/>
        </w:rPr>
        <w:t>2026—2035年）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生态文明建设达到更高水平，目标责任落实和生态文明制度改革持续深化，体系健全、机制顺畅、运行高效的生态环境分区管控制度全面建立，</w:t>
      </w:r>
      <w:r>
        <w:rPr>
          <w:rFonts w:ascii="仿宋_GB2312" w:hAnsi="仿宋_GB2312" w:eastAsia="仿宋_GB2312" w:cs="仿宋_GB2312"/>
          <w:sz w:val="32"/>
          <w:szCs w:val="32"/>
        </w:rPr>
        <w:t>生态环境根本</w:t>
      </w:r>
      <w:r>
        <w:rPr>
          <w:rFonts w:hint="eastAsia" w:ascii="仿宋_GB2312" w:hAnsi="仿宋_GB2312" w:eastAsia="仿宋_GB2312" w:cs="仿宋_GB2312"/>
          <w:sz w:val="32"/>
          <w:szCs w:val="32"/>
        </w:rPr>
        <w:t>好转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生态安全屏障更加牢固，蓝绿交织、水城共融的形象更加凸显，新质生产力发展取得全面突破，多极支撑的“</w:t>
      </w:r>
      <w:r>
        <w:rPr>
          <w:rFonts w:ascii="仿宋_GB2312" w:hAnsi="仿宋_GB2312" w:eastAsia="仿宋_GB2312" w:cs="仿宋_GB2312"/>
          <w:sz w:val="32"/>
          <w:szCs w:val="32"/>
        </w:rPr>
        <w:t>3+4+1”高精尖</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结构蓬</w:t>
      </w:r>
      <w:r>
        <w:rPr>
          <w:rFonts w:hint="eastAsia" w:ascii="仿宋_GB2312" w:hAnsi="仿宋_GB2312" w:eastAsia="仿宋_GB2312" w:cs="仿宋_GB2312"/>
          <w:sz w:val="32"/>
          <w:szCs w:val="32"/>
        </w:rPr>
        <w:t>勃发展推进</w:t>
      </w:r>
      <w:r>
        <w:rPr>
          <w:rFonts w:ascii="仿宋_GB2312" w:hAnsi="仿宋_GB2312" w:eastAsia="仿宋_GB2312" w:cs="仿宋_GB2312"/>
          <w:sz w:val="32"/>
          <w:szCs w:val="32"/>
        </w:rPr>
        <w:t>经济社会全面绿色</w:t>
      </w:r>
      <w:r>
        <w:rPr>
          <w:rFonts w:hint="eastAsia" w:ascii="仿宋_GB2312" w:hAnsi="仿宋_GB2312" w:eastAsia="仿宋_GB2312" w:cs="仿宋_GB2312"/>
          <w:sz w:val="32"/>
          <w:szCs w:val="32"/>
        </w:rPr>
        <w:t>低碳</w:t>
      </w:r>
      <w:r>
        <w:rPr>
          <w:rFonts w:ascii="仿宋_GB2312" w:hAnsi="仿宋_GB2312" w:eastAsia="仿宋_GB2312" w:cs="仿宋_GB2312"/>
          <w:sz w:val="32"/>
          <w:szCs w:val="32"/>
        </w:rPr>
        <w:t>转型，</w:t>
      </w:r>
      <w:r>
        <w:rPr>
          <w:rFonts w:hint="eastAsia" w:ascii="仿宋_GB2312" w:hAnsi="仿宋_GB2312" w:eastAsia="仿宋_GB2312" w:cs="仿宋_GB2312"/>
          <w:sz w:val="32"/>
          <w:szCs w:val="32"/>
        </w:rPr>
        <w:t>碳排放达峰后稳中有降，</w:t>
      </w:r>
      <w:r>
        <w:rPr>
          <w:rFonts w:ascii="仿宋_GB2312" w:hAnsi="仿宋_GB2312" w:eastAsia="仿宋_GB2312" w:cs="仿宋_GB2312"/>
          <w:sz w:val="32"/>
          <w:szCs w:val="32"/>
        </w:rPr>
        <w:t>碳中和</w:t>
      </w:r>
      <w:r>
        <w:rPr>
          <w:rFonts w:hint="eastAsia" w:ascii="仿宋_GB2312" w:hAnsi="仿宋_GB2312" w:eastAsia="仿宋_GB2312" w:cs="仿宋_GB2312"/>
          <w:sz w:val="32"/>
          <w:szCs w:val="32"/>
        </w:rPr>
        <w:t>目标</w:t>
      </w:r>
      <w:r>
        <w:rPr>
          <w:rFonts w:ascii="仿宋_GB2312" w:hAnsi="仿宋_GB2312" w:eastAsia="仿宋_GB2312" w:cs="仿宋_GB2312"/>
          <w:sz w:val="32"/>
          <w:szCs w:val="32"/>
        </w:rPr>
        <w:t>取得明显进展，</w:t>
      </w:r>
      <w:r>
        <w:rPr>
          <w:rFonts w:hint="eastAsia" w:ascii="仿宋_GB2312" w:hAnsi="仿宋_GB2312" w:eastAsia="仿宋_GB2312" w:cs="仿宋_GB2312"/>
          <w:sz w:val="32"/>
          <w:szCs w:val="32"/>
        </w:rPr>
        <w:t>区域文化软实力显著增强，绿色生产生活成为社会广泛自觉，绿色循环低碳的生产方式、节约健康环保的生活方式和消费模式成为主流新风尚，实现以高水平保护推动高质量发展创造高品质生活，</w:t>
      </w:r>
      <w:r>
        <w:rPr>
          <w:rFonts w:ascii="仿宋_GB2312" w:hAnsi="仿宋_GB2312" w:eastAsia="仿宋_GB2312" w:cs="仿宋_GB2312"/>
          <w:sz w:val="32"/>
          <w:szCs w:val="32"/>
        </w:rPr>
        <w:t>率先建成人与自然和谐共生的现代化</w:t>
      </w:r>
      <w:r>
        <w:rPr>
          <w:rFonts w:hint="eastAsia" w:ascii="仿宋_GB2312" w:hAnsi="仿宋_GB2312" w:eastAsia="仿宋_GB2312" w:cs="仿宋_GB2312"/>
          <w:sz w:val="32"/>
          <w:szCs w:val="32"/>
        </w:rPr>
        <w:t>平原新城美丽顺义。</w:t>
      </w:r>
    </w:p>
    <w:p>
      <w:pPr>
        <w:pStyle w:val="3"/>
        <w:numPr>
          <w:ilvl w:val="0"/>
          <w:numId w:val="2"/>
        </w:numPr>
        <w:spacing w:line="560" w:lineRule="exact"/>
        <w:ind w:left="0" w:firstLine="640" w:firstLineChars="200"/>
        <w:jc w:val="left"/>
        <w:rPr>
          <w:rFonts w:ascii="黑体" w:hAnsi="黑体" w:eastAsia="黑体" w:cs="黑体"/>
          <w:b w:val="0"/>
          <w:bCs w:val="0"/>
        </w:rPr>
      </w:pPr>
      <w:bookmarkStart w:id="105" w:name="_Toc136794674"/>
      <w:bookmarkStart w:id="106" w:name="_Toc18664_WPSOffice_Level2"/>
      <w:r>
        <w:rPr>
          <w:rFonts w:hint="eastAsia" w:ascii="黑体" w:hAnsi="黑体" w:eastAsia="黑体" w:cs="黑体"/>
          <w:b w:val="0"/>
          <w:bCs w:val="0"/>
        </w:rPr>
        <w:t>建设指标</w:t>
      </w:r>
      <w:bookmarkEnd w:id="105"/>
      <w:bookmarkEnd w:id="106"/>
    </w:p>
    <w:p>
      <w:pPr>
        <w:adjustRightInd w:val="0"/>
        <w:snapToGrid w:val="0"/>
        <w:spacing w:line="560" w:lineRule="exact"/>
        <w:ind w:firstLine="640" w:firstLineChars="200"/>
        <w:contextualSpacing/>
        <w:rPr>
          <w:rFonts w:ascii="仿宋" w:hAnsi="仿宋" w:eastAsia="仿宋"/>
          <w:sz w:val="30"/>
          <w:szCs w:val="30"/>
        </w:rPr>
        <w:sectPr>
          <w:footerReference r:id="rId11" w:type="default"/>
          <w:pgSz w:w="11906" w:h="16838"/>
          <w:pgMar w:top="1440" w:right="1797" w:bottom="1440" w:left="1797" w:header="851" w:footer="283" w:gutter="0"/>
          <w:cols w:space="425" w:num="1"/>
          <w:docGrid w:linePitch="381" w:charSpace="0"/>
        </w:sectPr>
      </w:pPr>
      <w:r>
        <w:rPr>
          <w:rFonts w:hint="eastAsia" w:ascii="仿宋_GB2312" w:hAnsi="仿宋_GB2312" w:eastAsia="仿宋_GB2312" w:cs="仿宋_GB2312"/>
          <w:sz w:val="32"/>
          <w:szCs w:val="32"/>
        </w:rPr>
        <w:t>根据《</w:t>
      </w:r>
      <w:bookmarkStart w:id="107" w:name="_Hlk160455860"/>
      <w:r>
        <w:rPr>
          <w:rFonts w:hint="eastAsia" w:ascii="仿宋_GB2312" w:hAnsi="仿宋_GB2312" w:eastAsia="仿宋_GB2312" w:cs="仿宋_GB2312"/>
          <w:sz w:val="32"/>
          <w:szCs w:val="32"/>
        </w:rPr>
        <w:t>关于印发</w:t>
      </w:r>
      <w:r>
        <w:rPr>
          <w:rFonts w:ascii="仿宋_GB2312" w:hAnsi="仿宋_GB2312" w:eastAsia="仿宋_GB2312" w:cs="仿宋_GB2312"/>
          <w:sz w:val="32"/>
          <w:szCs w:val="32"/>
        </w:rPr>
        <w:t>&lt;生态文明建设示范区（市）建设指标&gt;&lt;生态文明建设示范区（县）建设指标&gt;&lt;生态文明建设示范区管理规程&gt;&lt;“绿水青山就是金山银山”实践创新基地建设管理规程&gt;的通知》（环办生态〔2024〕4号）</w:t>
      </w:r>
      <w:bookmarkEnd w:id="107"/>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w:t>
      </w:r>
      <w:r>
        <w:rPr>
          <w:rFonts w:ascii="仿宋_GB2312" w:hAnsi="仿宋_GB2312" w:eastAsia="仿宋_GB2312" w:cs="仿宋_GB2312"/>
          <w:sz w:val="32"/>
          <w:szCs w:val="32"/>
        </w:rPr>
        <w:t>顺义区实际，规划顺义区创建生态文明建设示范区建设指标共36项，包括国家建设指标31</w:t>
      </w:r>
      <w:r>
        <w:rPr>
          <w:rFonts w:hint="eastAsia" w:ascii="仿宋_GB2312" w:hAnsi="仿宋_GB2312" w:eastAsia="仿宋_GB2312" w:cs="仿宋_GB2312"/>
          <w:sz w:val="32"/>
          <w:szCs w:val="32"/>
        </w:rPr>
        <w:t>项（其中约束性指标</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项、参考性指标</w:t>
      </w:r>
      <w:r>
        <w:rPr>
          <w:rFonts w:ascii="仿宋_GB2312" w:hAnsi="仿宋_GB2312" w:eastAsia="仿宋_GB2312" w:cs="仿宋_GB2312"/>
          <w:sz w:val="32"/>
          <w:szCs w:val="32"/>
        </w:rPr>
        <w:t>5项）和顺义区特色指标5项，涉及目标责任、生态安全、生态经济、生态文化、生态文明制度等领域。</w:t>
      </w:r>
    </w:p>
    <w:p>
      <w:pPr>
        <w:ind w:firstLine="482"/>
        <w:jc w:val="center"/>
        <w:rPr>
          <w:rFonts w:ascii="仿宋" w:hAnsi="仿宋" w:eastAsia="仿宋"/>
          <w:b/>
          <w:bCs/>
        </w:rPr>
      </w:pPr>
      <w:bookmarkStart w:id="108" w:name="_Hlk164030250"/>
      <w:r>
        <w:rPr>
          <w:rFonts w:ascii="仿宋" w:hAnsi="仿宋" w:eastAsia="仿宋"/>
          <w:b/>
          <w:bCs/>
        </w:rPr>
        <w:t xml:space="preserve">表1 </w:t>
      </w:r>
      <w:r>
        <w:rPr>
          <w:rFonts w:hint="eastAsia" w:ascii="仿宋" w:hAnsi="仿宋" w:eastAsia="仿宋"/>
          <w:b/>
          <w:bCs/>
        </w:rPr>
        <w:t>顺义</w:t>
      </w:r>
      <w:r>
        <w:rPr>
          <w:rFonts w:ascii="仿宋" w:hAnsi="仿宋" w:eastAsia="仿宋"/>
          <w:b/>
          <w:bCs/>
        </w:rPr>
        <w:t>区生态文明建设指标</w:t>
      </w:r>
    </w:p>
    <w:bookmarkEnd w:id="108"/>
    <w:tbl>
      <w:tblPr>
        <w:tblStyle w:val="25"/>
        <w:tblW w:w="14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714"/>
        <w:gridCol w:w="541"/>
        <w:gridCol w:w="1013"/>
        <w:gridCol w:w="6"/>
        <w:gridCol w:w="2026"/>
        <w:gridCol w:w="783"/>
        <w:gridCol w:w="1842"/>
        <w:gridCol w:w="1863"/>
        <w:gridCol w:w="1985"/>
        <w:gridCol w:w="198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领域</w:t>
            </w:r>
          </w:p>
        </w:tc>
        <w:tc>
          <w:tcPr>
            <w:tcW w:w="714"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任务</w:t>
            </w:r>
          </w:p>
        </w:tc>
        <w:tc>
          <w:tcPr>
            <w:tcW w:w="541"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序号</w:t>
            </w:r>
          </w:p>
        </w:tc>
        <w:tc>
          <w:tcPr>
            <w:tcW w:w="3045" w:type="dxa"/>
            <w:gridSpan w:val="3"/>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指标名称</w:t>
            </w:r>
          </w:p>
        </w:tc>
        <w:tc>
          <w:tcPr>
            <w:tcW w:w="783"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单位</w:t>
            </w:r>
          </w:p>
        </w:tc>
        <w:tc>
          <w:tcPr>
            <w:tcW w:w="1842"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指标值</w:t>
            </w:r>
          </w:p>
        </w:tc>
        <w:tc>
          <w:tcPr>
            <w:tcW w:w="1863"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基准年（2022年）</w:t>
            </w:r>
            <w:r>
              <w:rPr>
                <w:rFonts w:hint="eastAsia" w:ascii="仿宋" w:hAnsi="仿宋" w:eastAsia="仿宋"/>
                <w:b/>
                <w:bCs/>
                <w:szCs w:val="21"/>
                <w:lang w:bidi="ar"/>
              </w:rPr>
              <w:t>现状值</w:t>
            </w:r>
          </w:p>
        </w:tc>
        <w:tc>
          <w:tcPr>
            <w:tcW w:w="3969" w:type="dxa"/>
            <w:gridSpan w:val="2"/>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规划目标值</w:t>
            </w:r>
          </w:p>
        </w:tc>
        <w:tc>
          <w:tcPr>
            <w:tcW w:w="871" w:type="dxa"/>
            <w:vMerge w:val="restart"/>
            <w:tcBorders>
              <w:top w:val="single" w:color="auto" w:sz="4" w:space="0"/>
              <w:left w:val="single" w:color="auto" w:sz="4" w:space="0"/>
              <w:right w:val="single" w:color="auto" w:sz="4" w:space="0"/>
            </w:tcBorders>
            <w:vAlign w:val="center"/>
          </w:tcPr>
          <w:p>
            <w:pPr>
              <w:adjustRightInd w:val="0"/>
              <w:jc w:val="center"/>
              <w:rPr>
                <w:rFonts w:ascii="仿宋" w:hAnsi="仿宋" w:eastAsia="仿宋"/>
                <w:b/>
                <w:bCs/>
                <w:szCs w:val="21"/>
                <w:lang w:bidi="ar"/>
              </w:rPr>
            </w:pPr>
            <w:r>
              <w:rPr>
                <w:rFonts w:ascii="仿宋" w:hAnsi="仿宋" w:eastAsia="仿宋"/>
                <w:b/>
                <w:bCs/>
                <w:szCs w:val="21"/>
                <w:lang w:bidi="ar"/>
              </w:rPr>
              <w:t>指标</w:t>
            </w:r>
          </w:p>
          <w:p>
            <w:pPr>
              <w:adjustRightInd w:val="0"/>
              <w:jc w:val="center"/>
              <w:rPr>
                <w:rFonts w:ascii="仿宋" w:hAnsi="仿宋" w:eastAsia="仿宋"/>
                <w:b/>
                <w:bCs/>
                <w:szCs w:val="21"/>
                <w:lang w:bidi="ar"/>
              </w:rPr>
            </w:pPr>
            <w:r>
              <w:rPr>
                <w:rFonts w:ascii="仿宋" w:hAnsi="仿宋" w:eastAsia="仿宋"/>
                <w:b/>
                <w:bCs/>
                <w:szCs w:val="21"/>
                <w:lang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b/>
                <w:bCs/>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b/>
                <w:bCs/>
                <w:szCs w:val="21"/>
              </w:rPr>
            </w:pPr>
          </w:p>
        </w:tc>
        <w:tc>
          <w:tcPr>
            <w:tcW w:w="541" w:type="dxa"/>
            <w:vMerge w:val="continue"/>
            <w:tcBorders>
              <w:left w:val="single" w:color="auto" w:sz="4" w:space="0"/>
              <w:right w:val="single" w:color="auto" w:sz="4" w:space="0"/>
            </w:tcBorders>
            <w:vAlign w:val="center"/>
          </w:tcPr>
          <w:p>
            <w:pPr>
              <w:jc w:val="center"/>
              <w:rPr>
                <w:rFonts w:ascii="仿宋" w:hAnsi="仿宋" w:eastAsia="仿宋"/>
                <w:b/>
                <w:bCs/>
                <w:szCs w:val="21"/>
              </w:rPr>
            </w:pPr>
          </w:p>
        </w:tc>
        <w:tc>
          <w:tcPr>
            <w:tcW w:w="3045" w:type="dxa"/>
            <w:gridSpan w:val="3"/>
            <w:vMerge w:val="continue"/>
            <w:tcBorders>
              <w:left w:val="single" w:color="auto" w:sz="4" w:space="0"/>
              <w:right w:val="single" w:color="auto" w:sz="4" w:space="0"/>
            </w:tcBorders>
            <w:vAlign w:val="center"/>
          </w:tcPr>
          <w:p>
            <w:pPr>
              <w:jc w:val="left"/>
              <w:rPr>
                <w:rFonts w:ascii="仿宋" w:hAnsi="仿宋" w:eastAsia="仿宋"/>
                <w:b/>
                <w:bCs/>
                <w:szCs w:val="21"/>
              </w:rPr>
            </w:pPr>
          </w:p>
        </w:tc>
        <w:tc>
          <w:tcPr>
            <w:tcW w:w="783" w:type="dxa"/>
            <w:vMerge w:val="continue"/>
            <w:tcBorders>
              <w:left w:val="single" w:color="auto" w:sz="4" w:space="0"/>
              <w:right w:val="single" w:color="auto" w:sz="4" w:space="0"/>
            </w:tcBorders>
            <w:vAlign w:val="center"/>
          </w:tcPr>
          <w:p>
            <w:pPr>
              <w:jc w:val="center"/>
              <w:rPr>
                <w:rFonts w:ascii="仿宋" w:hAnsi="仿宋" w:eastAsia="仿宋"/>
                <w:b/>
                <w:bCs/>
                <w:szCs w:val="21"/>
              </w:rPr>
            </w:pPr>
          </w:p>
        </w:tc>
        <w:tc>
          <w:tcPr>
            <w:tcW w:w="1842" w:type="dxa"/>
            <w:vMerge w:val="continue"/>
            <w:tcBorders>
              <w:left w:val="single" w:color="auto" w:sz="4" w:space="0"/>
              <w:right w:val="single" w:color="auto" w:sz="4" w:space="0"/>
            </w:tcBorders>
            <w:vAlign w:val="center"/>
          </w:tcPr>
          <w:p>
            <w:pPr>
              <w:jc w:val="center"/>
              <w:rPr>
                <w:rFonts w:ascii="仿宋" w:hAnsi="仿宋" w:eastAsia="仿宋"/>
                <w:b/>
                <w:bCs/>
                <w:szCs w:val="21"/>
              </w:rPr>
            </w:pPr>
          </w:p>
        </w:tc>
        <w:tc>
          <w:tcPr>
            <w:tcW w:w="1863" w:type="dxa"/>
            <w:vMerge w:val="continue"/>
            <w:tcBorders>
              <w:left w:val="single" w:color="auto" w:sz="4" w:space="0"/>
              <w:right w:val="single" w:color="auto" w:sz="4" w:space="0"/>
            </w:tcBorders>
            <w:vAlign w:val="center"/>
          </w:tcPr>
          <w:p>
            <w:pPr>
              <w:jc w:val="center"/>
              <w:rPr>
                <w:rFonts w:ascii="仿宋" w:hAnsi="仿宋" w:eastAsia="仿宋"/>
                <w:b/>
                <w:bCs/>
                <w:szCs w:val="21"/>
                <w:lang w:bidi="ar"/>
              </w:rPr>
            </w:pPr>
          </w:p>
        </w:tc>
        <w:tc>
          <w:tcPr>
            <w:tcW w:w="1985" w:type="dxa"/>
            <w:tcBorders>
              <w:top w:val="single" w:color="auto" w:sz="4" w:space="0"/>
              <w:left w:val="single" w:color="auto" w:sz="4" w:space="0"/>
              <w:right w:val="single" w:color="auto" w:sz="4" w:space="0"/>
            </w:tcBorders>
            <w:vAlign w:val="center"/>
          </w:tcPr>
          <w:p>
            <w:pPr>
              <w:jc w:val="center"/>
              <w:rPr>
                <w:rFonts w:ascii="仿宋" w:hAnsi="仿宋" w:eastAsia="仿宋"/>
                <w:b/>
                <w:bCs/>
                <w:szCs w:val="21"/>
                <w:lang w:bidi="ar"/>
              </w:rPr>
            </w:pPr>
            <w:r>
              <w:rPr>
                <w:rFonts w:ascii="仿宋" w:hAnsi="仿宋" w:eastAsia="仿宋"/>
                <w:b/>
                <w:bCs/>
                <w:szCs w:val="21"/>
                <w:lang w:bidi="ar"/>
              </w:rPr>
              <w:t>近期</w:t>
            </w:r>
            <w:r>
              <w:rPr>
                <w:rFonts w:hint="eastAsia" w:ascii="仿宋" w:hAnsi="仿宋" w:eastAsia="仿宋"/>
                <w:b/>
                <w:bCs/>
                <w:szCs w:val="21"/>
                <w:lang w:bidi="ar"/>
              </w:rPr>
              <w:t>目标年</w:t>
            </w:r>
          </w:p>
          <w:p>
            <w:pPr>
              <w:jc w:val="center"/>
              <w:rPr>
                <w:rFonts w:ascii="仿宋" w:hAnsi="仿宋" w:eastAsia="仿宋"/>
                <w:b/>
                <w:bCs/>
                <w:szCs w:val="21"/>
                <w:lang w:bidi="ar"/>
              </w:rPr>
            </w:pPr>
            <w:r>
              <w:rPr>
                <w:rFonts w:ascii="仿宋" w:hAnsi="仿宋" w:eastAsia="仿宋"/>
                <w:b/>
                <w:bCs/>
                <w:szCs w:val="21"/>
                <w:lang w:bidi="ar"/>
              </w:rPr>
              <w:t>（2025年）</w:t>
            </w:r>
          </w:p>
        </w:tc>
        <w:tc>
          <w:tcPr>
            <w:tcW w:w="1984" w:type="dxa"/>
            <w:tcBorders>
              <w:top w:val="single" w:color="auto" w:sz="4" w:space="0"/>
              <w:left w:val="single" w:color="auto" w:sz="4" w:space="0"/>
              <w:right w:val="single" w:color="auto" w:sz="4" w:space="0"/>
            </w:tcBorders>
            <w:vAlign w:val="center"/>
          </w:tcPr>
          <w:p>
            <w:pPr>
              <w:jc w:val="center"/>
              <w:rPr>
                <w:rFonts w:ascii="仿宋" w:hAnsi="仿宋" w:eastAsia="仿宋"/>
                <w:b/>
                <w:bCs/>
                <w:szCs w:val="21"/>
                <w:lang w:bidi="ar"/>
              </w:rPr>
            </w:pPr>
            <w:r>
              <w:rPr>
                <w:rFonts w:ascii="仿宋" w:hAnsi="仿宋" w:eastAsia="仿宋"/>
                <w:b/>
                <w:bCs/>
                <w:szCs w:val="21"/>
                <w:lang w:bidi="ar"/>
              </w:rPr>
              <w:t>远期</w:t>
            </w:r>
            <w:r>
              <w:rPr>
                <w:rFonts w:hint="eastAsia" w:ascii="仿宋" w:hAnsi="仿宋" w:eastAsia="仿宋"/>
                <w:b/>
                <w:bCs/>
                <w:szCs w:val="21"/>
                <w:lang w:bidi="ar"/>
              </w:rPr>
              <w:t>目标年</w:t>
            </w:r>
          </w:p>
          <w:p>
            <w:pPr>
              <w:jc w:val="center"/>
              <w:rPr>
                <w:rFonts w:ascii="仿宋" w:hAnsi="仿宋" w:eastAsia="仿宋"/>
                <w:b/>
                <w:bCs/>
                <w:szCs w:val="21"/>
                <w:lang w:bidi="ar"/>
              </w:rPr>
            </w:pPr>
            <w:r>
              <w:rPr>
                <w:rFonts w:ascii="仿宋" w:hAnsi="仿宋" w:eastAsia="仿宋"/>
                <w:b/>
                <w:bCs/>
                <w:szCs w:val="21"/>
                <w:lang w:bidi="ar"/>
              </w:rPr>
              <w:t>（2035年）</w:t>
            </w:r>
          </w:p>
        </w:tc>
        <w:tc>
          <w:tcPr>
            <w:tcW w:w="871" w:type="dxa"/>
            <w:vMerge w:val="continue"/>
            <w:tcBorders>
              <w:left w:val="single" w:color="auto" w:sz="4" w:space="0"/>
              <w:right w:val="single" w:color="auto" w:sz="4" w:space="0"/>
            </w:tcBorders>
            <w:vAlign w:val="center"/>
          </w:tcPr>
          <w:p>
            <w:pPr>
              <w:jc w:val="center"/>
              <w:rPr>
                <w:rFonts w:ascii="仿宋" w:hAnsi="仿宋" w:eastAsia="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目标责任</w:t>
            </w:r>
          </w:p>
        </w:tc>
        <w:tc>
          <w:tcPr>
            <w:tcW w:w="714" w:type="dxa"/>
            <w:vMerge w:val="restart"/>
            <w:tcBorders>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（一）</w:t>
            </w:r>
          </w:p>
          <w:p>
            <w:pPr>
              <w:jc w:val="center"/>
              <w:rPr>
                <w:rFonts w:ascii="仿宋" w:hAnsi="仿宋" w:eastAsia="仿宋"/>
                <w:szCs w:val="21"/>
              </w:rPr>
            </w:pPr>
            <w:r>
              <w:rPr>
                <w:rFonts w:ascii="仿宋" w:hAnsi="仿宋" w:eastAsia="仿宋"/>
                <w:szCs w:val="21"/>
                <w:lang w:bidi="ar"/>
              </w:rPr>
              <w:t>目标责任</w:t>
            </w:r>
            <w:r>
              <w:rPr>
                <w:rFonts w:hint="eastAsia" w:ascii="仿宋" w:hAnsi="仿宋" w:eastAsia="仿宋"/>
                <w:szCs w:val="21"/>
                <w:lang w:bidi="ar"/>
              </w:rPr>
              <w:t>落实</w:t>
            </w:r>
          </w:p>
        </w:tc>
        <w:tc>
          <w:tcPr>
            <w:tcW w:w="541"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3045" w:type="dxa"/>
            <w:gridSpan w:val="3"/>
            <w:tcBorders>
              <w:left w:val="single" w:color="auto" w:sz="4" w:space="0"/>
              <w:right w:val="single" w:color="auto" w:sz="4" w:space="0"/>
            </w:tcBorders>
            <w:vAlign w:val="center"/>
          </w:tcPr>
          <w:p>
            <w:pPr>
              <w:jc w:val="left"/>
              <w:rPr>
                <w:rFonts w:ascii="仿宋" w:hAnsi="仿宋" w:eastAsia="仿宋"/>
                <w:szCs w:val="21"/>
              </w:rPr>
            </w:pPr>
            <w:r>
              <w:rPr>
                <w:rFonts w:ascii="仿宋" w:hAnsi="仿宋" w:eastAsia="仿宋"/>
                <w:szCs w:val="21"/>
                <w:lang w:bidi="ar"/>
              </w:rPr>
              <w:t>生态文明建设工作占党政实绩考核的比例</w:t>
            </w:r>
          </w:p>
        </w:tc>
        <w:tc>
          <w:tcPr>
            <w:tcW w:w="783" w:type="dxa"/>
            <w:tcBorders>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p>
        </w:tc>
        <w:tc>
          <w:tcPr>
            <w:tcW w:w="1842" w:type="dxa"/>
            <w:tcBorders>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≥20</w:t>
            </w:r>
          </w:p>
        </w:tc>
        <w:tc>
          <w:tcPr>
            <w:tcW w:w="1863" w:type="dxa"/>
            <w:tcBorders>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w:t>
            </w:r>
            <w:r>
              <w:rPr>
                <w:rFonts w:ascii="仿宋" w:hAnsi="仿宋" w:eastAsia="仿宋"/>
                <w:szCs w:val="21"/>
                <w:lang w:bidi="ar"/>
              </w:rPr>
              <w:t>3</w:t>
            </w:r>
          </w:p>
        </w:tc>
        <w:tc>
          <w:tcPr>
            <w:tcW w:w="1985"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2</w:t>
            </w:r>
          </w:p>
        </w:tc>
        <w:tc>
          <w:tcPr>
            <w:tcW w:w="3045" w:type="dxa"/>
            <w:gridSpan w:val="3"/>
            <w:tcBorders>
              <w:left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党政领导干部生态环境损害责任追究制度</w:t>
            </w:r>
          </w:p>
        </w:tc>
        <w:tc>
          <w:tcPr>
            <w:tcW w:w="783"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1842"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建立</w:t>
            </w:r>
          </w:p>
        </w:tc>
        <w:tc>
          <w:tcPr>
            <w:tcW w:w="1863" w:type="dxa"/>
            <w:tcBorders>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5"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4"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871" w:type="dxa"/>
            <w:tcBorders>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3</w:t>
            </w:r>
          </w:p>
        </w:tc>
        <w:tc>
          <w:tcPr>
            <w:tcW w:w="3045" w:type="dxa"/>
            <w:gridSpan w:val="3"/>
            <w:tcBorders>
              <w:left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领导干部自然资源资产离任审计</w:t>
            </w:r>
          </w:p>
        </w:tc>
        <w:tc>
          <w:tcPr>
            <w:tcW w:w="783"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1842"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开展</w:t>
            </w:r>
          </w:p>
        </w:tc>
        <w:tc>
          <w:tcPr>
            <w:tcW w:w="1863" w:type="dxa"/>
            <w:tcBorders>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1985"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1984"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871" w:type="dxa"/>
            <w:tcBorders>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生态</w:t>
            </w:r>
          </w:p>
          <w:p>
            <w:pPr>
              <w:jc w:val="center"/>
              <w:rPr>
                <w:rFonts w:ascii="仿宋" w:hAnsi="仿宋" w:eastAsia="仿宋"/>
                <w:szCs w:val="21"/>
              </w:rPr>
            </w:pPr>
            <w:r>
              <w:rPr>
                <w:rFonts w:ascii="仿宋" w:hAnsi="仿宋" w:eastAsia="仿宋"/>
                <w:szCs w:val="21"/>
                <w:lang w:bidi="ar"/>
              </w:rPr>
              <w:t>安全</w:t>
            </w: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（二）</w:t>
            </w:r>
          </w:p>
          <w:p>
            <w:pPr>
              <w:jc w:val="center"/>
              <w:rPr>
                <w:rFonts w:ascii="仿宋" w:hAnsi="仿宋" w:eastAsia="仿宋"/>
                <w:szCs w:val="21"/>
              </w:rPr>
            </w:pPr>
            <w:r>
              <w:rPr>
                <w:rFonts w:ascii="仿宋" w:hAnsi="仿宋" w:eastAsia="仿宋"/>
                <w:szCs w:val="21"/>
                <w:lang w:bidi="ar"/>
              </w:rPr>
              <w:t>环境质量改善</w:t>
            </w:r>
          </w:p>
        </w:tc>
        <w:tc>
          <w:tcPr>
            <w:tcW w:w="54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4</w:t>
            </w:r>
          </w:p>
        </w:tc>
        <w:tc>
          <w:tcPr>
            <w:tcW w:w="1013" w:type="dxa"/>
            <w:vMerge w:val="restart"/>
            <w:tcBorders>
              <w:top w:val="single" w:color="auto" w:sz="4" w:space="0"/>
              <w:left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环境空气质量</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优良天数</w:t>
            </w:r>
            <w:r>
              <w:rPr>
                <w:rFonts w:hint="eastAsia" w:ascii="仿宋" w:hAnsi="仿宋" w:eastAsia="仿宋"/>
                <w:szCs w:val="21"/>
                <w:lang w:bidi="ar"/>
              </w:rPr>
              <w:t>比率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w:t>
            </w:r>
            <w:r>
              <w:rPr>
                <w:rFonts w:ascii="仿宋" w:hAnsi="仿宋" w:eastAsia="仿宋"/>
                <w:szCs w:val="21"/>
                <w:lang w:bidi="ar"/>
              </w:rPr>
              <w:t>90</w:t>
            </w:r>
            <w:r>
              <w:rPr>
                <w:rFonts w:hint="eastAsia" w:ascii="仿宋" w:hAnsi="仿宋" w:eastAsia="仿宋"/>
                <w:szCs w:val="21"/>
                <w:lang w:bidi="ar"/>
              </w:rPr>
              <w:t>或</w:t>
            </w:r>
            <w:r>
              <w:rPr>
                <w:rFonts w:ascii="仿宋" w:hAnsi="仿宋" w:eastAsia="仿宋"/>
                <w:szCs w:val="21"/>
                <w:lang w:bidi="ar"/>
              </w:rPr>
              <w:t>持续</w:t>
            </w:r>
            <w:r>
              <w:rPr>
                <w:rFonts w:hint="eastAsia" w:ascii="仿宋" w:hAnsi="仿宋" w:eastAsia="仿宋"/>
                <w:szCs w:val="21"/>
                <w:lang w:bidi="ar"/>
              </w:rPr>
              <w:t>提高</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，且持续提高（</w:t>
            </w:r>
            <w:r>
              <w:rPr>
                <w:rFonts w:ascii="仿宋" w:hAnsi="仿宋" w:eastAsia="仿宋"/>
                <w:szCs w:val="21"/>
                <w:lang w:bidi="ar"/>
              </w:rPr>
              <w:t>80.5</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，且持续提高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，且持续提高</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PM</w:t>
            </w:r>
            <w:r>
              <w:rPr>
                <w:rFonts w:ascii="仿宋" w:hAnsi="仿宋" w:eastAsia="仿宋"/>
                <w:szCs w:val="21"/>
                <w:vertAlign w:val="subscript"/>
                <w:lang w:bidi="ar"/>
              </w:rPr>
              <w:t>2.5</w:t>
            </w:r>
            <w:r>
              <w:rPr>
                <w:rFonts w:ascii="仿宋" w:hAnsi="仿宋" w:eastAsia="仿宋"/>
                <w:szCs w:val="21"/>
                <w:lang w:bidi="ar"/>
              </w:rPr>
              <w:t>浓度</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μg</w:t>
            </w:r>
            <w:r>
              <w:rPr>
                <w:rFonts w:ascii="仿宋" w:hAnsi="仿宋" w:eastAsia="仿宋"/>
                <w:szCs w:val="21"/>
                <w:lang w:bidi="ar"/>
              </w:rPr>
              <w:t>/m</w:t>
            </w:r>
            <w:r>
              <w:rPr>
                <w:rFonts w:ascii="仿宋" w:hAnsi="仿宋" w:eastAsia="仿宋"/>
                <w:szCs w:val="21"/>
                <w:vertAlign w:val="superscript"/>
                <w:lang w:bidi="ar"/>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，且≤2</w:t>
            </w:r>
            <w:r>
              <w:rPr>
                <w:rFonts w:ascii="仿宋" w:hAnsi="仿宋" w:eastAsia="仿宋"/>
                <w:szCs w:val="21"/>
                <w:lang w:bidi="ar"/>
              </w:rPr>
              <w:t>5</w:t>
            </w:r>
            <w:r>
              <w:rPr>
                <w:rFonts w:hint="eastAsia" w:ascii="仿宋" w:hAnsi="仿宋" w:eastAsia="仿宋"/>
                <w:szCs w:val="21"/>
                <w:lang w:bidi="ar"/>
              </w:rPr>
              <w:t>或持续下降</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w:t>
            </w:r>
            <w:r>
              <w:rPr>
                <w:rFonts w:hint="eastAsia" w:ascii="仿宋" w:hAnsi="仿宋" w:eastAsia="仿宋"/>
                <w:szCs w:val="21"/>
                <w:lang w:bidi="ar"/>
              </w:rPr>
              <w:t>，且持续下降（2</w:t>
            </w:r>
            <w:r>
              <w:rPr>
                <w:rFonts w:ascii="仿宋" w:hAnsi="仿宋" w:eastAsia="仿宋"/>
                <w:szCs w:val="21"/>
                <w:lang w:bidi="ar"/>
              </w:rPr>
              <w:t>9</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，且持续下降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，且持续下降</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5</w:t>
            </w:r>
          </w:p>
        </w:tc>
        <w:tc>
          <w:tcPr>
            <w:tcW w:w="1013" w:type="dxa"/>
            <w:vMerge w:val="restart"/>
            <w:tcBorders>
              <w:top w:val="single" w:color="auto" w:sz="4" w:space="0"/>
              <w:left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水环境质量</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r>
              <w:rPr>
                <w:rFonts w:hint="eastAsia" w:ascii="仿宋" w:hAnsi="仿宋" w:eastAsia="仿宋"/>
                <w:spacing w:val="-4"/>
                <w:szCs w:val="21"/>
                <w:lang w:bidi="ar"/>
              </w:rPr>
              <w:t>地表水</w:t>
            </w:r>
            <w:r>
              <w:rPr>
                <w:rFonts w:ascii="仿宋" w:hAnsi="仿宋" w:eastAsia="仿宋"/>
                <w:spacing w:val="-4"/>
                <w:szCs w:val="21"/>
                <w:lang w:bidi="ar"/>
              </w:rPr>
              <w:t>达到或</w:t>
            </w:r>
            <w:r>
              <w:rPr>
                <w:rFonts w:hint="eastAsia" w:ascii="仿宋" w:hAnsi="仿宋" w:eastAsia="仿宋"/>
                <w:spacing w:val="-4"/>
                <w:szCs w:val="21"/>
                <w:lang w:bidi="ar"/>
              </w:rPr>
              <w:t>好</w:t>
            </w:r>
            <w:r>
              <w:rPr>
                <w:rFonts w:ascii="仿宋" w:hAnsi="仿宋" w:eastAsia="仿宋"/>
                <w:spacing w:val="-4"/>
                <w:szCs w:val="21"/>
                <w:lang w:bidi="ar"/>
              </w:rPr>
              <w:t>于Ⅲ类</w:t>
            </w:r>
            <w:r>
              <w:rPr>
                <w:rFonts w:hint="eastAsia" w:ascii="仿宋" w:hAnsi="仿宋" w:eastAsia="仿宋"/>
                <w:spacing w:val="-4"/>
                <w:szCs w:val="21"/>
                <w:lang w:bidi="ar"/>
              </w:rPr>
              <w:t>水体</w:t>
            </w:r>
            <w:r>
              <w:rPr>
                <w:rFonts w:ascii="仿宋" w:hAnsi="仿宋" w:eastAsia="仿宋"/>
                <w:spacing w:val="-4"/>
                <w:szCs w:val="21"/>
                <w:lang w:bidi="ar"/>
              </w:rPr>
              <w:t>比例</w:t>
            </w:r>
          </w:p>
        </w:tc>
        <w:tc>
          <w:tcPr>
            <w:tcW w:w="78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完成上级规定的考核任务</w:t>
            </w:r>
            <w:r>
              <w:rPr>
                <w:rFonts w:hint="eastAsia" w:ascii="仿宋" w:hAnsi="仿宋" w:eastAsia="仿宋"/>
                <w:szCs w:val="21"/>
                <w:lang w:bidi="ar"/>
              </w:rPr>
              <w:t>，且</w:t>
            </w:r>
            <w:r>
              <w:rPr>
                <w:rFonts w:ascii="仿宋" w:hAnsi="仿宋" w:eastAsia="仿宋"/>
                <w:szCs w:val="21"/>
                <w:lang w:bidi="ar"/>
              </w:rPr>
              <w:t>保持稳定或</w:t>
            </w:r>
            <w:r>
              <w:rPr>
                <w:rFonts w:hint="eastAsia" w:ascii="仿宋" w:hAnsi="仿宋" w:eastAsia="仿宋"/>
                <w:szCs w:val="21"/>
                <w:lang w:bidi="ar"/>
              </w:rPr>
              <w:t>有所</w:t>
            </w:r>
            <w:r>
              <w:rPr>
                <w:rFonts w:ascii="仿宋" w:hAnsi="仿宋" w:eastAsia="仿宋"/>
                <w:szCs w:val="21"/>
                <w:lang w:bidi="ar"/>
              </w:rPr>
              <w:t>改善</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，且保持稳定（1</w:t>
            </w:r>
            <w:r>
              <w:rPr>
                <w:rFonts w:ascii="仿宋" w:hAnsi="仿宋" w:eastAsia="仿宋"/>
                <w:szCs w:val="21"/>
                <w:lang w:bidi="ar"/>
              </w:rPr>
              <w:t>00</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w:t>
            </w:r>
            <w:r>
              <w:rPr>
                <w:rFonts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w:t>
            </w:r>
            <w:r>
              <w:rPr>
                <w:rFonts w:ascii="仿宋" w:hAnsi="仿宋" w:eastAsia="仿宋"/>
                <w:szCs w:val="21"/>
                <w:lang w:bidi="ar"/>
              </w:rPr>
              <w:t>保持稳定</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地下水国控点位V类水比例</w:t>
            </w:r>
          </w:p>
        </w:tc>
        <w:tc>
          <w:tcPr>
            <w:tcW w:w="783"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，且≤2</w:t>
            </w:r>
            <w:r>
              <w:rPr>
                <w:rFonts w:ascii="仿宋" w:hAnsi="仿宋" w:eastAsia="仿宋"/>
                <w:szCs w:val="21"/>
                <w:lang w:bidi="ar"/>
              </w:rPr>
              <w:t>5</w:t>
            </w:r>
            <w:r>
              <w:rPr>
                <w:rFonts w:hint="eastAsia" w:ascii="仿宋" w:hAnsi="仿宋" w:eastAsia="仿宋"/>
                <w:szCs w:val="21"/>
                <w:lang w:bidi="ar"/>
              </w:rPr>
              <w:t>或持续改善</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lang w:bidi="ar"/>
              </w:rPr>
            </w:pPr>
            <w:r>
              <w:rPr>
                <w:rFonts w:hint="eastAsia" w:ascii="仿宋" w:hAnsi="仿宋" w:eastAsia="仿宋"/>
                <w:b w:val="0"/>
                <w:bCs w:val="0"/>
                <w:color w:val="auto"/>
                <w:szCs w:val="21"/>
                <w:lang w:bidi="ar"/>
              </w:rPr>
              <w:t>暂无数据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，且持续改善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完成上级规定的考核任务</w:t>
            </w:r>
            <w:r>
              <w:rPr>
                <w:rFonts w:hint="eastAsia" w:ascii="仿宋" w:hAnsi="仿宋" w:eastAsia="仿宋"/>
                <w:szCs w:val="21"/>
                <w:lang w:bidi="ar"/>
              </w:rPr>
              <w:t>，且持续改善</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集中式饮用水水源水质达到或优于</w:t>
            </w:r>
            <w:r>
              <w:rPr>
                <w:rFonts w:ascii="仿宋" w:hAnsi="仿宋" w:eastAsia="仿宋"/>
                <w:spacing w:val="-4"/>
                <w:szCs w:val="21"/>
                <w:lang w:bidi="ar"/>
              </w:rPr>
              <w:t>Ⅲ</w:t>
            </w:r>
            <w:r>
              <w:rPr>
                <w:rFonts w:hint="eastAsia" w:ascii="仿宋" w:hAnsi="仿宋" w:eastAsia="仿宋"/>
                <w:spacing w:val="-4"/>
                <w:szCs w:val="21"/>
                <w:lang w:bidi="ar"/>
              </w:rPr>
              <w:t>类比例</w:t>
            </w:r>
          </w:p>
        </w:tc>
        <w:tc>
          <w:tcPr>
            <w:tcW w:w="78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restart"/>
            <w:tcBorders>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6</w:t>
            </w:r>
          </w:p>
        </w:tc>
        <w:tc>
          <w:tcPr>
            <w:tcW w:w="1013" w:type="dxa"/>
            <w:vMerge w:val="restart"/>
            <w:tcBorders>
              <w:left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城乡环境治理</w:t>
            </w: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城市生活污水集中收集率</w:t>
            </w:r>
          </w:p>
        </w:tc>
        <w:tc>
          <w:tcPr>
            <w:tcW w:w="783" w:type="dxa"/>
            <w:vMerge w:val="restart"/>
            <w:tcBorders>
              <w:left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≥7</w:t>
            </w:r>
            <w:r>
              <w:rPr>
                <w:rFonts w:ascii="仿宋" w:hAnsi="仿宋" w:eastAsia="仿宋"/>
                <w:szCs w:val="21"/>
                <w:lang w:bidi="ar"/>
              </w:rPr>
              <w:t>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lang w:bidi="ar"/>
              </w:rPr>
            </w:pPr>
            <w:r>
              <w:rPr>
                <w:rFonts w:hint="eastAsia" w:ascii="仿宋" w:hAnsi="仿宋" w:eastAsia="仿宋"/>
                <w:b w:val="0"/>
                <w:bCs w:val="0"/>
                <w:color w:val="auto"/>
                <w:szCs w:val="21"/>
                <w:lang w:bidi="ar"/>
              </w:rPr>
              <w:t>暂无数据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≥7</w:t>
            </w:r>
            <w:r>
              <w:rPr>
                <w:rFonts w:ascii="仿宋" w:hAnsi="仿宋" w:eastAsia="仿宋"/>
                <w:szCs w:val="21"/>
                <w:lang w:bidi="ar"/>
              </w:rPr>
              <w:t>0</w:t>
            </w:r>
            <w:r>
              <w:rPr>
                <w:rFonts w:hint="eastAsia" w:ascii="仿宋" w:hAnsi="仿宋" w:eastAsia="仿宋"/>
                <w:szCs w:val="21"/>
                <w:lang w:bidi="ar"/>
              </w:rPr>
              <w:t>且城市生活污水处理率稳步提升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≥7</w:t>
            </w:r>
            <w:r>
              <w:rPr>
                <w:rFonts w:ascii="仿宋" w:hAnsi="仿宋" w:eastAsia="仿宋"/>
                <w:szCs w:val="21"/>
                <w:lang w:bidi="ar"/>
              </w:rPr>
              <w:t>0</w:t>
            </w:r>
            <w:r>
              <w:rPr>
                <w:rFonts w:hint="eastAsia" w:ascii="仿宋" w:hAnsi="仿宋" w:eastAsia="仿宋"/>
                <w:szCs w:val="21"/>
                <w:lang w:bidi="ar"/>
              </w:rPr>
              <w:t>且城市生活污水处理率稳步提升</w:t>
            </w:r>
          </w:p>
        </w:tc>
        <w:tc>
          <w:tcPr>
            <w:tcW w:w="87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地级及以上城市建成区黑臭水体消除率</w:t>
            </w:r>
          </w:p>
        </w:tc>
        <w:tc>
          <w:tcPr>
            <w:tcW w:w="783"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87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城市生活垃圾回收利用率</w:t>
            </w:r>
          </w:p>
        </w:tc>
        <w:tc>
          <w:tcPr>
            <w:tcW w:w="783"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≥3</w:t>
            </w:r>
            <w:r>
              <w:rPr>
                <w:rFonts w:ascii="仿宋" w:hAnsi="仿宋" w:eastAsia="仿宋"/>
                <w:szCs w:val="21"/>
                <w:lang w:bidi="ar"/>
              </w:rPr>
              <w:t>5</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4</w:t>
            </w:r>
            <w:r>
              <w:rPr>
                <w:rFonts w:ascii="仿宋" w:hAnsi="仿宋" w:eastAsia="仿宋"/>
                <w:szCs w:val="21"/>
                <w:lang w:bidi="ar"/>
              </w:rPr>
              <w:t>0.4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1013" w:type="dxa"/>
            <w:vMerge w:val="continue"/>
            <w:tcBorders>
              <w:left w:val="single" w:color="auto" w:sz="4" w:space="0"/>
              <w:right w:val="single" w:color="auto" w:sz="4" w:space="0"/>
            </w:tcBorders>
            <w:vAlign w:val="center"/>
          </w:tcPr>
          <w:p>
            <w:pPr>
              <w:jc w:val="left"/>
              <w:rPr>
                <w:rFonts w:ascii="仿宋" w:hAnsi="仿宋" w:eastAsia="仿宋"/>
                <w:szCs w:val="21"/>
                <w:lang w:bidi="ar"/>
              </w:rPr>
            </w:pPr>
          </w:p>
        </w:tc>
        <w:tc>
          <w:tcPr>
            <w:tcW w:w="2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val="0"/>
                <w:bCs w:val="0"/>
                <w:spacing w:val="-4"/>
                <w:szCs w:val="21"/>
                <w:lang w:bidi="ar"/>
              </w:rPr>
            </w:pPr>
            <w:r>
              <w:rPr>
                <w:rFonts w:hint="eastAsia" w:ascii="仿宋" w:hAnsi="仿宋" w:eastAsia="仿宋"/>
                <w:b w:val="0"/>
                <w:bCs w:val="0"/>
                <w:spacing w:val="-4"/>
                <w:szCs w:val="21"/>
                <w:lang w:bidi="ar"/>
              </w:rPr>
              <w:t>声环境功能区夜间达标率</w:t>
            </w:r>
          </w:p>
        </w:tc>
        <w:tc>
          <w:tcPr>
            <w:tcW w:w="783" w:type="dxa"/>
            <w:vMerge w:val="continue"/>
            <w:tcBorders>
              <w:left w:val="single" w:color="auto" w:sz="4" w:space="0"/>
              <w:right w:val="single" w:color="auto" w:sz="4" w:space="0"/>
            </w:tcBorders>
            <w:vAlign w:val="center"/>
          </w:tcPr>
          <w:p>
            <w:pPr>
              <w:jc w:val="center"/>
              <w:rPr>
                <w:rFonts w:ascii="仿宋" w:hAnsi="仿宋" w:eastAsia="仿宋"/>
                <w:b w:val="0"/>
                <w:bCs w:val="0"/>
                <w:szCs w:val="21"/>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szCs w:val="21"/>
                <w:lang w:bidi="ar"/>
              </w:rPr>
            </w:pPr>
            <w:r>
              <w:rPr>
                <w:rFonts w:hint="eastAsia" w:ascii="仿宋" w:hAnsi="仿宋" w:eastAsia="仿宋"/>
                <w:b w:val="0"/>
                <w:bCs w:val="0"/>
                <w:szCs w:val="21"/>
                <w:lang w:bidi="ar"/>
              </w:rPr>
              <w:t>≥8</w:t>
            </w:r>
            <w:r>
              <w:rPr>
                <w:rFonts w:ascii="仿宋" w:hAnsi="仿宋" w:eastAsia="仿宋"/>
                <w:b w:val="0"/>
                <w:bCs w:val="0"/>
                <w:szCs w:val="21"/>
                <w:lang w:bidi="ar"/>
              </w:rPr>
              <w:t>5</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szCs w:val="21"/>
                <w:lang w:bidi="ar"/>
              </w:rPr>
            </w:pPr>
            <w:r>
              <w:rPr>
                <w:rFonts w:hint="eastAsia" w:ascii="仿宋" w:hAnsi="仿宋" w:eastAsia="仿宋"/>
                <w:b w:val="0"/>
                <w:bCs w:val="0"/>
                <w:color w:val="auto"/>
                <w:szCs w:val="21"/>
                <w:lang w:bidi="ar"/>
              </w:rPr>
              <w:t>暂无数据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≥8</w:t>
            </w:r>
            <w:r>
              <w:rPr>
                <w:rFonts w:ascii="仿宋" w:hAnsi="仿宋" w:eastAsia="仿宋"/>
                <w:szCs w:val="21"/>
                <w:lang w:bidi="ar"/>
              </w:rPr>
              <w:t>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≥8</w:t>
            </w:r>
            <w:r>
              <w:rPr>
                <w:rFonts w:ascii="仿宋" w:hAnsi="仿宋" w:eastAsia="仿宋"/>
                <w:szCs w:val="21"/>
                <w:lang w:bidi="ar"/>
              </w:rPr>
              <w:t>5</w:t>
            </w:r>
          </w:p>
        </w:tc>
        <w:tc>
          <w:tcPr>
            <w:tcW w:w="87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bookmarkStart w:id="109" w:name="_Hlk164029525"/>
            <w:r>
              <w:rPr>
                <w:rFonts w:ascii="仿宋" w:hAnsi="仿宋" w:eastAsia="仿宋"/>
                <w:szCs w:val="21"/>
                <w:lang w:bidi="ar"/>
              </w:rPr>
              <w:t>（三）</w:t>
            </w:r>
          </w:p>
          <w:p>
            <w:pPr>
              <w:jc w:val="center"/>
              <w:rPr>
                <w:rFonts w:ascii="仿宋" w:hAnsi="仿宋" w:eastAsia="仿宋"/>
                <w:szCs w:val="21"/>
              </w:rPr>
            </w:pPr>
            <w:r>
              <w:rPr>
                <w:rFonts w:ascii="仿宋" w:hAnsi="仿宋" w:eastAsia="仿宋"/>
                <w:szCs w:val="21"/>
                <w:lang w:bidi="ar"/>
              </w:rPr>
              <w:t>生态</w:t>
            </w:r>
            <w:r>
              <w:rPr>
                <w:rFonts w:hint="eastAsia" w:ascii="仿宋" w:hAnsi="仿宋" w:eastAsia="仿宋"/>
                <w:szCs w:val="21"/>
                <w:lang w:bidi="ar"/>
              </w:rPr>
              <w:t>质量提升</w:t>
            </w:r>
            <w:bookmarkEnd w:id="109"/>
          </w:p>
        </w:tc>
        <w:tc>
          <w:tcPr>
            <w:tcW w:w="54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019" w:type="dxa"/>
            <w:gridSpan w:val="2"/>
            <w:vMerge w:val="restart"/>
            <w:tcBorders>
              <w:top w:val="single" w:color="auto" w:sz="4" w:space="0"/>
              <w:left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区域生态保护监管</w:t>
            </w:r>
          </w:p>
        </w:tc>
        <w:tc>
          <w:tcPr>
            <w:tcW w:w="20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生态</w:t>
            </w:r>
            <w:r>
              <w:rPr>
                <w:rFonts w:hint="eastAsia" w:ascii="仿宋" w:hAnsi="仿宋" w:eastAsia="仿宋"/>
                <w:szCs w:val="21"/>
                <w:lang w:bidi="ar"/>
              </w:rPr>
              <w:t>质量</w:t>
            </w:r>
            <w:r>
              <w:rPr>
                <w:rFonts w:ascii="仿宋" w:hAnsi="仿宋" w:eastAsia="仿宋"/>
                <w:szCs w:val="21"/>
                <w:lang w:bidi="ar"/>
              </w:rPr>
              <w:t>指数</w:t>
            </w:r>
            <w:r>
              <w:rPr>
                <w:rFonts w:hint="eastAsia" w:ascii="仿宋" w:hAnsi="仿宋" w:eastAsia="仿宋"/>
                <w:szCs w:val="21"/>
                <w:lang w:bidi="ar"/>
              </w:rPr>
              <w:t>（EQI）</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Δ</w:t>
            </w:r>
            <w:r>
              <w:rPr>
                <w:rFonts w:ascii="仿宋" w:hAnsi="仿宋" w:eastAsia="仿宋"/>
                <w:szCs w:val="21"/>
                <w:lang w:bidi="ar"/>
              </w:rPr>
              <w:t>EQI</w:t>
            </w:r>
            <w:r>
              <w:rPr>
                <w:rFonts w:ascii="Times New Roman" w:hAnsi="Times New Roman" w:eastAsia="仿宋" w:cs="Times New Roman"/>
                <w:szCs w:val="21"/>
                <w:lang w:bidi="ar"/>
              </w:rPr>
              <w:t>&gt;</w:t>
            </w:r>
            <w:r>
              <w:rPr>
                <w:rFonts w:ascii="仿宋" w:hAnsi="仿宋" w:eastAsia="仿宋"/>
                <w:szCs w:val="21"/>
                <w:lang w:bidi="ar"/>
              </w:rPr>
              <w:t>-1</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ΔEI为0</w:t>
            </w:r>
            <w:r>
              <w:rPr>
                <w:rFonts w:ascii="仿宋" w:hAnsi="仿宋" w:eastAsia="仿宋"/>
                <w:szCs w:val="21"/>
                <w:lang w:bidi="ar"/>
              </w:rPr>
              <w:t>.1</w:t>
            </w:r>
            <w:r>
              <w:rPr>
                <w:rFonts w:hint="eastAsia" w:ascii="仿宋" w:hAnsi="仿宋" w:eastAsia="仿宋"/>
                <w:szCs w:val="21"/>
                <w:lang w:bidi="ar"/>
              </w:rPr>
              <w:t>（2</w:t>
            </w:r>
            <w:r>
              <w:rPr>
                <w:rFonts w:ascii="仿宋" w:hAnsi="仿宋" w:eastAsia="仿宋"/>
                <w:szCs w:val="21"/>
                <w:lang w:bidi="ar"/>
              </w:rPr>
              <w:t>021</w:t>
            </w:r>
            <w:r>
              <w:rPr>
                <w:rFonts w:hint="eastAsia" w:ascii="仿宋" w:hAnsi="仿宋" w:eastAsia="仿宋"/>
                <w:szCs w:val="21"/>
                <w:lang w:bidi="ar"/>
              </w:rPr>
              <w:t>年、2</w:t>
            </w:r>
            <w:r>
              <w:rPr>
                <w:rFonts w:ascii="仿宋" w:hAnsi="仿宋" w:eastAsia="仿宋"/>
                <w:szCs w:val="21"/>
                <w:lang w:bidi="ar"/>
              </w:rPr>
              <w:t>022</w:t>
            </w:r>
            <w:r>
              <w:rPr>
                <w:rFonts w:hint="eastAsia" w:ascii="仿宋" w:hAnsi="仿宋" w:eastAsia="仿宋"/>
                <w:szCs w:val="21"/>
                <w:lang w:bidi="ar"/>
              </w:rPr>
              <w:t>年生态环境质量指数分别为6</w:t>
            </w:r>
            <w:r>
              <w:rPr>
                <w:rFonts w:ascii="仿宋" w:hAnsi="仿宋" w:eastAsia="仿宋"/>
                <w:szCs w:val="21"/>
                <w:lang w:bidi="ar"/>
              </w:rPr>
              <w:t>7.9</w:t>
            </w:r>
            <w:r>
              <w:rPr>
                <w:rFonts w:hint="eastAsia" w:ascii="仿宋" w:hAnsi="仿宋" w:eastAsia="仿宋"/>
                <w:szCs w:val="21"/>
                <w:lang w:bidi="ar"/>
              </w:rPr>
              <w:t>、6</w:t>
            </w:r>
            <w:r>
              <w:rPr>
                <w:rFonts w:ascii="仿宋" w:hAnsi="仿宋" w:eastAsia="仿宋"/>
                <w:szCs w:val="21"/>
                <w:lang w:bidi="ar"/>
              </w:rPr>
              <w:t>8.0</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Δ</w:t>
            </w:r>
            <w:r>
              <w:rPr>
                <w:rFonts w:ascii="仿宋" w:hAnsi="仿宋" w:eastAsia="仿宋"/>
                <w:szCs w:val="21"/>
                <w:lang w:bidi="ar"/>
              </w:rPr>
              <w:t>EQI</w:t>
            </w:r>
            <w:r>
              <w:rPr>
                <w:rFonts w:ascii="Times New Roman" w:hAnsi="Times New Roman" w:eastAsia="仿宋" w:cs="Times New Roman"/>
                <w:szCs w:val="21"/>
                <w:lang w:bidi="ar"/>
              </w:rPr>
              <w:t>&gt;</w:t>
            </w:r>
            <w:r>
              <w:rPr>
                <w:rFonts w:ascii="仿宋" w:hAnsi="仿宋" w:eastAsia="仿宋"/>
                <w:szCs w:val="21"/>
                <w:lang w:bidi="ar"/>
              </w:rPr>
              <w:t>-1</w:t>
            </w:r>
            <w:r>
              <w:rPr>
                <w:rFonts w:hint="eastAsia" w:ascii="仿宋" w:hAnsi="仿宋" w:eastAsia="仿宋"/>
                <w:szCs w:val="21"/>
                <w:lang w:bidi="ar"/>
              </w:rPr>
              <w:t>且</w:t>
            </w:r>
            <w:r>
              <w:rPr>
                <w:rFonts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Δ</w:t>
            </w:r>
            <w:r>
              <w:rPr>
                <w:rFonts w:ascii="仿宋" w:hAnsi="仿宋" w:eastAsia="仿宋"/>
                <w:szCs w:val="21"/>
                <w:lang w:bidi="ar"/>
              </w:rPr>
              <w:t>EQI</w:t>
            </w:r>
            <w:r>
              <w:rPr>
                <w:rFonts w:ascii="Times New Roman" w:hAnsi="Times New Roman" w:eastAsia="仿宋" w:cs="Times New Roman"/>
                <w:szCs w:val="21"/>
                <w:lang w:bidi="ar"/>
              </w:rPr>
              <w:t>&gt;</w:t>
            </w:r>
            <w:r>
              <w:rPr>
                <w:rFonts w:ascii="仿宋" w:hAnsi="仿宋" w:eastAsia="仿宋"/>
                <w:szCs w:val="21"/>
                <w:lang w:bidi="ar"/>
              </w:rPr>
              <w:t>-1</w:t>
            </w:r>
            <w:r>
              <w:rPr>
                <w:rFonts w:hint="eastAsia" w:ascii="仿宋" w:hAnsi="仿宋" w:eastAsia="仿宋"/>
                <w:szCs w:val="21"/>
                <w:lang w:bidi="ar"/>
              </w:rPr>
              <w:t>且</w:t>
            </w:r>
            <w:r>
              <w:rPr>
                <w:rFonts w:ascii="仿宋" w:hAnsi="仿宋" w:eastAsia="仿宋"/>
                <w:szCs w:val="21"/>
                <w:lang w:bidi="ar"/>
              </w:rPr>
              <w:t>稳步提升</w:t>
            </w:r>
          </w:p>
        </w:tc>
        <w:tc>
          <w:tcPr>
            <w:tcW w:w="87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1019" w:type="dxa"/>
            <w:gridSpan w:val="2"/>
            <w:vMerge w:val="continue"/>
            <w:tcBorders>
              <w:top w:val="single" w:color="auto" w:sz="4" w:space="0"/>
              <w:left w:val="single" w:color="auto" w:sz="4" w:space="0"/>
              <w:right w:val="single" w:color="auto" w:sz="4" w:space="0"/>
            </w:tcBorders>
            <w:vAlign w:val="center"/>
          </w:tcPr>
          <w:p>
            <w:pPr>
              <w:jc w:val="left"/>
              <w:rPr>
                <w:rFonts w:ascii="仿宋" w:hAnsi="仿宋" w:eastAsia="仿宋"/>
                <w:szCs w:val="21"/>
                <w:lang w:bidi="ar"/>
              </w:rPr>
            </w:pPr>
          </w:p>
        </w:tc>
        <w:tc>
          <w:tcPr>
            <w:tcW w:w="20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生态保护红线</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pacing w:val="-6"/>
                <w:szCs w:val="21"/>
                <w:lang w:val="zh-CN" w:bidi="ar"/>
              </w:rPr>
              <w:t>生态</w:t>
            </w:r>
            <w:r>
              <w:rPr>
                <w:rFonts w:ascii="仿宋" w:hAnsi="仿宋" w:eastAsia="仿宋"/>
                <w:spacing w:val="-6"/>
                <w:szCs w:val="21"/>
                <w:lang w:val="zh-CN" w:bidi="ar"/>
              </w:rPr>
              <w:t>功能</w:t>
            </w:r>
            <w:r>
              <w:rPr>
                <w:rFonts w:ascii="仿宋" w:hAnsi="仿宋" w:eastAsia="仿宋"/>
                <w:spacing w:val="-6"/>
                <w:szCs w:val="21"/>
                <w:lang w:bidi="ar"/>
              </w:rPr>
              <w:t>不降低</w:t>
            </w:r>
            <w:r>
              <w:rPr>
                <w:rFonts w:hint="eastAsia" w:ascii="仿宋" w:hAnsi="仿宋" w:eastAsia="仿宋"/>
                <w:spacing w:val="-6"/>
                <w:szCs w:val="21"/>
                <w:lang w:bidi="ar"/>
              </w:rPr>
              <w:t>、</w:t>
            </w:r>
            <w:r>
              <w:rPr>
                <w:rFonts w:ascii="仿宋" w:hAnsi="仿宋" w:eastAsia="仿宋"/>
                <w:spacing w:val="-6"/>
                <w:szCs w:val="21"/>
                <w:lang w:val="zh-CN" w:bidi="ar"/>
              </w:rPr>
              <w:t>性质不改变</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pacing w:val="-6"/>
                <w:szCs w:val="21"/>
                <w:lang w:val="zh-CN" w:bidi="ar"/>
              </w:rPr>
              <w:t>生态</w:t>
            </w:r>
            <w:r>
              <w:rPr>
                <w:rFonts w:ascii="仿宋" w:hAnsi="仿宋" w:eastAsia="仿宋"/>
                <w:spacing w:val="-6"/>
                <w:szCs w:val="21"/>
                <w:lang w:val="zh-CN" w:bidi="ar"/>
              </w:rPr>
              <w:t>功能</w:t>
            </w:r>
            <w:r>
              <w:rPr>
                <w:rFonts w:ascii="仿宋" w:hAnsi="仿宋" w:eastAsia="仿宋"/>
                <w:spacing w:val="-6"/>
                <w:szCs w:val="21"/>
                <w:lang w:bidi="ar"/>
              </w:rPr>
              <w:t>不降低</w:t>
            </w:r>
            <w:r>
              <w:rPr>
                <w:rFonts w:hint="eastAsia" w:ascii="仿宋" w:hAnsi="仿宋" w:eastAsia="仿宋"/>
                <w:spacing w:val="-6"/>
                <w:szCs w:val="21"/>
                <w:lang w:bidi="ar"/>
              </w:rPr>
              <w:t>、</w:t>
            </w:r>
            <w:r>
              <w:rPr>
                <w:rFonts w:ascii="仿宋" w:hAnsi="仿宋" w:eastAsia="仿宋"/>
                <w:spacing w:val="-6"/>
                <w:szCs w:val="21"/>
                <w:lang w:val="zh-CN" w:bidi="ar"/>
              </w:rPr>
              <w:t>性质不改变</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pacing w:val="-6"/>
                <w:szCs w:val="21"/>
                <w:lang w:val="zh-CN" w:bidi="ar"/>
              </w:rPr>
              <w:t>生态</w:t>
            </w:r>
            <w:r>
              <w:rPr>
                <w:rFonts w:ascii="仿宋" w:hAnsi="仿宋" w:eastAsia="仿宋"/>
                <w:spacing w:val="-6"/>
                <w:szCs w:val="21"/>
                <w:lang w:val="zh-CN" w:bidi="ar"/>
              </w:rPr>
              <w:t>功能</w:t>
            </w:r>
            <w:r>
              <w:rPr>
                <w:rFonts w:ascii="仿宋" w:hAnsi="仿宋" w:eastAsia="仿宋"/>
                <w:spacing w:val="-6"/>
                <w:szCs w:val="21"/>
                <w:lang w:bidi="ar"/>
              </w:rPr>
              <w:t>不降低</w:t>
            </w:r>
            <w:r>
              <w:rPr>
                <w:rFonts w:hint="eastAsia" w:ascii="仿宋" w:hAnsi="仿宋" w:eastAsia="仿宋"/>
                <w:spacing w:val="-6"/>
                <w:szCs w:val="21"/>
                <w:lang w:bidi="ar"/>
              </w:rPr>
              <w:t>、</w:t>
            </w:r>
            <w:r>
              <w:rPr>
                <w:rFonts w:ascii="仿宋" w:hAnsi="仿宋" w:eastAsia="仿宋"/>
                <w:spacing w:val="-6"/>
                <w:szCs w:val="21"/>
                <w:lang w:val="zh-CN" w:bidi="ar"/>
              </w:rPr>
              <w:t>性质不改变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pacing w:val="-6"/>
                <w:szCs w:val="21"/>
                <w:lang w:val="zh-CN" w:bidi="ar"/>
              </w:rPr>
              <w:t>生态</w:t>
            </w:r>
            <w:r>
              <w:rPr>
                <w:rFonts w:ascii="仿宋" w:hAnsi="仿宋" w:eastAsia="仿宋"/>
                <w:spacing w:val="-6"/>
                <w:szCs w:val="21"/>
                <w:lang w:val="zh-CN" w:bidi="ar"/>
              </w:rPr>
              <w:t>功能</w:t>
            </w:r>
            <w:r>
              <w:rPr>
                <w:rFonts w:ascii="仿宋" w:hAnsi="仿宋" w:eastAsia="仿宋"/>
                <w:spacing w:val="-6"/>
                <w:szCs w:val="21"/>
                <w:lang w:bidi="ar"/>
              </w:rPr>
              <w:t>不降低</w:t>
            </w:r>
            <w:r>
              <w:rPr>
                <w:rFonts w:hint="eastAsia" w:ascii="仿宋" w:hAnsi="仿宋" w:eastAsia="仿宋"/>
                <w:spacing w:val="-6"/>
                <w:szCs w:val="21"/>
                <w:lang w:bidi="ar"/>
              </w:rPr>
              <w:t>、</w:t>
            </w:r>
            <w:r>
              <w:rPr>
                <w:rFonts w:ascii="仿宋" w:hAnsi="仿宋" w:eastAsia="仿宋"/>
                <w:spacing w:val="-6"/>
                <w:szCs w:val="21"/>
                <w:lang w:val="zh-CN" w:bidi="ar"/>
              </w:rPr>
              <w:t>性质不改变</w:t>
            </w:r>
          </w:p>
        </w:tc>
        <w:tc>
          <w:tcPr>
            <w:tcW w:w="87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1019" w:type="dxa"/>
            <w:gridSpan w:val="2"/>
            <w:vMerge w:val="continue"/>
            <w:tcBorders>
              <w:top w:val="single" w:color="auto" w:sz="4" w:space="0"/>
              <w:left w:val="single" w:color="auto" w:sz="4" w:space="0"/>
              <w:right w:val="single" w:color="auto" w:sz="4" w:space="0"/>
            </w:tcBorders>
            <w:vAlign w:val="center"/>
          </w:tcPr>
          <w:p>
            <w:pPr>
              <w:jc w:val="left"/>
              <w:rPr>
                <w:rFonts w:ascii="仿宋" w:hAnsi="仿宋" w:eastAsia="仿宋"/>
                <w:szCs w:val="21"/>
                <w:lang w:bidi="ar"/>
              </w:rPr>
            </w:pPr>
          </w:p>
        </w:tc>
        <w:tc>
          <w:tcPr>
            <w:tcW w:w="20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自然保护地和生态保护红线生态环境重点问题整改率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871"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019" w:type="dxa"/>
            <w:gridSpan w:val="2"/>
            <w:vMerge w:val="continue"/>
            <w:tcBorders>
              <w:left w:val="single" w:color="auto" w:sz="4" w:space="0"/>
              <w:bottom w:val="single" w:color="auto" w:sz="4" w:space="0"/>
              <w:right w:val="single" w:color="auto" w:sz="4" w:space="0"/>
            </w:tcBorders>
            <w:vAlign w:val="center"/>
          </w:tcPr>
          <w:p>
            <w:pPr>
              <w:jc w:val="left"/>
              <w:rPr>
                <w:rFonts w:ascii="仿宋" w:hAnsi="仿宋" w:eastAsia="仿宋"/>
                <w:szCs w:val="21"/>
                <w:lang w:bidi="ar"/>
              </w:rPr>
            </w:pPr>
          </w:p>
        </w:tc>
        <w:tc>
          <w:tcPr>
            <w:tcW w:w="20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生物多样性调查</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开展</w:t>
            </w:r>
          </w:p>
        </w:tc>
        <w:tc>
          <w:tcPr>
            <w:tcW w:w="87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rPr>
              <w:t>8</w:t>
            </w:r>
          </w:p>
        </w:tc>
        <w:tc>
          <w:tcPr>
            <w:tcW w:w="1019" w:type="dxa"/>
            <w:gridSpan w:val="2"/>
            <w:tcBorders>
              <w:left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生态系统保护修复</w:t>
            </w:r>
          </w:p>
        </w:tc>
        <w:tc>
          <w:tcPr>
            <w:tcW w:w="20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森林覆盖率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保持稳定或持续改善</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保持稳定（3</w:t>
            </w:r>
            <w:r>
              <w:rPr>
                <w:rFonts w:ascii="仿宋" w:hAnsi="仿宋" w:eastAsia="仿宋"/>
                <w:szCs w:val="21"/>
                <w:lang w:bidi="ar"/>
              </w:rPr>
              <w:t>1.63%</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持续改善</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bookmarkStart w:id="110" w:name="_Hlk164029327"/>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9</w:t>
            </w:r>
          </w:p>
        </w:tc>
        <w:tc>
          <w:tcPr>
            <w:tcW w:w="3045" w:type="dxa"/>
            <w:gridSpan w:val="3"/>
            <w:tcBorders>
              <w:left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绿视率*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保持稳定或持续提高</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28.59</w:t>
            </w:r>
            <w:r>
              <w:rPr>
                <w:rFonts w:hint="eastAsia" w:ascii="仿宋" w:hAnsi="仿宋" w:eastAsia="仿宋"/>
                <w:szCs w:val="21"/>
                <w:lang w:bidi="ar"/>
              </w:rPr>
              <w:t>（2</w:t>
            </w:r>
            <w:r>
              <w:rPr>
                <w:rFonts w:ascii="仿宋" w:hAnsi="仿宋" w:eastAsia="仿宋"/>
                <w:szCs w:val="21"/>
                <w:lang w:bidi="ar"/>
              </w:rPr>
              <w:t>023</w:t>
            </w:r>
            <w:r>
              <w:rPr>
                <w:rFonts w:hint="eastAsia" w:ascii="仿宋" w:hAnsi="仿宋" w:eastAsia="仿宋"/>
                <w:szCs w:val="21"/>
                <w:lang w:bidi="ar"/>
              </w:rPr>
              <w:t>年绿视率数据，超全市平均水平2</w:t>
            </w:r>
            <w:r>
              <w:rPr>
                <w:rFonts w:ascii="仿宋" w:hAnsi="仿宋" w:eastAsia="仿宋"/>
                <w:szCs w:val="21"/>
                <w:lang w:bidi="ar"/>
              </w:rPr>
              <w:t>6.96%</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3045" w:type="dxa"/>
            <w:gridSpan w:val="3"/>
            <w:tcBorders>
              <w:left w:val="single" w:color="auto" w:sz="4" w:space="0"/>
              <w:right w:val="single" w:color="auto" w:sz="4" w:space="0"/>
            </w:tcBorders>
            <w:vAlign w:val="center"/>
          </w:tcPr>
          <w:p>
            <w:pPr>
              <w:jc w:val="left"/>
              <w:rPr>
                <w:rFonts w:ascii="仿宋" w:hAnsi="仿宋" w:eastAsia="仿宋"/>
                <w:color w:val="auto"/>
                <w:szCs w:val="21"/>
                <w:lang w:bidi="ar"/>
              </w:rPr>
            </w:pPr>
            <w:r>
              <w:rPr>
                <w:rFonts w:hint="eastAsia" w:ascii="仿宋" w:hAnsi="仿宋" w:eastAsia="仿宋"/>
                <w:color w:val="auto"/>
                <w:szCs w:val="21"/>
                <w:lang w:bidi="ar"/>
              </w:rPr>
              <w:t>河湖</w:t>
            </w:r>
            <w:r>
              <w:rPr>
                <w:rFonts w:ascii="仿宋" w:hAnsi="仿宋" w:eastAsia="仿宋"/>
                <w:color w:val="auto"/>
                <w:szCs w:val="21"/>
                <w:lang w:bidi="ar"/>
              </w:rPr>
              <w:t>岸线保有率</w:t>
            </w:r>
            <w:r>
              <w:rPr>
                <w:rFonts w:hint="eastAsia" w:ascii="仿宋" w:hAnsi="仿宋" w:eastAsia="仿宋"/>
                <w:color w:val="auto"/>
                <w:szCs w:val="21"/>
                <w:lang w:bidi="ar"/>
              </w:rPr>
              <w:t>*</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保持稳定或稳步提升</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b w:val="0"/>
                <w:bCs w:val="0"/>
                <w:color w:val="auto"/>
                <w:szCs w:val="21"/>
                <w:lang w:bidi="ar"/>
              </w:rPr>
              <w:t>暂无数据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稳定提升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11</w:t>
            </w:r>
          </w:p>
        </w:tc>
        <w:tc>
          <w:tcPr>
            <w:tcW w:w="3045" w:type="dxa"/>
            <w:gridSpan w:val="3"/>
            <w:tcBorders>
              <w:left w:val="single" w:color="auto" w:sz="4" w:space="0"/>
              <w:right w:val="single" w:color="auto" w:sz="4" w:space="0"/>
            </w:tcBorders>
            <w:vAlign w:val="center"/>
          </w:tcPr>
          <w:p>
            <w:pPr>
              <w:jc w:val="left"/>
              <w:rPr>
                <w:rFonts w:ascii="仿宋" w:hAnsi="仿宋" w:eastAsia="仿宋"/>
                <w:color w:val="auto"/>
                <w:szCs w:val="21"/>
                <w:lang w:bidi="ar"/>
              </w:rPr>
            </w:pPr>
            <w:r>
              <w:rPr>
                <w:rFonts w:hint="eastAsia" w:ascii="仿宋" w:hAnsi="仿宋" w:eastAsia="仿宋"/>
                <w:color w:val="auto"/>
                <w:szCs w:val="21"/>
                <w:lang w:bidi="ar"/>
              </w:rPr>
              <w:t>生态系统调节服务价值（</w:t>
            </w:r>
            <w:r>
              <w:rPr>
                <w:rFonts w:ascii="仿宋" w:hAnsi="仿宋" w:eastAsia="仿宋"/>
                <w:color w:val="auto"/>
                <w:szCs w:val="21"/>
                <w:lang w:bidi="ar"/>
              </w:rPr>
              <w:t>GEP</w:t>
            </w:r>
            <w:r>
              <w:rPr>
                <w:rFonts w:hint="eastAsia" w:ascii="仿宋" w:hAnsi="仿宋" w:eastAsia="仿宋"/>
                <w:color w:val="auto"/>
                <w:szCs w:val="21"/>
                <w:lang w:bidi="ar"/>
              </w:rPr>
              <w:t>-R）*</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亿元</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保持稳定或稳步提升</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auto"/>
                <w:szCs w:val="21"/>
                <w:lang w:val="en-US" w:eastAsia="zh-CN" w:bidi="ar"/>
              </w:rPr>
            </w:pPr>
            <w:r>
              <w:rPr>
                <w:rFonts w:hint="eastAsia" w:ascii="仿宋" w:hAnsi="仿宋" w:eastAsia="仿宋"/>
                <w:b w:val="0"/>
                <w:bCs w:val="0"/>
                <w:color w:val="auto"/>
                <w:szCs w:val="21"/>
                <w:lang w:val="en-US" w:eastAsia="zh-CN" w:bidi="ar"/>
              </w:rPr>
              <w:t>187.6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稳定提升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bookmark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（四）</w:t>
            </w:r>
          </w:p>
          <w:p>
            <w:pPr>
              <w:jc w:val="center"/>
              <w:rPr>
                <w:rFonts w:ascii="仿宋" w:hAnsi="仿宋" w:eastAsia="仿宋"/>
                <w:szCs w:val="21"/>
              </w:rPr>
            </w:pPr>
            <w:r>
              <w:rPr>
                <w:rFonts w:ascii="仿宋" w:hAnsi="仿宋" w:eastAsia="仿宋"/>
                <w:szCs w:val="21"/>
                <w:lang w:bidi="ar"/>
              </w:rPr>
              <w:t>生态环境风险防范</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12</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lang w:bidi="ar"/>
              </w:rPr>
              <w:t>受污染耕地安全利用率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≥9</w:t>
            </w:r>
            <w:r>
              <w:rPr>
                <w:rFonts w:ascii="仿宋" w:hAnsi="仿宋" w:eastAsia="仿宋"/>
                <w:szCs w:val="21"/>
                <w:lang w:bidi="ar"/>
              </w:rPr>
              <w:t>3</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13</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重点建设用地安全利用</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有效保障</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有效保障（重点建设用地安全利用率</w:t>
            </w:r>
            <w:r>
              <w:rPr>
                <w:rFonts w:ascii="仿宋" w:hAnsi="仿宋" w:eastAsia="仿宋"/>
                <w:szCs w:val="21"/>
                <w:lang w:bidi="ar"/>
              </w:rPr>
              <w:t>100%）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有效保障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有效保障</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4</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外来物种入侵防控</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有效开展</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有效开展</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有效开展</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有效开展</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5</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突发生态环境事件应急管理机制</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建立</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生态</w:t>
            </w:r>
          </w:p>
          <w:p>
            <w:pPr>
              <w:jc w:val="center"/>
              <w:rPr>
                <w:rFonts w:ascii="仿宋" w:hAnsi="仿宋" w:eastAsia="仿宋"/>
                <w:szCs w:val="21"/>
              </w:rPr>
            </w:pPr>
            <w:r>
              <w:rPr>
                <w:rFonts w:ascii="仿宋" w:hAnsi="仿宋" w:eastAsia="仿宋"/>
                <w:szCs w:val="21"/>
                <w:lang w:bidi="ar"/>
              </w:rPr>
              <w:t>经济</w:t>
            </w: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r>
              <w:rPr>
                <w:rFonts w:hint="eastAsia" w:ascii="仿宋" w:hAnsi="仿宋" w:eastAsia="仿宋"/>
                <w:szCs w:val="21"/>
                <w:lang w:bidi="ar"/>
              </w:rPr>
              <w:t>五</w:t>
            </w:r>
            <w:r>
              <w:rPr>
                <w:rFonts w:ascii="仿宋" w:hAnsi="仿宋" w:eastAsia="仿宋"/>
                <w:szCs w:val="21"/>
                <w:lang w:bidi="ar"/>
              </w:rPr>
              <w:t>）</w:t>
            </w:r>
          </w:p>
          <w:p>
            <w:pPr>
              <w:jc w:val="center"/>
              <w:rPr>
                <w:rFonts w:ascii="仿宋" w:hAnsi="仿宋" w:eastAsia="仿宋"/>
                <w:szCs w:val="21"/>
              </w:rPr>
            </w:pPr>
            <w:bookmarkStart w:id="111" w:name="_Hlk164029492"/>
            <w:r>
              <w:rPr>
                <w:rFonts w:hint="eastAsia" w:ascii="仿宋" w:hAnsi="仿宋" w:eastAsia="仿宋"/>
                <w:szCs w:val="21"/>
                <w:lang w:bidi="ar"/>
              </w:rPr>
              <w:t>节能减排降碳增效</w:t>
            </w:r>
            <w:bookmarkEnd w:id="111"/>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16</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非化石能源占能源消费总量比重</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w:t>
            </w:r>
            <w:r>
              <w:rPr>
                <w:rFonts w:ascii="仿宋" w:hAnsi="仿宋" w:eastAsia="仿宋"/>
                <w:szCs w:val="21"/>
                <w:lang w:bidi="ar"/>
              </w:rPr>
              <w:t>5</w:t>
            </w:r>
            <w:r>
              <w:rPr>
                <w:rFonts w:hint="eastAsia" w:ascii="仿宋" w:hAnsi="仿宋" w:eastAsia="仿宋"/>
                <w:szCs w:val="21"/>
                <w:lang w:bidi="ar"/>
              </w:rPr>
              <w:t>或持续提高</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持续提高（9.78）</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持续提高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持续提高</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17</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单位地区生产总值能耗</w:t>
            </w:r>
            <w:r>
              <w:rPr>
                <w:rFonts w:hint="eastAsia" w:ascii="仿宋" w:hAnsi="仿宋" w:eastAsia="仿宋"/>
                <w:szCs w:val="21"/>
                <w:lang w:bidi="ar"/>
              </w:rPr>
              <w:t>降低率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上级</w:t>
            </w:r>
            <w:r>
              <w:rPr>
                <w:rFonts w:hint="eastAsia" w:ascii="仿宋" w:hAnsi="仿宋" w:eastAsia="仿宋"/>
                <w:szCs w:val="21"/>
                <w:lang w:bidi="ar"/>
              </w:rPr>
              <w:t>未下达2</w:t>
            </w:r>
            <w:r>
              <w:rPr>
                <w:rFonts w:ascii="仿宋" w:hAnsi="仿宋" w:eastAsia="仿宋"/>
                <w:szCs w:val="21"/>
                <w:lang w:bidi="ar"/>
              </w:rPr>
              <w:t>022</w:t>
            </w:r>
            <w:r>
              <w:rPr>
                <w:rFonts w:hint="eastAsia" w:ascii="仿宋" w:hAnsi="仿宋" w:eastAsia="仿宋"/>
                <w:szCs w:val="21"/>
                <w:lang w:bidi="ar"/>
              </w:rPr>
              <w:t>年规定的考核</w:t>
            </w:r>
            <w:r>
              <w:rPr>
                <w:rFonts w:ascii="仿宋" w:hAnsi="仿宋" w:eastAsia="仿宋"/>
                <w:szCs w:val="21"/>
                <w:lang w:bidi="ar"/>
              </w:rPr>
              <w:t>任务</w:t>
            </w:r>
            <w:r>
              <w:rPr>
                <w:rFonts w:hint="eastAsia" w:ascii="仿宋" w:hAnsi="仿宋" w:eastAsia="仿宋"/>
                <w:szCs w:val="21"/>
                <w:lang w:bidi="ar"/>
              </w:rPr>
              <w:t>（1</w:t>
            </w:r>
            <w:r>
              <w:rPr>
                <w:rFonts w:ascii="仿宋" w:hAnsi="仿宋" w:eastAsia="仿宋"/>
                <w:szCs w:val="21"/>
                <w:lang w:bidi="ar"/>
              </w:rPr>
              <w:t>8.36</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18</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单位地区生产总值二氧化碳排放</w:t>
            </w:r>
            <w:r>
              <w:rPr>
                <w:rFonts w:hint="eastAsia" w:ascii="仿宋" w:hAnsi="仿宋" w:eastAsia="仿宋"/>
                <w:szCs w:val="21"/>
                <w:lang w:bidi="ar"/>
              </w:rPr>
              <w:t>下降率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19</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主要污染物排放重点工程减排</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吨</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bookmarkStart w:id="112" w:name="_Hlk164029353"/>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rPr>
              <w:t>20</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分布式光伏发电并网规模*</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兆瓦</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完成上级管控目标；全市领先水平</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提前完成“十四五”末的上级管控目标（2</w:t>
            </w:r>
            <w:r>
              <w:rPr>
                <w:rFonts w:ascii="仿宋" w:hAnsi="仿宋" w:eastAsia="仿宋"/>
                <w:szCs w:val="21"/>
                <w:lang w:bidi="ar"/>
              </w:rPr>
              <w:t>00</w:t>
            </w:r>
            <w:r>
              <w:rPr>
                <w:rFonts w:hint="eastAsia" w:ascii="仿宋" w:hAnsi="仿宋" w:eastAsia="仿宋"/>
                <w:szCs w:val="21"/>
                <w:lang w:bidi="ar"/>
              </w:rPr>
              <w:t>）；全市排名第1（2</w:t>
            </w:r>
            <w:r>
              <w:rPr>
                <w:rFonts w:ascii="仿宋" w:hAnsi="仿宋" w:eastAsia="仿宋"/>
                <w:szCs w:val="21"/>
                <w:lang w:bidi="ar"/>
              </w:rPr>
              <w:t>08</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完成上级管控目标；稳步提升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完成上级管控目标；稳步提升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rPr>
              <w:t>21</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lang w:bidi="ar"/>
              </w:rPr>
            </w:pPr>
            <w:r>
              <w:rPr>
                <w:rFonts w:hint="eastAsia" w:ascii="仿宋" w:hAnsi="仿宋" w:eastAsia="仿宋"/>
                <w:color w:val="auto"/>
                <w:szCs w:val="21"/>
                <w:lang w:bidi="ar"/>
              </w:rPr>
              <w:t>生产性服务业产值规模*</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万元</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color w:val="auto"/>
                <w:szCs w:val="21"/>
                <w:lang w:bidi="ar"/>
              </w:rPr>
              <w:t>保持稳定或稳步提升</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lang w:bidi="ar"/>
              </w:rPr>
            </w:pPr>
            <w:r>
              <w:rPr>
                <w:rFonts w:hint="eastAsia" w:ascii="仿宋" w:hAnsi="仿宋" w:eastAsia="仿宋"/>
                <w:b w:val="0"/>
                <w:bCs w:val="0"/>
                <w:color w:val="auto"/>
                <w:szCs w:val="21"/>
                <w:lang w:bidi="ar"/>
              </w:rPr>
              <w:t>暂无数据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r>
              <w:rPr>
                <w:rFonts w:hint="eastAsia" w:ascii="仿宋" w:hAnsi="仿宋" w:eastAsia="仿宋"/>
                <w:szCs w:val="21"/>
                <w:lang w:bidi="ar"/>
              </w:rPr>
              <w:t>六</w:t>
            </w:r>
            <w:r>
              <w:rPr>
                <w:rFonts w:ascii="仿宋" w:hAnsi="仿宋" w:eastAsia="仿宋"/>
                <w:szCs w:val="21"/>
                <w:lang w:bidi="ar"/>
              </w:rPr>
              <w:t>）</w:t>
            </w:r>
          </w:p>
          <w:p>
            <w:pPr>
              <w:jc w:val="center"/>
              <w:rPr>
                <w:rFonts w:ascii="仿宋" w:hAnsi="仿宋" w:eastAsia="仿宋"/>
                <w:szCs w:val="21"/>
                <w:lang w:bidi="ar"/>
              </w:rPr>
            </w:pPr>
            <w:r>
              <w:rPr>
                <w:rFonts w:hint="eastAsia" w:ascii="仿宋" w:hAnsi="仿宋" w:eastAsia="仿宋"/>
                <w:szCs w:val="21"/>
                <w:lang w:bidi="ar"/>
              </w:rPr>
              <w:t>资源节约集约</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22</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一般工业固体废物综合利用率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保持稳定或</w:t>
            </w:r>
            <w:r>
              <w:rPr>
                <w:rFonts w:hint="eastAsia" w:ascii="仿宋" w:hAnsi="仿宋" w:eastAsia="仿宋"/>
                <w:szCs w:val="21"/>
                <w:lang w:bidi="ar"/>
              </w:rPr>
              <w:t>持续</w:t>
            </w:r>
            <w:r>
              <w:rPr>
                <w:rFonts w:ascii="仿宋" w:hAnsi="仿宋" w:eastAsia="仿宋"/>
                <w:szCs w:val="21"/>
                <w:lang w:bidi="ar"/>
              </w:rPr>
              <w:t>改善</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持续改善（</w:t>
            </w:r>
            <w:r>
              <w:rPr>
                <w:rFonts w:ascii="仿宋" w:hAnsi="仿宋" w:eastAsia="仿宋"/>
                <w:szCs w:val="21"/>
                <w:lang w:bidi="ar"/>
              </w:rPr>
              <w:t>97.30</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保持稳定</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23</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万元</w:t>
            </w:r>
            <w:r>
              <w:rPr>
                <w:rFonts w:ascii="仿宋" w:hAnsi="仿宋" w:eastAsia="仿宋"/>
                <w:szCs w:val="21"/>
                <w:lang w:bidi="ar"/>
              </w:rPr>
              <w:t>地区生产总值用水量</w:t>
            </w:r>
            <w:r>
              <w:rPr>
                <w:rFonts w:hint="eastAsia" w:ascii="仿宋" w:hAnsi="仿宋" w:eastAsia="仿宋"/>
                <w:szCs w:val="21"/>
                <w:lang w:bidi="ar"/>
              </w:rPr>
              <w:t>下降率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上级</w:t>
            </w:r>
            <w:r>
              <w:rPr>
                <w:rFonts w:hint="eastAsia" w:ascii="仿宋" w:hAnsi="仿宋" w:eastAsia="仿宋"/>
                <w:szCs w:val="21"/>
                <w:lang w:bidi="ar"/>
              </w:rPr>
              <w:t>未下达2</w:t>
            </w:r>
            <w:r>
              <w:rPr>
                <w:rFonts w:ascii="仿宋" w:hAnsi="仿宋" w:eastAsia="仿宋"/>
                <w:szCs w:val="21"/>
                <w:lang w:bidi="ar"/>
              </w:rPr>
              <w:t>022</w:t>
            </w:r>
            <w:r>
              <w:rPr>
                <w:rFonts w:hint="eastAsia" w:ascii="仿宋" w:hAnsi="仿宋" w:eastAsia="仿宋"/>
                <w:szCs w:val="21"/>
                <w:lang w:bidi="ar"/>
              </w:rPr>
              <w:t>年规定的考核</w:t>
            </w:r>
            <w:r>
              <w:rPr>
                <w:rFonts w:ascii="仿宋" w:hAnsi="仿宋" w:eastAsia="仿宋"/>
                <w:szCs w:val="21"/>
                <w:lang w:bidi="ar"/>
              </w:rPr>
              <w:t>任务（-13.01）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24</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单位国内生产总值建设用地使用面积下降率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上级</w:t>
            </w:r>
            <w:r>
              <w:rPr>
                <w:rFonts w:hint="eastAsia" w:ascii="仿宋" w:hAnsi="仿宋" w:eastAsia="仿宋"/>
                <w:szCs w:val="21"/>
                <w:lang w:bidi="ar"/>
              </w:rPr>
              <w:t>未下达2</w:t>
            </w:r>
            <w:r>
              <w:rPr>
                <w:rFonts w:ascii="仿宋" w:hAnsi="仿宋" w:eastAsia="仿宋"/>
                <w:szCs w:val="21"/>
                <w:lang w:bidi="ar"/>
              </w:rPr>
              <w:t>022</w:t>
            </w:r>
            <w:r>
              <w:rPr>
                <w:rFonts w:hint="eastAsia" w:ascii="仿宋" w:hAnsi="仿宋" w:eastAsia="仿宋"/>
                <w:szCs w:val="21"/>
                <w:lang w:bidi="ar"/>
              </w:rPr>
              <w:t>年规定的考核</w:t>
            </w:r>
            <w:r>
              <w:rPr>
                <w:rFonts w:ascii="仿宋" w:hAnsi="仿宋" w:eastAsia="仿宋"/>
                <w:szCs w:val="21"/>
                <w:lang w:bidi="ar"/>
              </w:rPr>
              <w:t>任务（</w:t>
            </w:r>
            <w:r>
              <w:rPr>
                <w:rFonts w:hint="eastAsia" w:ascii="仿宋" w:hAnsi="仿宋" w:eastAsia="仿宋"/>
                <w:szCs w:val="21"/>
                <w:lang w:bidi="ar"/>
              </w:rPr>
              <w:t>2</w:t>
            </w:r>
            <w:r>
              <w:rPr>
                <w:rFonts w:ascii="仿宋" w:hAnsi="仿宋" w:eastAsia="仿宋"/>
                <w:szCs w:val="21"/>
                <w:lang w:bidi="ar"/>
              </w:rPr>
              <w:t>.46）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完成上级规定的</w:t>
            </w:r>
            <w:r>
              <w:rPr>
                <w:rFonts w:hint="eastAsia" w:ascii="仿宋" w:hAnsi="仿宋" w:eastAsia="仿宋"/>
                <w:szCs w:val="21"/>
                <w:lang w:bidi="ar"/>
              </w:rPr>
              <w:t>考核</w:t>
            </w:r>
            <w:r>
              <w:rPr>
                <w:rFonts w:ascii="仿宋" w:hAnsi="仿宋" w:eastAsia="仿宋"/>
                <w:szCs w:val="21"/>
                <w:lang w:bidi="ar"/>
              </w:rPr>
              <w:t>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生态</w:t>
            </w:r>
          </w:p>
          <w:p>
            <w:pPr>
              <w:jc w:val="center"/>
              <w:rPr>
                <w:rFonts w:ascii="仿宋" w:hAnsi="仿宋" w:eastAsia="仿宋"/>
                <w:szCs w:val="21"/>
              </w:rPr>
            </w:pPr>
            <w:r>
              <w:rPr>
                <w:rFonts w:ascii="仿宋" w:hAnsi="仿宋" w:eastAsia="仿宋"/>
                <w:szCs w:val="21"/>
                <w:lang w:bidi="ar"/>
              </w:rPr>
              <w:t>文化</w:t>
            </w: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r>
              <w:rPr>
                <w:rFonts w:hint="eastAsia" w:ascii="仿宋" w:hAnsi="仿宋" w:eastAsia="仿宋"/>
                <w:szCs w:val="21"/>
                <w:lang w:bidi="ar"/>
              </w:rPr>
              <w:t>七</w:t>
            </w:r>
            <w:r>
              <w:rPr>
                <w:rFonts w:ascii="仿宋" w:hAnsi="仿宋" w:eastAsia="仿宋"/>
                <w:szCs w:val="21"/>
                <w:lang w:bidi="ar"/>
              </w:rPr>
              <w:t>）</w:t>
            </w:r>
          </w:p>
          <w:p>
            <w:pPr>
              <w:jc w:val="center"/>
              <w:rPr>
                <w:rFonts w:ascii="仿宋" w:hAnsi="仿宋" w:eastAsia="仿宋"/>
                <w:szCs w:val="21"/>
              </w:rPr>
            </w:pPr>
            <w:r>
              <w:rPr>
                <w:rFonts w:hint="eastAsia" w:ascii="仿宋" w:hAnsi="仿宋" w:eastAsia="仿宋"/>
                <w:szCs w:val="21"/>
                <w:lang w:bidi="ar"/>
              </w:rPr>
              <w:t>全民共建共享</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2</w:t>
            </w:r>
            <w:r>
              <w:rPr>
                <w:rFonts w:ascii="仿宋" w:hAnsi="仿宋" w:eastAsia="仿宋"/>
                <w:szCs w:val="21"/>
                <w:lang w:bidi="ar"/>
              </w:rPr>
              <w:t>5</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公众对生态环境质量满意度</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≥90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94.55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w:t>
            </w:r>
            <w:r>
              <w:rPr>
                <w:rFonts w:ascii="仿宋" w:hAnsi="仿宋" w:eastAsia="仿宋"/>
                <w:szCs w:val="21"/>
                <w:lang w:bidi="ar"/>
              </w:rPr>
              <w:t>6</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绿色出行比例</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≥70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7</w:t>
            </w:r>
            <w:r>
              <w:rPr>
                <w:rFonts w:ascii="仿宋" w:hAnsi="仿宋" w:eastAsia="仿宋"/>
                <w:szCs w:val="21"/>
                <w:lang w:bidi="ar"/>
              </w:rPr>
              <w:t>4.6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7</w:t>
            </w:r>
            <w:r>
              <w:rPr>
                <w:rFonts w:ascii="仿宋" w:hAnsi="仿宋" w:eastAsia="仿宋"/>
                <w:szCs w:val="21"/>
                <w:lang w:bidi="ar"/>
              </w:rPr>
              <w:t>6</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8</w:t>
            </w:r>
            <w:r>
              <w:rPr>
                <w:rFonts w:ascii="仿宋" w:hAnsi="仿宋" w:eastAsia="仿宋"/>
                <w:szCs w:val="21"/>
                <w:lang w:bidi="ar"/>
              </w:rPr>
              <w:t>0</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27</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城镇新建绿色建筑比例</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100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1</w:t>
            </w:r>
            <w:r>
              <w:rPr>
                <w:rFonts w:ascii="仿宋" w:hAnsi="仿宋" w:eastAsia="仿宋"/>
                <w:szCs w:val="21"/>
                <w:lang w:bidi="ar"/>
              </w:rPr>
              <w:t>00</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28</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ascii="仿宋" w:hAnsi="仿宋" w:eastAsia="仿宋"/>
                <w:szCs w:val="21"/>
                <w:lang w:bidi="ar"/>
              </w:rPr>
              <w:t>人均公园绿地面积</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平方米</w:t>
            </w:r>
            <w:r>
              <w:rPr>
                <w:rFonts w:ascii="仿宋" w:hAnsi="仿宋" w:eastAsia="仿宋"/>
                <w:szCs w:val="21"/>
                <w:lang w:bidi="ar"/>
              </w:rPr>
              <w:t>/人</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≥12</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23.2（全区</w:t>
            </w:r>
            <w:r>
              <w:rPr>
                <w:rFonts w:ascii="仿宋" w:hAnsi="仿宋" w:eastAsia="仿宋"/>
                <w:szCs w:val="21"/>
                <w:lang w:bidi="ar"/>
              </w:rPr>
              <w:t>人均公园绿地面积</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约束</w:t>
            </w:r>
            <w:r>
              <w:rPr>
                <w:rFonts w:ascii="仿宋" w:hAnsi="仿宋" w:eastAsia="仿宋"/>
                <w:szCs w:val="21"/>
                <w:lang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生态</w:t>
            </w:r>
            <w:r>
              <w:rPr>
                <w:rFonts w:hint="eastAsia" w:ascii="仿宋" w:hAnsi="仿宋" w:eastAsia="仿宋"/>
                <w:szCs w:val="21"/>
                <w:lang w:bidi="ar"/>
              </w:rPr>
              <w:t>文明</w:t>
            </w:r>
            <w:r>
              <w:rPr>
                <w:rFonts w:ascii="仿宋" w:hAnsi="仿宋" w:eastAsia="仿宋"/>
                <w:szCs w:val="21"/>
                <w:lang w:bidi="ar"/>
              </w:rPr>
              <w:t>制度</w:t>
            </w:r>
          </w:p>
        </w:tc>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r>
              <w:rPr>
                <w:rFonts w:hint="eastAsia" w:ascii="仿宋" w:hAnsi="仿宋" w:eastAsia="仿宋"/>
                <w:szCs w:val="21"/>
                <w:lang w:bidi="ar"/>
              </w:rPr>
              <w:t>八</w:t>
            </w:r>
            <w:r>
              <w:rPr>
                <w:rFonts w:ascii="仿宋" w:hAnsi="仿宋" w:eastAsia="仿宋"/>
                <w:szCs w:val="21"/>
                <w:lang w:bidi="ar"/>
              </w:rPr>
              <w:t>）</w:t>
            </w:r>
            <w:r>
              <w:rPr>
                <w:rFonts w:hint="eastAsia" w:ascii="仿宋" w:hAnsi="仿宋" w:eastAsia="仿宋"/>
                <w:szCs w:val="21"/>
                <w:lang w:bidi="ar"/>
              </w:rPr>
              <w:t>体制机制保障</w:t>
            </w:r>
          </w:p>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29</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ascii="仿宋" w:hAnsi="仿宋" w:eastAsia="仿宋"/>
                <w:szCs w:val="21"/>
                <w:lang w:bidi="ar"/>
              </w:rPr>
              <w:t>生态环境信息公开率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lang w:bidi="ar"/>
              </w:rPr>
              <w:t>100</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100</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30</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生态环境分区管控体系</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62"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71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31</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lang w:bidi="ar"/>
              </w:rPr>
              <w:t>生态环境损害赔偿</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案件线索启动率1</w:t>
            </w:r>
            <w:r>
              <w:rPr>
                <w:rFonts w:ascii="仿宋" w:hAnsi="仿宋" w:eastAsia="仿宋"/>
                <w:szCs w:val="21"/>
                <w:lang w:bidi="ar"/>
              </w:rPr>
              <w:t>00%</w:t>
            </w:r>
            <w:r>
              <w:rPr>
                <w:rFonts w:hint="eastAsia" w:ascii="仿宋" w:hAnsi="仿宋" w:eastAsia="仿宋"/>
                <w:szCs w:val="21"/>
                <w:lang w:bidi="ar"/>
              </w:rPr>
              <w:t>，且案件结案率≥</w:t>
            </w:r>
            <w:r>
              <w:rPr>
                <w:rFonts w:ascii="仿宋" w:hAnsi="仿宋" w:eastAsia="仿宋"/>
                <w:szCs w:val="21"/>
                <w:lang w:bidi="ar"/>
              </w:rPr>
              <w:t>75%</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案件线索启动率1</w:t>
            </w:r>
            <w:r>
              <w:rPr>
                <w:rFonts w:ascii="仿宋" w:hAnsi="仿宋" w:eastAsia="仿宋"/>
                <w:szCs w:val="21"/>
                <w:lang w:bidi="ar"/>
              </w:rPr>
              <w:t>00%，</w:t>
            </w:r>
            <w:r>
              <w:rPr>
                <w:rFonts w:hint="eastAsia" w:ascii="仿宋" w:hAnsi="仿宋" w:eastAsia="仿宋"/>
                <w:szCs w:val="21"/>
                <w:lang w:bidi="ar"/>
              </w:rPr>
              <w:t>且案件</w:t>
            </w:r>
            <w:r>
              <w:rPr>
                <w:rFonts w:ascii="仿宋" w:hAnsi="仿宋" w:eastAsia="仿宋"/>
                <w:szCs w:val="21"/>
                <w:lang w:bidi="ar"/>
              </w:rPr>
              <w:t>结案率97.9%</w:t>
            </w:r>
            <w:r>
              <w:rPr>
                <w:rFonts w:hint="eastAsia" w:ascii="仿宋" w:hAnsi="仿宋" w:eastAsia="仿宋"/>
                <w:szCs w:val="21"/>
                <w:lang w:bidi="ar"/>
              </w:rPr>
              <w:t>（</w:t>
            </w:r>
            <w:r>
              <w:rPr>
                <w:rFonts w:ascii="仿宋" w:hAnsi="仿宋" w:eastAsia="仿宋"/>
                <w:szCs w:val="21"/>
                <w:lang w:bidi="ar"/>
              </w:rPr>
              <w:t>2018年以来</w:t>
            </w:r>
            <w:r>
              <w:rPr>
                <w:rFonts w:hint="eastAsia" w:ascii="仿宋" w:hAnsi="仿宋" w:eastAsia="仿宋"/>
                <w:szCs w:val="21"/>
                <w:lang w:bidi="ar"/>
              </w:rPr>
              <w:t>顺义</w:t>
            </w:r>
            <w:r>
              <w:rPr>
                <w:rFonts w:ascii="仿宋" w:hAnsi="仿宋" w:eastAsia="仿宋"/>
                <w:szCs w:val="21"/>
                <w:lang w:bidi="ar"/>
              </w:rPr>
              <w:t>区启动生态环境损害赔偿案件48件</w:t>
            </w:r>
            <w:r>
              <w:rPr>
                <w:rFonts w:hint="eastAsia" w:ascii="仿宋" w:hAnsi="仿宋" w:eastAsia="仿宋"/>
                <w:szCs w:val="21"/>
                <w:lang w:bidi="ar"/>
              </w:rPr>
              <w:t>，</w:t>
            </w:r>
            <w:r>
              <w:rPr>
                <w:rFonts w:ascii="仿宋" w:hAnsi="仿宋" w:eastAsia="仿宋"/>
                <w:szCs w:val="21"/>
                <w:lang w:bidi="ar"/>
              </w:rPr>
              <w:t>结案47件</w:t>
            </w:r>
            <w:r>
              <w:rPr>
                <w:rFonts w:hint="eastAsia" w:ascii="仿宋" w:hAnsi="仿宋" w:eastAsia="仿宋"/>
                <w:szCs w:val="21"/>
                <w:lang w:bidi="ar"/>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案件线索启动率1</w:t>
            </w:r>
            <w:r>
              <w:rPr>
                <w:rFonts w:ascii="仿宋" w:hAnsi="仿宋" w:eastAsia="仿宋"/>
                <w:szCs w:val="21"/>
                <w:lang w:bidi="ar"/>
              </w:rPr>
              <w:t>00%</w:t>
            </w:r>
            <w:r>
              <w:rPr>
                <w:rFonts w:hint="eastAsia" w:ascii="仿宋" w:hAnsi="仿宋" w:eastAsia="仿宋"/>
                <w:szCs w:val="21"/>
                <w:lang w:bidi="ar"/>
              </w:rPr>
              <w:t>，且案件结案率≥</w:t>
            </w:r>
            <w:r>
              <w:rPr>
                <w:rFonts w:ascii="仿宋" w:hAnsi="仿宋" w:eastAsia="仿宋"/>
                <w:szCs w:val="21"/>
                <w:lang w:bidi="ar"/>
              </w:rPr>
              <w:t>75%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案件线索启动率1</w:t>
            </w:r>
            <w:r>
              <w:rPr>
                <w:rFonts w:ascii="仿宋" w:hAnsi="仿宋" w:eastAsia="仿宋"/>
                <w:szCs w:val="21"/>
                <w:lang w:bidi="ar"/>
              </w:rPr>
              <w:t>00%</w:t>
            </w:r>
            <w:r>
              <w:rPr>
                <w:rFonts w:hint="eastAsia" w:ascii="仿宋" w:hAnsi="仿宋" w:eastAsia="仿宋"/>
                <w:szCs w:val="21"/>
                <w:lang w:bidi="ar"/>
              </w:rPr>
              <w:t>，且案件结案率≥</w:t>
            </w:r>
            <w:r>
              <w:rPr>
                <w:rFonts w:ascii="仿宋" w:hAnsi="仿宋" w:eastAsia="仿宋"/>
                <w:szCs w:val="21"/>
                <w:lang w:bidi="ar"/>
              </w:rPr>
              <w:t>75%</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76" w:type="dxa"/>
            <w:gridSpan w:val="2"/>
            <w:vMerge w:val="restart"/>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bidi="ar"/>
              </w:rPr>
              <w:t>参考性指标</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lang w:bidi="ar"/>
              </w:rPr>
            </w:pPr>
            <w:r>
              <w:rPr>
                <w:rFonts w:hint="eastAsia" w:ascii="仿宋" w:hAnsi="仿宋" w:eastAsia="仿宋"/>
                <w:szCs w:val="21"/>
                <w:lang w:bidi="ar"/>
              </w:rPr>
              <w:t>农村生活污水治理（管控）率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≥60</w:t>
            </w:r>
            <w:r>
              <w:rPr>
                <w:rFonts w:hint="eastAsia" w:ascii="仿宋" w:hAnsi="仿宋" w:eastAsia="仿宋"/>
                <w:szCs w:val="21"/>
                <w:lang w:bidi="ar"/>
              </w:rPr>
              <w:t>（东部地区）</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90.2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稳步提升</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76" w:type="dxa"/>
            <w:gridSpan w:val="2"/>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ascii="仿宋" w:hAnsi="仿宋" w:eastAsia="仿宋"/>
                <w:szCs w:val="21"/>
                <w:lang w:bidi="ar"/>
              </w:rPr>
              <w:t>河湖岸线保护率</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上级</w:t>
            </w:r>
            <w:r>
              <w:rPr>
                <w:rFonts w:hint="eastAsia" w:ascii="仿宋" w:hAnsi="仿宋" w:eastAsia="仿宋"/>
                <w:szCs w:val="21"/>
                <w:lang w:bidi="ar"/>
              </w:rPr>
              <w:t>尚未下达规定的考核任务</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完成上级</w:t>
            </w:r>
            <w:r>
              <w:rPr>
                <w:rFonts w:hint="eastAsia" w:ascii="仿宋" w:hAnsi="仿宋" w:eastAsia="仿宋"/>
                <w:szCs w:val="21"/>
                <w:lang w:bidi="ar"/>
              </w:rPr>
              <w:t>规定的考核任务</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76" w:type="dxa"/>
            <w:gridSpan w:val="2"/>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zCs w:val="21"/>
                <w:lang w:bidi="ar"/>
              </w:rPr>
              <w:t>危险废物填埋处置量占比</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持续下降</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持续下降（0.1095）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持续下降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持续下降</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76" w:type="dxa"/>
            <w:gridSpan w:val="2"/>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pacing w:val="-4"/>
                <w:szCs w:val="21"/>
                <w:lang w:bidi="ar"/>
              </w:rPr>
              <w:t>绿色食品、有机农产品种植面积</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持续提高</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ascii="仿宋" w:hAnsi="仿宋" w:eastAsia="仿宋"/>
                <w:szCs w:val="21"/>
                <w:lang w:bidi="ar"/>
              </w:rPr>
              <w:t>持续提高（7872.08）</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持续提高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持续提高</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276" w:type="dxa"/>
            <w:gridSpan w:val="2"/>
            <w:vMerge w:val="continue"/>
            <w:tcBorders>
              <w:left w:val="single" w:color="auto" w:sz="4" w:space="0"/>
              <w:right w:val="single" w:color="auto" w:sz="4" w:space="0"/>
            </w:tcBorders>
            <w:vAlign w:val="center"/>
          </w:tcPr>
          <w:p>
            <w:pPr>
              <w:jc w:val="center"/>
              <w:rPr>
                <w:rFonts w:ascii="仿宋" w:hAnsi="仿宋" w:eastAsia="仿宋"/>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4"/>
                <w:szCs w:val="21"/>
                <w:lang w:bidi="ar"/>
              </w:rPr>
            </w:pPr>
            <w:r>
              <w:rPr>
                <w:rFonts w:hint="eastAsia" w:ascii="仿宋" w:hAnsi="仿宋" w:eastAsia="仿宋"/>
                <w:szCs w:val="21"/>
                <w:lang w:bidi="ar"/>
              </w:rPr>
              <w:t>生态保护补偿制度</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建立</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lang w:bidi="ar"/>
              </w:rPr>
            </w:pPr>
            <w:r>
              <w:rPr>
                <w:rFonts w:hint="eastAsia" w:ascii="仿宋" w:hAnsi="仿宋" w:eastAsia="仿宋"/>
                <w:szCs w:val="21"/>
                <w:lang w:bidi="ar"/>
              </w:rPr>
              <w:t>参考性</w:t>
            </w:r>
          </w:p>
        </w:tc>
      </w:tr>
    </w:tbl>
    <w:p>
      <w:pPr>
        <w:ind w:firstLine="482"/>
        <w:jc w:val="left"/>
        <w:rPr>
          <w:rFonts w:ascii="仿宋" w:hAnsi="仿宋" w:eastAsia="仿宋"/>
          <w:szCs w:val="21"/>
          <w:lang w:bidi="ar"/>
        </w:rPr>
      </w:pPr>
      <w:r>
        <w:rPr>
          <w:rFonts w:hint="eastAsia" w:ascii="仿宋" w:hAnsi="仿宋" w:eastAsia="仿宋"/>
          <w:kern w:val="0"/>
          <w:szCs w:val="21"/>
        </w:rPr>
        <w:t>注：附带“*”指标为顺义区特色指标，不附带“*”指标为国家建设指标。顺义区</w:t>
      </w:r>
      <w:r>
        <w:rPr>
          <w:rFonts w:hint="eastAsia" w:ascii="仿宋" w:hAnsi="仿宋" w:eastAsia="仿宋"/>
          <w:szCs w:val="21"/>
          <w:lang w:bidi="ar"/>
        </w:rPr>
        <w:t>不涉及全国碳排放交易市场履约完成率</w:t>
      </w:r>
      <w:r>
        <w:rPr>
          <w:rFonts w:ascii="仿宋" w:hAnsi="仿宋" w:eastAsia="仿宋"/>
          <w:szCs w:val="21"/>
          <w:lang w:bidi="ar"/>
        </w:rPr>
        <w:t>1项指标和近岸海域水质优良（一、二类）比例、较大面积农村黑臭水体整治率、草原综合植被盖度、自然岸线保有率4项</w:t>
      </w:r>
      <w:r>
        <w:rPr>
          <w:rFonts w:hint="eastAsia" w:ascii="仿宋" w:hAnsi="仿宋" w:eastAsia="仿宋"/>
          <w:szCs w:val="21"/>
          <w:lang w:bidi="ar"/>
        </w:rPr>
        <w:t>分项指标。</w:t>
      </w:r>
    </w:p>
    <w:p>
      <w:pPr>
        <w:autoSpaceDE w:val="0"/>
        <w:autoSpaceDN w:val="0"/>
        <w:adjustRightInd w:val="0"/>
        <w:ind w:firstLine="480"/>
        <w:jc w:val="left"/>
        <w:rPr>
          <w:rFonts w:ascii="仿宋" w:hAnsi="仿宋" w:eastAsia="仿宋"/>
          <w:kern w:val="0"/>
          <w:sz w:val="24"/>
          <w:szCs w:val="24"/>
        </w:rPr>
        <w:sectPr>
          <w:footerReference r:id="rId12" w:type="default"/>
          <w:pgSz w:w="16838" w:h="11906" w:orient="landscape"/>
          <w:pgMar w:top="1800" w:right="1440" w:bottom="1800" w:left="1440" w:header="851" w:footer="283" w:gutter="0"/>
          <w:cols w:space="425" w:num="1"/>
          <w:docGrid w:type="lines" w:linePitch="381" w:charSpace="0"/>
        </w:sectPr>
      </w:pPr>
    </w:p>
    <w:p>
      <w:pPr>
        <w:pStyle w:val="2"/>
        <w:spacing w:line="560" w:lineRule="exact"/>
        <w:jc w:val="center"/>
        <w:rPr>
          <w:rFonts w:hint="eastAsia" w:ascii="方正小标宋简体" w:hAnsi="方正小标宋简体" w:cs="方正小标宋简体"/>
          <w:b w:val="0"/>
          <w:bCs w:val="0"/>
          <w:sz w:val="44"/>
          <w:szCs w:val="52"/>
        </w:rPr>
      </w:pPr>
      <w:bookmarkStart w:id="113" w:name="_Toc136702488"/>
      <w:bookmarkStart w:id="114" w:name="_Toc136794703"/>
      <w:bookmarkStart w:id="115" w:name="_Toc15187_WPSOffice_Level1"/>
      <w:r>
        <w:rPr>
          <w:rFonts w:hint="eastAsia" w:ascii="方正小标宋简体" w:hAnsi="方正小标宋简体" w:cs="方正小标宋简体"/>
          <w:b w:val="0"/>
          <w:bCs w:val="0"/>
          <w:sz w:val="44"/>
          <w:szCs w:val="52"/>
        </w:rPr>
        <w:t>第三章</w:t>
      </w:r>
      <w:bookmarkEnd w:id="113"/>
      <w:bookmarkEnd w:id="114"/>
      <w:r>
        <w:rPr>
          <w:rFonts w:hint="eastAsia" w:ascii="方正小标宋简体" w:hAnsi="方正小标宋简体" w:cs="方正小标宋简体"/>
          <w:b w:val="0"/>
          <w:bCs w:val="0"/>
          <w:sz w:val="44"/>
          <w:szCs w:val="52"/>
        </w:rPr>
        <w:t xml:space="preserve"> 树立生态环境高站位目标责任标杆区</w:t>
      </w:r>
      <w:bookmarkEnd w:id="115"/>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面对</w:t>
      </w:r>
      <w:r>
        <w:rPr>
          <w:rFonts w:ascii="仿宋_GB2312" w:hAnsi="仿宋_GB2312" w:eastAsia="仿宋_GB2312" w:cs="仿宋_GB2312"/>
          <w:bCs/>
          <w:sz w:val="32"/>
          <w:szCs w:val="32"/>
          <w:lang w:val="zh-CN"/>
        </w:rPr>
        <w:t>新常态下生态环境质量持续改善的压力和绿色低碳转型发展的挑战，不断提高政治站位，按照</w:t>
      </w:r>
      <w:r>
        <w:rPr>
          <w:rFonts w:hint="eastAsia" w:ascii="仿宋_GB2312" w:hAnsi="仿宋_GB2312" w:eastAsia="仿宋_GB2312" w:cs="仿宋_GB2312"/>
          <w:bCs/>
          <w:sz w:val="32"/>
          <w:szCs w:val="32"/>
        </w:rPr>
        <w:t>党</w:t>
      </w:r>
      <w:r>
        <w:rPr>
          <w:rFonts w:ascii="仿宋_GB2312" w:hAnsi="仿宋_GB2312" w:eastAsia="仿宋_GB2312" w:cs="仿宋_GB2312"/>
          <w:bCs/>
          <w:sz w:val="32"/>
          <w:szCs w:val="32"/>
          <w:lang w:val="zh-CN"/>
        </w:rPr>
        <w:t>中央及国务院最新指示精神及思路要求，强化生态文明建设党政主体责任，牢牢把握干部这个决定性因素，围绕顺义区生态文明建设总体目标和各项任务指标，清单化落实，差异化考核，充分发挥党政考核的指挥棒、风向标、助推器作用，坚决落实领导干部生态环境损害责任追究制度，有序开展领导干部自然资源资产离任（任中）审计，持续优化生态优先的党政考核制度，丰富监督考核抓手，以高质量干部考核促进高素质干部队伍建设，为顺义区生态文明建设工作提供坚实保障</w:t>
      </w:r>
      <w:r>
        <w:rPr>
          <w:rFonts w:hint="eastAsia" w:ascii="仿宋_GB2312" w:hAnsi="仿宋_GB2312" w:eastAsia="仿宋_GB2312" w:cs="仿宋_GB2312"/>
          <w:bCs/>
          <w:sz w:val="32"/>
          <w:szCs w:val="32"/>
          <w:lang w:val="zh-CN"/>
        </w:rPr>
        <w:t>。</w:t>
      </w:r>
    </w:p>
    <w:p>
      <w:pPr>
        <w:pStyle w:val="3"/>
        <w:numPr>
          <w:ilvl w:val="0"/>
          <w:numId w:val="3"/>
        </w:numPr>
        <w:spacing w:before="0" w:after="0" w:line="560" w:lineRule="exact"/>
        <w:ind w:left="0" w:firstLine="640" w:firstLineChars="200"/>
        <w:jc w:val="left"/>
        <w:rPr>
          <w:rFonts w:ascii="黑体" w:hAnsi="黑体" w:eastAsia="黑体" w:cs="黑体"/>
          <w:b w:val="0"/>
          <w:bCs/>
          <w:sz w:val="32"/>
          <w:szCs w:val="32"/>
          <w:lang w:val="zh-CN"/>
        </w:rPr>
      </w:pPr>
      <w:bookmarkStart w:id="116" w:name="_Toc25145_WPSOffice_Level2"/>
      <w:r>
        <w:rPr>
          <w:rFonts w:hint="eastAsia" w:ascii="黑体" w:hAnsi="黑体" w:eastAsia="黑体" w:cs="黑体"/>
          <w:b w:val="0"/>
          <w:bCs/>
          <w:sz w:val="32"/>
          <w:szCs w:val="32"/>
          <w:lang w:val="zh-CN"/>
        </w:rPr>
        <w:t>落实生态文明建设党政主体责任</w:t>
      </w:r>
      <w:bookmarkEnd w:id="116"/>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坚持党对生态文明建设工作的集中统一领导，强化生态环境保护“党政同责、一岗双责”，管发展、管生产、管行业必须管生态环境保护。全区各级党委、政府对全区生态文明建设工作负总体责任，党政主要领导对生态文明建设工作负全面领导责任，组织落实目标任务、政策措施、监管执法等，确保资金投入与工作相匹配。完善并落实《顺义区生态环境保护工作职责分工规定》，实施年度生态文明建设工作要点、污染防治攻坚战行动计划等长效机制，进一步健全以改善生态环境质量为核心的“横向到边、纵向到底”生态环境保护责任体系。</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认真贯彻落实国家及北京市各项决策部署，明确顺义区各部门生态文明建设工作目标责任清单，统筹推进各项目标任务完成。各级党委和政府坚决落实主体责任，各有关部门各司其职，紧密协作，协同推进生态文明建设各项任务落实。</w:t>
      </w:r>
    </w:p>
    <w:p>
      <w:pPr>
        <w:pStyle w:val="3"/>
        <w:numPr>
          <w:ilvl w:val="0"/>
          <w:numId w:val="3"/>
        </w:numPr>
        <w:spacing w:before="0" w:after="0" w:line="560" w:lineRule="exact"/>
        <w:ind w:left="0" w:firstLine="640" w:firstLineChars="200"/>
        <w:jc w:val="left"/>
        <w:rPr>
          <w:rFonts w:ascii="黑体" w:hAnsi="黑体" w:eastAsia="黑体" w:cs="黑体"/>
          <w:b w:val="0"/>
          <w:bCs/>
          <w:sz w:val="32"/>
          <w:szCs w:val="32"/>
          <w:lang w:val="zh-CN"/>
        </w:rPr>
      </w:pPr>
      <w:bookmarkStart w:id="117" w:name="_Toc6304_WPSOffice_Level2"/>
      <w:bookmarkStart w:id="118" w:name="_Hlk160369409"/>
      <w:r>
        <w:rPr>
          <w:rFonts w:hint="eastAsia" w:ascii="黑体" w:hAnsi="黑体" w:eastAsia="黑体" w:cs="黑体"/>
          <w:b w:val="0"/>
          <w:bCs/>
          <w:sz w:val="32"/>
          <w:szCs w:val="32"/>
          <w:lang w:val="zh-CN"/>
        </w:rPr>
        <w:t>持续推行生态优先党政考核制度</w:t>
      </w:r>
      <w:bookmarkEnd w:id="117"/>
    </w:p>
    <w:bookmarkEnd w:id="118"/>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党政考核生态优先，将生态文明制度建设和体制改革、生态环境保护、生态环境分区管控、资源能源节约、绿色发展、碳达峰碳中和等方面内容，纳入部门和各镇及街道的党政年度工作目标考核中。在每年度印发的“中共北京市顺义区党建工作考核实施方案”和“顺义区政府绩效管理考评实施细则”中，进一步提高生态文明建设相关指标权重，促使党政工作重心向生态文明建设方向倾斜，保障生态文明建设工作占党政实绩考核的比例持续不低于</w:t>
      </w:r>
      <w:r>
        <w:rPr>
          <w:rFonts w:ascii="仿宋_GB2312" w:hAnsi="仿宋_GB2312" w:eastAsia="仿宋_GB2312" w:cs="仿宋_GB2312"/>
          <w:bCs/>
          <w:sz w:val="32"/>
          <w:szCs w:val="32"/>
          <w:lang w:val="zh-CN"/>
        </w:rPr>
        <w:t>20%。</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强化生态环境目标评价考核。按照市级要求，完善顺义区空气质量、水环境质量的日常监测、评价、通报机制，不断改进生态环境保护专项考评，分解落实生态文明建设任务，结果作为对处级领导班子及其成员考核评价的重要依据，以及晋升职务、评选先进的重要条件，确保各项工作有效开展、各项指标持续达标，把生态文明建设工作任务落到实处。</w:t>
      </w:r>
    </w:p>
    <w:p>
      <w:pPr>
        <w:pStyle w:val="3"/>
        <w:numPr>
          <w:ilvl w:val="0"/>
          <w:numId w:val="3"/>
        </w:numPr>
        <w:spacing w:before="0" w:after="0" w:line="560" w:lineRule="exact"/>
        <w:ind w:left="0" w:firstLine="640" w:firstLineChars="200"/>
        <w:jc w:val="left"/>
        <w:rPr>
          <w:rFonts w:ascii="黑体" w:hAnsi="黑体" w:eastAsia="黑体" w:cs="黑体"/>
          <w:b w:val="0"/>
          <w:bCs/>
          <w:sz w:val="32"/>
          <w:szCs w:val="32"/>
          <w:lang w:val="zh-CN"/>
        </w:rPr>
      </w:pPr>
      <w:bookmarkStart w:id="119" w:name="_Toc15433_WPSOffice_Level2"/>
      <w:r>
        <w:rPr>
          <w:rFonts w:hint="eastAsia" w:ascii="黑体" w:hAnsi="黑体" w:eastAsia="黑体" w:cs="黑体"/>
          <w:b w:val="0"/>
          <w:bCs/>
          <w:sz w:val="32"/>
          <w:szCs w:val="32"/>
          <w:lang w:val="zh-CN"/>
        </w:rPr>
        <w:t>严明生态环境损害责任追究制度</w:t>
      </w:r>
      <w:bookmarkEnd w:id="119"/>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严格贯彻落实《党政领导干部生态环境损害责任追究办法（试行）》，持续加大生态环境保护领域监督执纪问责工作力度，进一步深化党政领导干部生态环境损害责任追究制度，为生态环境保护工作提供坚强的纪律保障。</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提高政治站位，将生态环境保护责任纳入《顺义区党建工作责任追究办法》，全面实行生态文明建设党政同责、一岗双责、终身追责。对违背科学发展要求、在生态环境和资源保护方面造成严重破坏负有责任的，由区委组织部启动对相关部门、镇、街道党政一把手及有关领导成员的追责机制；情节特别严重、涉嫌违法的，移交司法机关处理。</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压实各级党委、政府和纪检监察组织环保责任，建立长效考核机制，将环境问题治理不善、生态环境恶化、日常监管工作不力等情形作为执纪监督问责工作重点。畅通监督举报渠道，加强日常监督与专项督察，督促整改，精准问责。同时抓好自查自纠，对排查出的隐患和问题列出清单、明确责任、限期整改，有效堵塞工作漏洞。</w:t>
      </w:r>
    </w:p>
    <w:p>
      <w:pPr>
        <w:pStyle w:val="3"/>
        <w:numPr>
          <w:ilvl w:val="0"/>
          <w:numId w:val="3"/>
        </w:numPr>
        <w:spacing w:before="0" w:after="0" w:line="560" w:lineRule="exact"/>
        <w:ind w:left="0" w:firstLine="640" w:firstLineChars="200"/>
        <w:jc w:val="left"/>
        <w:rPr>
          <w:rFonts w:ascii="黑体" w:hAnsi="黑体" w:eastAsia="黑体" w:cs="黑体"/>
          <w:b w:val="0"/>
          <w:bCs/>
          <w:sz w:val="32"/>
          <w:szCs w:val="32"/>
          <w:lang w:val="zh-CN"/>
        </w:rPr>
      </w:pPr>
      <w:bookmarkStart w:id="120" w:name="_Toc21216_WPSOffice_Level2"/>
      <w:r>
        <w:rPr>
          <w:rFonts w:hint="eastAsia" w:ascii="黑体" w:hAnsi="黑体" w:eastAsia="黑体" w:cs="黑体"/>
          <w:b w:val="0"/>
          <w:bCs/>
          <w:sz w:val="32"/>
          <w:szCs w:val="32"/>
          <w:lang w:val="zh-CN"/>
        </w:rPr>
        <w:t>深化自然资源资产离任审计制度</w:t>
      </w:r>
      <w:bookmarkEnd w:id="120"/>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bookmarkStart w:id="121" w:name="_Hlk160382047"/>
      <w:r>
        <w:rPr>
          <w:rFonts w:hint="eastAsia" w:ascii="仿宋_GB2312" w:hAnsi="仿宋_GB2312" w:eastAsia="仿宋_GB2312" w:cs="仿宋_GB2312"/>
          <w:bCs/>
          <w:sz w:val="32"/>
          <w:szCs w:val="32"/>
          <w:lang w:val="zh-CN"/>
        </w:rPr>
        <w:t>严格执行《领导干部自然资源资产离任审计规定（</w:t>
      </w:r>
      <w:r>
        <w:rPr>
          <w:rFonts w:ascii="仿宋_GB2312" w:hAnsi="仿宋_GB2312" w:eastAsia="仿宋_GB2312" w:cs="仿宋_GB2312"/>
          <w:bCs/>
          <w:sz w:val="32"/>
          <w:szCs w:val="32"/>
          <w:lang w:val="zh-CN"/>
        </w:rPr>
        <w:t>试行</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》和《北京市贯彻落实〈领导干部自然资源资产离任审计规定</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试行</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实施细则》，以贯彻执行中央生态文明建设方针政策和决策部署以及上级党委政府相关工作要求情况、遵守自然资源资产管理和生态环境保护法律法规情况、完成自然资源资产管理和生态环境保护目标情况、履行自然资源资产管理和生态环境保护监督责任等方面为审计</w:t>
      </w:r>
      <w:r>
        <w:rPr>
          <w:rFonts w:hint="eastAsia" w:ascii="仿宋_GB2312" w:hAnsi="仿宋_GB2312" w:eastAsia="仿宋_GB2312" w:cs="仿宋_GB2312"/>
          <w:bCs/>
          <w:sz w:val="32"/>
          <w:szCs w:val="32"/>
          <w:lang w:val="zh-CN"/>
        </w:rPr>
        <w:t>主要内容，对领导干部任职期间履行自然资源资产管理和生态环境保护责任情况进行审计，并将审计结果反馈组织部门参考，作为领导干部提拔任用的依据，促使党政领导干部树牢绿色发展理念和正确政绩观。</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落实《北京市顺义区领导干部经济责任审计和自然资源资产离任审计工作规划（</w:t>
      </w:r>
      <w:r>
        <w:rPr>
          <w:rFonts w:ascii="仿宋_GB2312" w:hAnsi="仿宋_GB2312" w:eastAsia="仿宋_GB2312" w:cs="仿宋_GB2312"/>
          <w:bCs/>
          <w:sz w:val="32"/>
          <w:szCs w:val="32"/>
          <w:lang w:val="zh-CN"/>
        </w:rPr>
        <w:t>2023-2027年）》，探索构建评价指标体系、成果运用、结果反馈、审计监督与自然资源督察和环保督察工作协作机制。按照“全面覆盖、重点审计”的要求，做到应审尽审、不留盲区；紧扣权力运行和责任落实，做到评价客观，定责定性准确；深化审计成果运用，推动审计结果以及审计整改在规范管理、推进改革、干部监督工作中发挥更大作用；强化政治建设、作风建设和专业能力建设，打造一支高素质专业化的自然资源资产离任审计干部队伍。</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按照《关于建立健全领导干部自然资源资产离任审计评价指标体系的意见》要求，配合市审计局编制《区级指标体系》及开展相关试点工作，并在市审计局评价指标体系的基础上，结合顺义区实际情况参照使用。</w:t>
      </w:r>
    </w:p>
    <w:bookmarkEnd w:id="121"/>
    <w:p>
      <w:pPr>
        <w:spacing w:line="560" w:lineRule="exact"/>
        <w:rPr>
          <w:lang w:val="zh-CN"/>
        </w:rPr>
      </w:pPr>
      <w:r>
        <w:rPr>
          <w:lang w:val="zh-CN"/>
        </w:rPr>
        <w:br w:type="page"/>
      </w:r>
    </w:p>
    <w:p>
      <w:pPr>
        <w:pStyle w:val="2"/>
        <w:spacing w:line="560" w:lineRule="exact"/>
        <w:rPr>
          <w:rFonts w:hint="eastAsia" w:ascii="方正小标宋简体" w:hAnsi="方正小标宋简体" w:cs="方正小标宋简体"/>
          <w:b w:val="0"/>
          <w:bCs w:val="0"/>
          <w:sz w:val="44"/>
          <w:szCs w:val="52"/>
        </w:rPr>
      </w:pPr>
      <w:bookmarkStart w:id="122" w:name="_Toc15330_WPSOffice_Level1"/>
      <w:r>
        <w:rPr>
          <w:rFonts w:hint="eastAsia" w:ascii="方正小标宋简体" w:hAnsi="方正小标宋简体" w:cs="方正小标宋简体"/>
          <w:b w:val="0"/>
          <w:bCs w:val="0"/>
          <w:sz w:val="44"/>
          <w:szCs w:val="52"/>
        </w:rPr>
        <w:t xml:space="preserve">第四章 </w:t>
      </w:r>
      <w:bookmarkStart w:id="123" w:name="_Hlk163935435"/>
      <w:r>
        <w:rPr>
          <w:rFonts w:hint="eastAsia" w:ascii="方正小标宋简体" w:hAnsi="方正小标宋简体" w:cs="方正小标宋简体"/>
          <w:b w:val="0"/>
          <w:bCs w:val="0"/>
          <w:sz w:val="44"/>
          <w:szCs w:val="52"/>
        </w:rPr>
        <w:t>构筑全方位优质生态环境特色风貌区</w:t>
      </w:r>
      <w:bookmarkEnd w:id="122"/>
      <w:bookmarkEnd w:id="123"/>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首都城市战略定位，落实“平原新城看顺义”的目标要求，以推动绿色低碳发展、促进人与自然和谐共生为总体发展方向，以努力实现“低碳、天蓝、水清、土净、地绿、安宁”美丽顺义为最终目标，强化环境风险管控和分区、分类指导，严守全区生态保护红线、环境质量底线和资源利用上线，巩固污染防治攻坚战成果，进一步挖掘质量改善的潜力，精准治污、科学治污、依法治污。统筹城市与农村发展、统筹河东与河西区域发展，提升城乡环境治理能力，建设清新明亮的宜居环境，展示现代田园城市形象，构筑全方位优质生态环境特色风貌区。</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24" w:name="_Toc18393_WPSOffice_Level2"/>
      <w:r>
        <w:rPr>
          <w:rFonts w:hint="eastAsia" w:ascii="黑体" w:hAnsi="黑体" w:eastAsia="黑体" w:cs="黑体"/>
          <w:b w:val="0"/>
          <w:bCs/>
          <w:sz w:val="32"/>
          <w:szCs w:val="32"/>
          <w:lang w:val="zh-CN"/>
        </w:rPr>
        <w:t>精准治理守护蓝天新常态</w:t>
      </w:r>
      <w:bookmarkEnd w:id="124"/>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（一）提升大气环境治理现代化水平</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巩固大气污染防治成果，守护蓝天白云新常态。</w:t>
      </w:r>
      <w:r>
        <w:rPr>
          <w:rFonts w:hint="eastAsia" w:ascii="仿宋_GB2312" w:hAnsi="仿宋_GB2312" w:eastAsia="仿宋_GB2312" w:cs="仿宋_GB2312"/>
          <w:bCs/>
          <w:sz w:val="32"/>
          <w:szCs w:val="32"/>
          <w:lang w:val="zh-CN"/>
        </w:rPr>
        <w:t>以多污染物协同减排和精细化管理为重点，充分利用大数据手段，完善“评估分析</w:t>
      </w:r>
      <w:r>
        <w:rPr>
          <w:rFonts w:ascii="仿宋_GB2312" w:hAnsi="仿宋_GB2312" w:eastAsia="仿宋_GB2312" w:cs="仿宋_GB2312"/>
          <w:bCs/>
          <w:sz w:val="32"/>
          <w:szCs w:val="32"/>
          <w:lang w:val="zh-CN"/>
        </w:rPr>
        <w:t>-线索下发-现场核查-整改反馈”闭环管理机制，</w:t>
      </w:r>
      <w:r>
        <w:rPr>
          <w:rFonts w:hint="eastAsia" w:ascii="仿宋_GB2312" w:hAnsi="仿宋_GB2312" w:eastAsia="仿宋_GB2312" w:cs="仿宋_GB2312"/>
          <w:bCs/>
          <w:sz w:val="32"/>
          <w:szCs w:val="32"/>
          <w:lang w:val="zh-CN"/>
        </w:rPr>
        <w:t>提高大气污染治理的精细度和持久度。着重加强</w:t>
      </w:r>
      <w:r>
        <w:rPr>
          <w:rFonts w:ascii="仿宋_GB2312" w:hAnsi="仿宋_GB2312" w:eastAsia="仿宋_GB2312" w:cs="仿宋_GB2312"/>
          <w:bCs/>
          <w:sz w:val="32"/>
          <w:szCs w:val="32"/>
          <w:lang w:val="zh-CN"/>
        </w:rPr>
        <w:t>PM</w:t>
      </w:r>
      <w:r>
        <w:rPr>
          <w:rFonts w:ascii="仿宋_GB2312" w:hAnsi="仿宋_GB2312" w:eastAsia="仿宋_GB2312" w:cs="仿宋_GB2312"/>
          <w:bCs/>
          <w:sz w:val="32"/>
          <w:szCs w:val="32"/>
          <w:vertAlign w:val="subscript"/>
          <w:lang w:val="zh-CN"/>
        </w:rPr>
        <w:t>2.5</w:t>
      </w:r>
      <w:r>
        <w:rPr>
          <w:rFonts w:ascii="仿宋_GB2312" w:hAnsi="仿宋_GB2312" w:eastAsia="仿宋_GB2312" w:cs="仿宋_GB2312"/>
          <w:bCs/>
          <w:sz w:val="32"/>
          <w:szCs w:val="32"/>
          <w:lang w:val="zh-CN"/>
        </w:rPr>
        <w:t>指标控制，</w:t>
      </w:r>
      <w:r>
        <w:rPr>
          <w:rFonts w:hint="eastAsia" w:ascii="仿宋_GB2312" w:hAnsi="仿宋_GB2312" w:eastAsia="仿宋_GB2312" w:cs="仿宋_GB2312"/>
          <w:bCs/>
          <w:sz w:val="32"/>
          <w:szCs w:val="32"/>
          <w:lang w:val="zh-CN"/>
        </w:rPr>
        <w:t>加大大气污染物协同治理力度，坚持</w:t>
      </w:r>
      <w:r>
        <w:rPr>
          <w:rFonts w:ascii="仿宋_GB2312" w:hAnsi="仿宋_GB2312" w:eastAsia="仿宋_GB2312" w:cs="仿宋_GB2312"/>
          <w:bCs/>
          <w:sz w:val="32"/>
          <w:szCs w:val="32"/>
          <w:lang w:val="zh-CN"/>
        </w:rPr>
        <w:t>PM</w:t>
      </w:r>
      <w:r>
        <w:rPr>
          <w:rFonts w:ascii="仿宋_GB2312" w:hAnsi="仿宋_GB2312" w:eastAsia="仿宋_GB2312" w:cs="仿宋_GB2312"/>
          <w:bCs/>
          <w:sz w:val="32"/>
          <w:szCs w:val="32"/>
          <w:vertAlign w:val="subscript"/>
          <w:lang w:val="zh-CN"/>
        </w:rPr>
        <w:t>2.5</w:t>
      </w:r>
      <w:r>
        <w:rPr>
          <w:rFonts w:hint="eastAsia" w:ascii="仿宋_GB2312" w:hAnsi="仿宋_GB2312" w:eastAsia="仿宋_GB2312" w:cs="仿宋_GB2312"/>
          <w:bCs/>
          <w:sz w:val="32"/>
          <w:szCs w:val="32"/>
          <w:lang w:val="zh-CN"/>
        </w:rPr>
        <w:t>和臭氧协同治理，</w:t>
      </w:r>
      <w:r>
        <w:rPr>
          <w:rFonts w:ascii="仿宋_GB2312" w:hAnsi="仿宋_GB2312" w:eastAsia="仿宋_GB2312" w:cs="仿宋_GB2312"/>
          <w:bCs/>
          <w:sz w:val="32"/>
          <w:szCs w:val="32"/>
          <w:lang w:val="zh-CN"/>
        </w:rPr>
        <w:t>推进氮氧化物、挥发性有机物协同减</w:t>
      </w:r>
      <w:r>
        <w:rPr>
          <w:rFonts w:hint="eastAsia" w:ascii="仿宋_GB2312" w:hAnsi="仿宋_GB2312" w:eastAsia="仿宋_GB2312" w:cs="仿宋_GB2312"/>
          <w:bCs/>
          <w:sz w:val="32"/>
          <w:szCs w:val="32"/>
          <w:lang w:val="zh-CN"/>
        </w:rPr>
        <w:t>排，进一步改善空气质量。实施重点区域大气污染防治战略，开展重点区域联合治理。积极参与京津冀及周边地区大气污染防治协作，加强与东南通道方向输入污染地区协调，推进污染联防联控联治。落实区域应急联动快速响应机制，持续完善重污染天气跨区应对预案，做好重污染天气应急联动应对，提高重污染天气应对能力，实现污染程度削峰降速。</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（二）强化扬尘精细化管控</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强化扬尘管控责任落实</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持续强化牵头部门抓总、行业部门负责的扬尘管控模式，推广标准化、可重复使用的高效扬尘治理设施和第三方治理模式。各行业主管部门将扬尘治理与企业资质评价、信用评价、招投标、空气重污染应急停工、采暖季错峰施工等挂钩，督促施工单位抓好扬尘治理。落实属地责任，镇（街道）持续强化施工扬尘、道路扬尘、裸地扬尘动态监管。健全完善扬尘监管体系，</w:t>
      </w:r>
      <w:r>
        <w:rPr>
          <w:rFonts w:ascii="仿宋_GB2312" w:hAnsi="仿宋_GB2312" w:eastAsia="仿宋_GB2312" w:cs="仿宋_GB2312"/>
          <w:bCs/>
          <w:sz w:val="32"/>
          <w:szCs w:val="32"/>
          <w:lang w:val="zh-CN"/>
        </w:rPr>
        <w:t>开展《道路尘负荷监测服务项目》</w:t>
      </w:r>
      <w:r>
        <w:rPr>
          <w:rFonts w:hint="eastAsia" w:ascii="仿宋_GB2312" w:hAnsi="仿宋_GB2312" w:eastAsia="仿宋_GB2312" w:cs="仿宋_GB2312"/>
          <w:bCs/>
          <w:sz w:val="32"/>
          <w:szCs w:val="32"/>
          <w:lang w:val="zh-CN"/>
        </w:rPr>
        <w:t>，扩大在线监测系统安装范围。</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推进裸地扬尘治理</w:t>
      </w:r>
      <w:r>
        <w:rPr>
          <w:rFonts w:hint="eastAsia" w:ascii="仿宋_GB2312" w:hAnsi="仿宋_GB2312" w:eastAsia="仿宋_GB2312" w:cs="仿宋_GB2312"/>
          <w:b/>
          <w:sz w:val="32"/>
          <w:szCs w:val="32"/>
          <w:lang w:val="zh-CN"/>
        </w:rPr>
        <w:t>。</w:t>
      </w:r>
      <w:r>
        <w:rPr>
          <w:rFonts w:ascii="仿宋_GB2312" w:hAnsi="仿宋_GB2312" w:eastAsia="仿宋_GB2312" w:cs="仿宋_GB2312"/>
          <w:bCs/>
          <w:sz w:val="32"/>
          <w:szCs w:val="32"/>
          <w:lang w:val="zh-CN"/>
        </w:rPr>
        <w:t>开展《裸露扬尘源卫星遥感监测服务项目》</w:t>
      </w:r>
      <w:r>
        <w:rPr>
          <w:rFonts w:hint="eastAsia" w:ascii="仿宋_GB2312" w:hAnsi="仿宋_GB2312" w:eastAsia="仿宋_GB2312" w:cs="仿宋_GB2312"/>
          <w:bCs/>
          <w:sz w:val="32"/>
          <w:szCs w:val="32"/>
          <w:lang w:val="zh-CN"/>
        </w:rPr>
        <w:t>，裸露扬尘源动态监测，准确掌握各类裸地的新增、延续、变为非裸地的状态。辅助裸地扬尘污染的监测、督查与考核，指导属地政府对裸露扬尘源开展管控、治理。借鉴不同类型道路绿化带、树池和公园裸地覆盖措施，根据不同区域裸露土壤表面的情况采取合适的覆盖措施，减少风蚀扬尘排放。</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规范道路运输与施工管理</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加大再生水冲洗道路的范围和使用量，实现一、二级道路“吸、扫、冲、收”清扫保洁新工艺作业全覆盖，降低道路尘土残存量。轨道交通施工从拆迁、地基开挖直至工程完工，实现施工全过程全密闭化作业，全面降低施工现场扬尘排放。在运输渣土高峰时段组织专人检查施工工地，严禁违规渣土运输车辆驶出工地。开放施工扬尘监测数据平台，定期公布施工工地实时监测数据，主动接受社会监督。</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（三）持续开展</w:t>
      </w:r>
      <w:r>
        <w:rPr>
          <w:rFonts w:ascii="楷体_GB2312" w:hAnsi="楷体_GB2312" w:eastAsia="楷体_GB2312" w:cs="楷体_GB2312"/>
          <w:b w:val="0"/>
          <w:bCs w:val="0"/>
          <w:sz w:val="32"/>
          <w:szCs w:val="32"/>
          <w:lang w:eastAsia="zh-CN"/>
        </w:rPr>
        <w:t>VOC</w:t>
      </w:r>
      <w:r>
        <w:rPr>
          <w:rFonts w:hint="eastAsia" w:ascii="楷体_GB2312" w:hAnsi="楷体_GB2312" w:eastAsia="楷体_GB2312" w:cs="楷体_GB2312"/>
          <w:b w:val="0"/>
          <w:bCs w:val="0"/>
          <w:sz w:val="32"/>
          <w:szCs w:val="32"/>
          <w:lang w:eastAsia="zh-CN"/>
        </w:rPr>
        <w:t>专项治理</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推进挥发性有机物源头替代</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严格落实国家和地方产品挥发性有机物含量限值标准，禁止不达标的溶剂在汽车制造、印刷、家具制造等方面的应用。将全面使用符合国家要求的低</w:t>
      </w:r>
      <w:r>
        <w:rPr>
          <w:rFonts w:ascii="仿宋_GB2312" w:hAnsi="仿宋_GB2312" w:eastAsia="仿宋_GB2312" w:cs="仿宋_GB2312"/>
          <w:bCs/>
          <w:sz w:val="32"/>
          <w:szCs w:val="32"/>
          <w:lang w:val="zh-CN"/>
        </w:rPr>
        <w:t>VOCs含</w:t>
      </w:r>
      <w:r>
        <w:rPr>
          <w:rFonts w:hint="eastAsia" w:ascii="仿宋_GB2312" w:hAnsi="仿宋_GB2312" w:eastAsia="仿宋_GB2312" w:cs="仿宋_GB2312"/>
          <w:bCs/>
          <w:sz w:val="32"/>
          <w:szCs w:val="32"/>
          <w:lang w:val="zh-CN"/>
        </w:rPr>
        <w:t>量原辅材料的企业纳入正面清单和政府绿色采购清单，推广使用水性涂料及低有机溶剂的涂料。</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全面开展现有挥发性有机物治理设施评估</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全面评估顺义区现有挥发性有机物治理设施废气收集率、治理设施同步运行率和去除率。按照“应收尽收”的原则提升废气收集率。推动取消废气排放系统旁路，因安全生产等原因必须保留的，要通过安装自动监控设施等方式加强监管。按照与生产设备“同启同停”的原则提升治理设施运行率。挥发性有机物处理系统应与生产工艺设备保持同步运行。按照“适宜高效”的原则提高治理设施去除率，不得稀释排放。对治理难度大、单一治理工艺难以稳定达标的，要采用多种技术的组合工艺。</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深化园区和集群整治</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对顺义区重点排放挥发性有机物行业企业制定整改方案，做到措施精准、时限明确、责任到人。加强重点行业企业资源共享，实施集中治理，开展园区监测评估，建立环境信息共享平台，推动建立健全监测预警监控体系，开展走航监测、网格化监测以及溯源分析等工作，纳入重点行业企业环保监控管理平台。深入推进餐饮油烟</w:t>
      </w:r>
      <w:r>
        <w:rPr>
          <w:rFonts w:ascii="仿宋_GB2312" w:hAnsi="仿宋_GB2312" w:eastAsia="仿宋_GB2312" w:cs="仿宋_GB2312"/>
          <w:bCs/>
          <w:sz w:val="32"/>
          <w:szCs w:val="32"/>
          <w:lang w:val="zh-CN"/>
        </w:rPr>
        <w:t>VOCs管控。合理规划和统一管理新建餐</w:t>
      </w:r>
      <w:r>
        <w:rPr>
          <w:rFonts w:hint="eastAsia" w:ascii="仿宋_GB2312" w:hAnsi="仿宋_GB2312" w:eastAsia="仿宋_GB2312" w:cs="仿宋_GB2312"/>
          <w:bCs/>
          <w:sz w:val="32"/>
          <w:szCs w:val="32"/>
          <w:lang w:val="zh-CN"/>
        </w:rPr>
        <w:t>饮服务单位，严格把控餐饮业市场准入。加强商务楼宇、经营性餐饮单位日常监管执法，实施餐饮业油烟净化设备运行状态监控工程，保证环保设施正常运行，污染物达标排放。</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（四）推动移动源低排化</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全方位控制机动车污染</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加快淘汰老旧机动车，推进落实《北京市机动车检验检测机构记分制管理暂行办法》（京市监发〔</w:t>
      </w:r>
      <w:r>
        <w:rPr>
          <w:rFonts w:ascii="仿宋_GB2312" w:hAnsi="仿宋_GB2312" w:eastAsia="仿宋_GB2312" w:cs="仿宋_GB2312"/>
          <w:bCs/>
          <w:sz w:val="32"/>
          <w:szCs w:val="32"/>
          <w:lang w:val="zh-CN"/>
        </w:rPr>
        <w:t>2021〕10号），持续推动机动车检验规范有序。</w:t>
      </w:r>
      <w:r>
        <w:rPr>
          <w:rFonts w:hint="eastAsia" w:ascii="仿宋_GB2312" w:hAnsi="仿宋_GB2312" w:eastAsia="仿宋_GB2312" w:cs="仿宋_GB2312"/>
          <w:bCs/>
          <w:sz w:val="32"/>
          <w:szCs w:val="32"/>
          <w:lang w:val="zh-CN"/>
        </w:rPr>
        <w:t>加大对物流园区、大型批发市场、货物流转集散地、航空食品等大型运输车辆的定期监管，严格路检路查、入户抽查、尾气遥测，确保在用车达标排放。进一步加强成品油储运系统油气排放监管，利用加油站油气回收在线监控开展精准执法。在生产、销售、储存和使用环节，开展油品、氮氧化物还原剂和车用油品清净剂产品的监督检查，对施工工地、物流园区、机场、铁路货场、工厂等内部使用（非经营性加油站）油品质量实施严格管理，确保内部使用合格油品。</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val="0"/>
          <w:sz w:val="32"/>
          <w:szCs w:val="32"/>
          <w:lang w:val="zh-CN"/>
        </w:rPr>
        <w:t>强化非道路移动机械监管</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Cs/>
          <w:sz w:val="32"/>
          <w:szCs w:val="32"/>
          <w:lang w:val="zh-CN"/>
        </w:rPr>
        <w:t>全域内禁止使用高排放非道路移动机械。做好辖区非道路移动机械编码登记工作，加强辖区已登记机械监管，全面掌握登记机械的排放情况，加快淘汰重点行业老旧燃油工程机械。对于已转出本区或报废的机械，督促机械登记人及时办理转出或注销等手续，动态更新机械登记台账。以产业园区为重点推广新能源叉车，推动物流园区、机场、铁路货场中具备条件的机械采用新能源。</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25" w:name="_Toc18018_WPSOffice_Level2"/>
      <w:r>
        <w:rPr>
          <w:rFonts w:hint="eastAsia" w:ascii="黑体" w:hAnsi="黑体" w:eastAsia="黑体" w:cs="黑体"/>
          <w:b w:val="0"/>
          <w:bCs/>
          <w:sz w:val="32"/>
          <w:szCs w:val="32"/>
          <w:lang w:val="zh-CN"/>
        </w:rPr>
        <w:t>“三水”共治保障碧水长清</w:t>
      </w:r>
      <w:bookmarkEnd w:id="125"/>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（一）加强饮用水源地保护</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有序恢复引潮入城、水源八厂市级水源回供本地用水，缓解水资源需求压力。实施地下水开采总量控制，严格执行禁采区和限采区管控，压采、保护水源地地下水，持续开展自备井封填、置换。充分利用生态补水有利时机，回补地下水量，增加地下水水源地出水能力。强化饮用水源保护，持续开展浅山区生态清洁小流域建设，有序推进“千吨万人”水源地保护区划分和保护范围划定，加大点、面污染源治理力度，加强对水源地保护区内环境巡查，发现问题及时解决，消除污染风险，保持集中式饮用水水源水质持续稳定达标。持续开展全区饮用水水源地环境状况调查评估，按国家要求完成系统填报，提交评估报告，实现水源地“一源一档”动态管理。提升地下水环境监管能力，优化地下水水质监测网络，制定地下水污染应急预案，构建地下水污染分级管控机制。</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（二）全面提高水环境质量</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加大截污治污能力建设</w:t>
      </w:r>
      <w:r>
        <w:rPr>
          <w:rFonts w:hint="eastAsia" w:ascii="仿宋_GB2312" w:hAnsi="仿宋_GB2312" w:eastAsia="仿宋_GB2312" w:cs="仿宋_GB2312"/>
          <w:bCs/>
          <w:sz w:val="32"/>
          <w:szCs w:val="32"/>
          <w:lang w:val="zh-CN"/>
        </w:rPr>
        <w:t>。</w:t>
      </w:r>
      <w:bookmarkStart w:id="126" w:name="_Hlk155190922"/>
      <w:r>
        <w:rPr>
          <w:rFonts w:hint="eastAsia" w:ascii="仿宋_GB2312" w:hAnsi="仿宋_GB2312" w:eastAsia="仿宋_GB2312" w:cs="仿宋_GB2312"/>
          <w:bCs/>
          <w:sz w:val="32"/>
          <w:szCs w:val="32"/>
          <w:lang w:val="zh-CN"/>
        </w:rPr>
        <w:t>按照削减存量、严控增量的原则，强化源头控制，水陆统筹，实施河岸外截污治污，河道内水系连通，严控黑臭水体反复，改善河流水生态环境，提升全区水环境承载力。发挥河长制作用，增强部门联动，加强对排水口和岸上污染源的管理；通过周边地区新建污水收集管线、雨污分流等设施，从根本上控制污染物直排入河；针对偏远、分散区域和污水漏排突出问题，因地制宜建设污水处理设施。全面推进入河排污口整治。按照“查测溯治管”的工作步骤，持续动态更新入河排口台账。依托排污口信息化监管平台，实现排污口和受纳水体监测、监管、监察联动闭环管理。开展排污口水质监测，联合相关部门开展排污口清理整治，严禁污水乱排直排，坚决杜绝污水、垃圾、渣土入河。</w:t>
      </w:r>
      <w:bookmarkEnd w:id="126"/>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加强城市雨排系统建设。</w:t>
      </w:r>
      <w:r>
        <w:rPr>
          <w:rFonts w:hint="eastAsia" w:ascii="仿宋_GB2312" w:hAnsi="仿宋_GB2312" w:eastAsia="仿宋_GB2312" w:cs="仿宋_GB2312"/>
          <w:bCs/>
          <w:sz w:val="32"/>
          <w:szCs w:val="32"/>
          <w:lang w:val="zh-CN"/>
        </w:rPr>
        <w:t>加快雨污合流改造工程，完善分流制雨水管网系统，保障城镇排水安全，控制重点流域溢流污染。杜绝新建区域出现雨污不分、污水入河等问题，有</w:t>
      </w:r>
      <w:r>
        <w:rPr>
          <w:rFonts w:hint="eastAsia" w:ascii="仿宋_GB2312" w:hAnsi="仿宋_GB2312" w:eastAsia="仿宋_GB2312" w:cs="仿宋_GB2312"/>
          <w:sz w:val="32"/>
          <w:szCs w:val="32"/>
        </w:rPr>
        <w:t>条件</w:t>
      </w:r>
      <w:r>
        <w:rPr>
          <w:rFonts w:hint="eastAsia" w:ascii="仿宋_GB2312" w:hAnsi="仿宋_GB2312" w:eastAsia="仿宋_GB2312" w:cs="仿宋_GB2312"/>
          <w:bCs/>
          <w:sz w:val="32"/>
          <w:szCs w:val="32"/>
          <w:lang w:val="zh-CN"/>
        </w:rPr>
        <w:t>的地区推进初期雨水收集、处理和资源化利用。提高海绵城市建设，新建项目落实海绵城市建设要求，</w:t>
      </w:r>
      <w:r>
        <w:rPr>
          <w:rFonts w:ascii="仿宋_GB2312" w:hAnsi="仿宋_GB2312" w:eastAsia="仿宋_GB2312" w:cs="仿宋_GB2312"/>
          <w:bCs/>
          <w:sz w:val="32"/>
          <w:szCs w:val="32"/>
          <w:lang w:val="zh-CN"/>
        </w:rPr>
        <w:t>通过新增透水铺装、下凹绿地等方式实现雨水调蓄。</w:t>
      </w:r>
    </w:p>
    <w:p>
      <w:pPr>
        <w:adjustRightInd w:val="0"/>
        <w:snapToGrid w:val="0"/>
        <w:spacing w:line="560" w:lineRule="exact"/>
        <w:ind w:firstLine="643"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控制畜禽养殖业污染。</w:t>
      </w:r>
      <w:r>
        <w:rPr>
          <w:rFonts w:hint="eastAsia" w:ascii="仿宋_GB2312" w:hAnsi="仿宋_GB2312" w:eastAsia="仿宋_GB2312" w:cs="仿宋_GB2312"/>
          <w:kern w:val="0"/>
          <w:sz w:val="32"/>
          <w:szCs w:val="32"/>
        </w:rPr>
        <w:t>依法查处粪污未经无害化处理直接还田或向环境排放的行为。继续发展绿色农业，减少化肥和农药的使用，实施化肥、农药零增长行动，大力推广测土配方施肥技术和农作物病虫害绿色防控技术，以产业结构调整为带动，逐步实现主要农作物化肥、农药使用量零增长，降低农业面源污染。充分利用坑塘氧化、沟渠生态修复以及湿地处理手段，对农田退水进行处理达标以后排放。开展农业节水，通过推广节水灌溉逐步减少灌溉用水总量，减少农业面源化肥和农药流失量。</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稳定</w:t>
      </w:r>
      <w:r>
        <w:rPr>
          <w:rFonts w:ascii="仿宋_GB2312" w:hAnsi="仿宋_GB2312" w:eastAsia="仿宋_GB2312" w:cs="仿宋_GB2312"/>
          <w:b/>
          <w:sz w:val="32"/>
          <w:szCs w:val="32"/>
          <w:lang w:val="zh-CN"/>
        </w:rPr>
        <w:t>小微水体治理</w:t>
      </w:r>
      <w:r>
        <w:rPr>
          <w:rFonts w:hint="eastAsia" w:ascii="仿宋_GB2312" w:hAnsi="仿宋_GB2312" w:eastAsia="仿宋_GB2312" w:cs="仿宋_GB2312"/>
          <w:b/>
          <w:sz w:val="32"/>
          <w:szCs w:val="32"/>
          <w:lang w:val="zh-CN"/>
        </w:rPr>
        <w:t>成果。</w:t>
      </w:r>
      <w:r>
        <w:rPr>
          <w:rFonts w:ascii="仿宋_GB2312" w:hAnsi="仿宋_GB2312" w:eastAsia="仿宋_GB2312" w:cs="仿宋_GB2312"/>
          <w:bCs/>
          <w:sz w:val="32"/>
          <w:szCs w:val="32"/>
          <w:lang w:val="zh-CN"/>
        </w:rPr>
        <w:t>加强对黑臭水体、劣V类水体的巡查与监测，对发现的黑臭问题，当月完成整改，确保动态清零，已完成整治的黑臭水体做好河道巡查，确保整治成效，加强污染减排与生态扩容，防止劣V类水体反弹。</w:t>
      </w:r>
      <w:r>
        <w:rPr>
          <w:rFonts w:hint="eastAsia" w:ascii="仿宋_GB2312" w:hAnsi="仿宋_GB2312" w:eastAsia="仿宋_GB2312" w:cs="仿宋_GB2312"/>
          <w:bCs/>
          <w:sz w:val="32"/>
          <w:szCs w:val="32"/>
          <w:lang w:val="zh-CN"/>
        </w:rPr>
        <w:t>乡村小微水体以村庄排水沟和道路边沟为重点，持续开展“清河行动”，及时清理垃圾、杂物等，防止地表水和地下水污染。建立长效维护机制，确保</w:t>
      </w:r>
      <w:r>
        <w:rPr>
          <w:rFonts w:ascii="仿宋_GB2312" w:hAnsi="仿宋_GB2312" w:eastAsia="仿宋_GB2312" w:cs="仿宋_GB2312"/>
          <w:bCs/>
          <w:sz w:val="32"/>
          <w:szCs w:val="32"/>
          <w:lang w:val="zh-CN"/>
        </w:rPr>
        <w:t>动态建立</w:t>
      </w:r>
      <w:r>
        <w:rPr>
          <w:rFonts w:hint="eastAsia" w:ascii="仿宋_GB2312" w:hAnsi="仿宋_GB2312" w:eastAsia="仿宋_GB2312" w:cs="仿宋_GB2312"/>
          <w:bCs/>
          <w:sz w:val="32"/>
          <w:szCs w:val="32"/>
          <w:lang w:val="zh-CN"/>
        </w:rPr>
        <w:t>更新</w:t>
      </w:r>
      <w:r>
        <w:rPr>
          <w:rFonts w:ascii="仿宋_GB2312" w:hAnsi="仿宋_GB2312" w:eastAsia="仿宋_GB2312" w:cs="仿宋_GB2312"/>
          <w:bCs/>
          <w:sz w:val="32"/>
          <w:szCs w:val="32"/>
          <w:lang w:val="zh-CN"/>
        </w:rPr>
        <w:t>小微水体台账，明确所有者、使用者和管理养护单位整治责任，加强区域内小微水体巡查监管，及时发现问题、实施整改，基本实现无污水排入、无集中漂浮物、无垃圾渣土、无臭味、无违法建设的“五无”目标。</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（三）打造宜居水生态环境</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拓展河湖水系连通格局。</w:t>
      </w:r>
      <w:r>
        <w:rPr>
          <w:rFonts w:hint="eastAsia" w:ascii="仿宋_GB2312" w:hAnsi="仿宋_GB2312" w:eastAsia="仿宋_GB2312" w:cs="仿宋_GB2312"/>
          <w:bCs/>
          <w:sz w:val="32"/>
          <w:szCs w:val="32"/>
          <w:lang w:val="zh-CN"/>
        </w:rPr>
        <w:t>打造顺义新城“八纵、五横、五点”的水系格局。论证通过利用南水北调、密云水库等回补水源，区域内加大再生水回用河湖，加强河湖水体循环流动。通过将调水引入潮白河，回补地下水，加强水源地生态补水，修复河道生态系统。实施湿地恢复和重建，引再生水入汉石桥湿地循环净化，优化调度水资源，联通潮白河、城北减河、箭杆河、汉石桥湿地水系，推进潮白河与减河交汇处、向阳闸和罗马湖等区域河流湿地修复。</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推进水生态修复和保护。</w:t>
      </w:r>
      <w:r>
        <w:rPr>
          <w:rFonts w:hint="eastAsia" w:ascii="仿宋_GB2312" w:hAnsi="仿宋_GB2312" w:eastAsia="仿宋_GB2312" w:cs="仿宋_GB2312"/>
          <w:bCs/>
          <w:sz w:val="32"/>
          <w:szCs w:val="32"/>
          <w:lang w:val="zh-CN"/>
        </w:rPr>
        <w:t>通过开展湿地恢复建设、水域生态保护修复、河湖缓冲带生境恢复，逐步实现“三区四镇皆滨水、五环水系绕新城”的水清、岸绿、景美的水生态环境。在潮白河、小中河和温榆河等重点河流实施岸线生态保护与修复。在重点流域河道种植滨岸带植被，充分发挥河湖缓冲带防治面源污染的优势。重视河岸带生物栖息地功能，促进区域滨水生态空间及栖息地恢复，逐步提升河湖生物多样性，达成全区河湖水系自然健康的发展目标。</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27" w:name="_Toc23383_WPSOffice_Level2"/>
      <w:r>
        <w:rPr>
          <w:rFonts w:hint="eastAsia" w:ascii="黑体" w:hAnsi="黑体" w:eastAsia="黑体" w:cs="黑体"/>
          <w:b w:val="0"/>
          <w:bCs/>
          <w:sz w:val="32"/>
          <w:szCs w:val="32"/>
          <w:lang w:val="zh-CN"/>
        </w:rPr>
        <w:t>统筹提质建设宜居家园</w:t>
      </w:r>
      <w:bookmarkEnd w:id="127"/>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ascii="楷体_GB2312" w:hAnsi="楷体_GB2312" w:eastAsia="楷体_GB2312" w:cs="楷体_GB2312"/>
          <w:b w:val="0"/>
          <w:bCs w:val="0"/>
          <w:sz w:val="32"/>
          <w:szCs w:val="32"/>
          <w:lang w:eastAsia="zh-CN"/>
        </w:rPr>
        <w:t>实现全域城乡融合发展</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推进河东河西协调发展。</w:t>
      </w:r>
      <w:r>
        <w:rPr>
          <w:rFonts w:hint="eastAsia" w:ascii="仿宋_GB2312" w:hAnsi="仿宋_GB2312" w:eastAsia="仿宋_GB2312" w:cs="仿宋_GB2312"/>
          <w:bCs/>
          <w:sz w:val="32"/>
          <w:szCs w:val="32"/>
          <w:lang w:val="zh-CN"/>
        </w:rPr>
        <w:t>加强全域统筹，充分挖掘和发挥河东与河西各自资源禀赋条件，引导优势互补，建设城乡协调的首都和谐宜居示范区。发挥河东地区生态资源优势，构建河东绿色发展的产业基础。加快重大基础设施建设，构建快速交通体系和公共服务网络，有序推进城镇化和美丽乡村建设，全面提升河东地区城乡人居环境质量。围绕河西地区创新优势，服从首都发展大局，以功能承接、产业转型、创新发展为驱动，以服务新城地区为导向，优化镇村空间布局，高质量协调发展。</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提升城乡一体化发展水平。</w:t>
      </w:r>
      <w:r>
        <w:rPr>
          <w:rFonts w:hint="eastAsia" w:ascii="仿宋_GB2312" w:hAnsi="仿宋_GB2312" w:eastAsia="仿宋_GB2312" w:cs="仿宋_GB2312"/>
          <w:bCs/>
          <w:sz w:val="32"/>
          <w:szCs w:val="32"/>
          <w:lang w:val="zh-CN"/>
        </w:rPr>
        <w:t>按照“一港、两轴、三带、多点”总体空间格局，推进重大基础设施建设，支撑城市功能优化，推动新型城镇化，促进城乡协调发展。积极构建“新城—镇—新型农村社区”的现代城乡体系，形成以城带乡、城乡一体、协调发展的新型城乡关系。缩小城乡基本公共服务差距，构建覆盖城乡、功能完善的公共服务设施和基础设施体系。统筹实施城乡供水体系建设，完善城镇水厂和管网建设，推动单村供水向集约化供水转变，推进城带镇、镇带村的城乡一体化供水格局。</w:t>
      </w:r>
    </w:p>
    <w:p>
      <w:pPr>
        <w:adjustRightInd w:val="0"/>
        <w:snapToGrid w:val="0"/>
        <w:spacing w:line="560" w:lineRule="exact"/>
        <w:ind w:firstLine="643" w:firstLineChars="200"/>
        <w:contextualSpacing/>
        <w:rPr>
          <w:rFonts w:ascii="仿宋" w:hAnsi="仿宋" w:eastAsia="仿宋" w:cs="仿宋_GB2312"/>
          <w:bCs/>
          <w:sz w:val="30"/>
          <w:szCs w:val="30"/>
          <w:lang w:val="zh-CN"/>
        </w:rPr>
      </w:pPr>
      <w:r>
        <w:rPr>
          <w:rFonts w:hint="eastAsia" w:ascii="仿宋_GB2312" w:hAnsi="仿宋_GB2312" w:eastAsia="仿宋_GB2312" w:cs="仿宋_GB2312"/>
          <w:b/>
          <w:sz w:val="32"/>
          <w:szCs w:val="32"/>
          <w:lang w:val="zh-CN"/>
        </w:rPr>
        <w:t>推进京津冀基础设施协同发展。</w:t>
      </w:r>
      <w:r>
        <w:rPr>
          <w:rFonts w:hint="eastAsia" w:ascii="仿宋_GB2312" w:hAnsi="仿宋_GB2312" w:eastAsia="仿宋_GB2312" w:cs="仿宋_GB2312"/>
          <w:bCs/>
          <w:sz w:val="32"/>
          <w:szCs w:val="32"/>
          <w:lang w:val="zh-CN"/>
        </w:rPr>
        <w:t>持续提升顺义对京津冀地区交通辐射带动能力，依托干线铁路、城际铁路强化区域中长距离运输能力，持续优化综合交通枢纽功能，促进内外交通顺畅交互和便捷转换。加强区域生态环境共治，积极参与潮白河流域水源涵养生态功能区建设，协商建立水资源跨界断面补偿机制。推进区域绿色生态走廊建设，协同推进潮白河、北运河绿化隔离带建设，打通区域通风廊道。</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（二）提升城乡环境治理能力</w:t>
      </w:r>
    </w:p>
    <w:p>
      <w:pPr>
        <w:adjustRightInd w:val="0"/>
        <w:snapToGrid w:val="0"/>
        <w:spacing w:line="560" w:lineRule="exact"/>
        <w:ind w:firstLine="643" w:firstLineChars="200"/>
        <w:contextualSpacing/>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提升城镇污水收集处理能力。</w:t>
      </w:r>
      <w:r>
        <w:rPr>
          <w:rFonts w:hint="eastAsia" w:ascii="仿宋_GB2312" w:hAnsi="仿宋_GB2312" w:eastAsia="仿宋_GB2312" w:cs="仿宋_GB2312"/>
          <w:bCs/>
          <w:sz w:val="32"/>
          <w:szCs w:val="32"/>
          <w:lang w:val="zh-CN"/>
        </w:rPr>
        <w:t>以顺义新城、产业集聚区、城乡结合部为重点，有序推进污水处理设施建设升级。遵循“污水就近收集、就近治理”的原则，通过城带村、镇带村、联村、单村等模式全面推进全区污水治理。加快再生水厂新建和改扩建工程建设。推进在大孙各庄镇中心区、木林镇中心区和李桥镇等地区新建再生水厂。加快推进马坡再生水厂、赵全营再生水厂、牛栏山再生水厂、北小营再生水厂、汉石桥湿地再生水厂等已建再生水厂的改扩建工程。推进顺义区污泥处置二期工程，提升污泥无害化处理能力。完善市政配套工程污水管线建设，加快老旧小区雨污合流改造工程，完善分流制雨水管网系统，着重提高城镇生活污水集中收集率。</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扩大农村生活污水治理范围。</w:t>
      </w:r>
      <w:r>
        <w:rPr>
          <w:rFonts w:hint="eastAsia" w:ascii="仿宋_GB2312" w:hAnsi="仿宋_GB2312" w:eastAsia="仿宋_GB2312" w:cs="仿宋_GB2312"/>
          <w:bCs/>
          <w:sz w:val="32"/>
          <w:szCs w:val="32"/>
          <w:lang w:val="zh-CN"/>
        </w:rPr>
        <w:t>分类推进农村生活污水治理，完成第三个治污三年行动方案，接续制定实施第四个治污三年行动方案。全面完成顺义区农村治污工程建设，统筹农村污水治理骨干管网和入户管线建设，以“污水收集管网</w:t>
      </w:r>
      <w:r>
        <w:rPr>
          <w:rFonts w:ascii="仿宋_GB2312" w:hAnsi="仿宋_GB2312" w:eastAsia="仿宋_GB2312" w:cs="仿宋_GB2312"/>
          <w:bCs/>
          <w:sz w:val="32"/>
          <w:szCs w:val="32"/>
          <w:lang w:val="zh-CN"/>
        </w:rPr>
        <w:t>+厂站”模式，</w:t>
      </w:r>
      <w:r>
        <w:rPr>
          <w:rFonts w:hint="eastAsia" w:ascii="仿宋_GB2312" w:hAnsi="仿宋_GB2312" w:eastAsia="仿宋_GB2312" w:cs="仿宋_GB2312"/>
          <w:bCs/>
          <w:sz w:val="32"/>
          <w:szCs w:val="32"/>
          <w:lang w:val="zh-CN"/>
        </w:rPr>
        <w:t>解决重点村庄污水集中处理问题，对不能采用上述模式处理污水的村庄和农户，采用分散处理模式等其他模式解决农户生活污水问题。实现重要水源地村庄、民俗旅游村庄污水处理设施全覆盖，确保农村生活污水治理（管控）率≥</w:t>
      </w:r>
      <w:r>
        <w:rPr>
          <w:rFonts w:ascii="仿宋_GB2312" w:hAnsi="仿宋_GB2312" w:eastAsia="仿宋_GB2312" w:cs="仿宋_GB2312"/>
          <w:bCs/>
          <w:sz w:val="32"/>
          <w:szCs w:val="32"/>
          <w:lang w:val="zh-CN"/>
        </w:rPr>
        <w:t>60%</w:t>
      </w:r>
      <w:r>
        <w:rPr>
          <w:rFonts w:hint="eastAsia" w:ascii="仿宋_GB2312" w:hAnsi="仿宋_GB2312" w:eastAsia="仿宋_GB2312" w:cs="仿宋_GB2312"/>
          <w:bCs/>
          <w:sz w:val="32"/>
          <w:szCs w:val="32"/>
          <w:lang w:val="zh-CN"/>
        </w:rPr>
        <w:t>。</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打通再生水循环利用途径。</w:t>
      </w:r>
      <w:r>
        <w:rPr>
          <w:rFonts w:hint="eastAsia" w:ascii="仿宋_GB2312" w:hAnsi="仿宋_GB2312" w:eastAsia="仿宋_GB2312" w:cs="仿宋_GB2312"/>
          <w:bCs/>
          <w:sz w:val="32"/>
          <w:szCs w:val="32"/>
          <w:lang w:val="zh-CN"/>
        </w:rPr>
        <w:t>按照“安全可靠、集约高效、循环通畅、调控有序”的原则，加快再生水输配工程建设，扩大河湖再生水生态补水，提高园林绿化再生水利用量，推进再生水管网覆盖范围内的园林绿地再生水应用尽用，推动自来水和地下水灌溉逐步退出，稳步扩大工业生产、市政杂用等再生水利用。实施顺义区再生水厂新建中水输水管线、李桥再生水厂及任李路配套管线等工程，扩大再生水输水范围。实施中关村顺义园新建中水管线工程（二期），完善顺于路再生水管线建设，为金马工业区企业提供再生水。推进再生水取水点建设，满足周边地区绿地灌溉和市政环卫用水需求。推进龙道河再生水补水工程。</w:t>
      </w:r>
    </w:p>
    <w:p>
      <w:pPr>
        <w:adjustRightInd w:val="0"/>
        <w:snapToGrid w:val="0"/>
        <w:spacing w:line="560" w:lineRule="exact"/>
        <w:ind w:firstLine="643" w:firstLineChars="200"/>
        <w:contextualSpacing/>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推动生活垃圾源头减量。</w:t>
      </w:r>
      <w:r>
        <w:rPr>
          <w:rFonts w:hint="eastAsia" w:ascii="仿宋_GB2312" w:hAnsi="仿宋_GB2312" w:eastAsia="仿宋_GB2312" w:cs="仿宋_GB2312"/>
          <w:bCs/>
          <w:sz w:val="32"/>
          <w:szCs w:val="32"/>
          <w:lang w:val="zh-CN"/>
        </w:rPr>
        <w:t>聚焦餐饮、快递、电商、商超等重点行业和关键环节，采取多种措施，持续推进生活垃圾源头减量。倡导绿色生产生活方式，实施“光盘行动”，鼓励旧货交易，鼓励净菜上市，鼓励具备条件的餐饮单位、大型蔬菜果品批发市场等对厨余垃圾就地处理。落实生产者责任延伸制度，严格执行新“限塑令”，推动商业商品包装绿色化和减量化，限制餐饮、宾馆等行业一次性用品使用，推动快递行业源头减量。</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强化生活垃圾分类回收。</w:t>
      </w:r>
      <w:r>
        <w:rPr>
          <w:rFonts w:hint="eastAsia" w:ascii="仿宋_GB2312" w:hAnsi="仿宋_GB2312" w:eastAsia="仿宋_GB2312" w:cs="仿宋_GB2312"/>
          <w:bCs/>
          <w:sz w:val="32"/>
          <w:szCs w:val="32"/>
          <w:lang w:val="zh-CN"/>
        </w:rPr>
        <w:t>全面推进生活垃圾分类，加强全流程精细化监管，实现垃圾分类管理主体责任全覆盖、垃圾分类类别全覆盖、垃圾分类投放收运处理系统全覆盖。建立健全垃圾分类收运体系，城区实行桶站巡回分类收集，农村实行桶站集中，保洁员入户分类收集，全区实现垃圾末端处理规范化管理。推动社会企业参与可回收物体系建设，完善再生资源分类回收和转运站点布局，推进生活垃圾分类与再生资源回收体系“两网融合”，提高生活垃圾回收利用率，城市</w:t>
      </w:r>
      <w:r>
        <w:rPr>
          <w:rFonts w:ascii="仿宋_GB2312" w:hAnsi="仿宋_GB2312" w:eastAsia="仿宋_GB2312" w:cs="仿宋_GB2312"/>
          <w:bCs/>
          <w:sz w:val="32"/>
          <w:szCs w:val="32"/>
          <w:lang w:val="zh-CN"/>
        </w:rPr>
        <w:t>生活垃圾</w:t>
      </w:r>
      <w:r>
        <w:rPr>
          <w:rFonts w:hint="eastAsia" w:ascii="仿宋_GB2312" w:hAnsi="仿宋_GB2312" w:eastAsia="仿宋_GB2312" w:cs="仿宋_GB2312"/>
          <w:bCs/>
          <w:sz w:val="32"/>
          <w:szCs w:val="32"/>
          <w:lang w:val="zh-CN"/>
        </w:rPr>
        <w:t>回收利用</w:t>
      </w:r>
      <w:r>
        <w:rPr>
          <w:rFonts w:ascii="仿宋_GB2312" w:hAnsi="仿宋_GB2312" w:eastAsia="仿宋_GB2312" w:cs="仿宋_GB2312"/>
          <w:bCs/>
          <w:sz w:val="32"/>
          <w:szCs w:val="32"/>
          <w:lang w:val="zh-CN"/>
        </w:rPr>
        <w:t>率</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35%</w:t>
      </w:r>
      <w:r>
        <w:rPr>
          <w:rFonts w:hint="eastAsia" w:ascii="仿宋_GB2312" w:hAnsi="仿宋_GB2312" w:eastAsia="仿宋_GB2312" w:cs="仿宋_GB2312"/>
          <w:bCs/>
          <w:sz w:val="32"/>
          <w:szCs w:val="32"/>
          <w:lang w:val="zh-CN"/>
        </w:rPr>
        <w:t>。</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增强垃圾资源化循环利用能力。</w:t>
      </w:r>
      <w:r>
        <w:rPr>
          <w:rFonts w:hint="eastAsia" w:ascii="仿宋_GB2312" w:hAnsi="仿宋_GB2312" w:eastAsia="仿宋_GB2312" w:cs="仿宋_GB2312"/>
          <w:bCs/>
          <w:sz w:val="32"/>
          <w:szCs w:val="32"/>
          <w:lang w:val="zh-CN"/>
        </w:rPr>
        <w:t>推进生活垃圾处理设施建设。完善顺义区生活垃圾综合处理厂焚烧三期及附属设施建设</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实施顺义区再生资源分拣中心、建筑垃圾资源化处置设施、灰渣填埋场工程。探索农村厕所粪污就地就近处理和资源化利用的路径，建设一批农村有机废弃物综合处置利用示范样板。推进废旧农膜、农药肥料包装废弃物回收处理。推进顺义区固体废物循环经济产业园建设，加强污泥、厨余、粪便等多种垃圾综合处理，</w:t>
      </w:r>
      <w:r>
        <w:rPr>
          <w:rFonts w:ascii="仿宋_GB2312" w:hAnsi="仿宋_GB2312" w:eastAsia="仿宋_GB2312" w:cs="仿宋_GB2312"/>
          <w:bCs/>
          <w:sz w:val="32"/>
          <w:szCs w:val="32"/>
          <w:lang w:val="zh-CN"/>
        </w:rPr>
        <w:t>实现生活垃圾“零填埋”，</w:t>
      </w:r>
      <w:r>
        <w:rPr>
          <w:rFonts w:hint="eastAsia" w:ascii="仿宋_GB2312" w:hAnsi="仿宋_GB2312" w:eastAsia="仿宋_GB2312" w:cs="仿宋_GB2312"/>
          <w:bCs/>
          <w:sz w:val="32"/>
          <w:szCs w:val="32"/>
          <w:lang w:val="zh-CN"/>
        </w:rPr>
        <w:t>促进垃圾资源化循环利用。</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（三）打造高质量人居环境品质</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构建亲民的绿色景观游憩体系。打造一体化绿色空间。</w:t>
      </w:r>
      <w:r>
        <w:rPr>
          <w:rFonts w:hint="eastAsia" w:ascii="仿宋_GB2312" w:hAnsi="仿宋_GB2312" w:eastAsia="仿宋_GB2312" w:cs="仿宋_GB2312"/>
          <w:b w:val="0"/>
          <w:bCs/>
          <w:sz w:val="32"/>
          <w:szCs w:val="32"/>
          <w:lang w:val="zh-CN"/>
        </w:rPr>
        <w:t>打造“五彩浅山”生态文明建设城市名片，协同推进城市绿道、滨水绿道和森林步道建设，打通绿道网络联系，加强游憩资源整合，有机串联山水林田城生态休闲体系。因地制宜实施绿地园林化改造，与停车、休闲健身、亲子游玩、应急避险等设施建设相结合，增强公园绿地城市服务功能。将文化和艺术元素植入公园绿地，提升公园绿地在文化传播、生态环保教育、科普展示等方面的价值。</w:t>
      </w:r>
      <w:r>
        <w:rPr>
          <w:rFonts w:hint="eastAsia" w:ascii="仿宋_GB2312" w:hAnsi="仿宋_GB2312" w:eastAsia="仿宋_GB2312" w:cs="仿宋_GB2312"/>
          <w:b/>
          <w:bCs w:val="0"/>
          <w:sz w:val="32"/>
          <w:szCs w:val="32"/>
          <w:lang w:val="zh-CN"/>
        </w:rPr>
        <w:t>拓展无边城市绿色公共空间。</w:t>
      </w:r>
      <w:r>
        <w:rPr>
          <w:rFonts w:hint="eastAsia" w:ascii="仿宋_GB2312" w:hAnsi="仿宋_GB2312" w:eastAsia="仿宋_GB2312" w:cs="仿宋_GB2312"/>
          <w:bCs/>
          <w:sz w:val="32"/>
          <w:szCs w:val="32"/>
          <w:lang w:val="zh-CN"/>
        </w:rPr>
        <w:t>因地制宜增添综合公园、社区公园、专类公园（游园），编织绿道、绿轴、绿带、绿环相互交织，街巷处处见绿的蓝绿交融全域绿色休闲空间。结合疏解整治促提升专项行动及城市有机更新，通过腾退还绿、疏解建绿、见缝插绿等形式，增加多种形式的公共绿地，有效增加小而美、精而优的公共绿色空间。增加居民可达的公园绿地、小微绿地、活动广场，让更多居民让百姓抬眼见绿、身在园中。</w:t>
      </w:r>
      <w:r>
        <w:rPr>
          <w:rFonts w:hint="eastAsia" w:ascii="仿宋_GB2312" w:hAnsi="仿宋_GB2312" w:eastAsia="仿宋_GB2312" w:cs="仿宋_GB2312"/>
          <w:b/>
          <w:bCs w:val="0"/>
          <w:sz w:val="32"/>
          <w:szCs w:val="32"/>
          <w:lang w:val="zh-CN"/>
        </w:rPr>
        <w:t>提升城市道路绿视率水平。</w:t>
      </w:r>
      <w:r>
        <w:rPr>
          <w:rFonts w:hint="eastAsia" w:ascii="仿宋_GB2312" w:hAnsi="仿宋_GB2312" w:eastAsia="仿宋_GB2312" w:cs="仿宋_GB2312"/>
          <w:bCs/>
          <w:sz w:val="32"/>
          <w:szCs w:val="32"/>
          <w:lang w:val="zh-CN"/>
        </w:rPr>
        <w:t>增强绿地系统规划前瞻性，在绿地系统规划中明确道路两侧的绿线宽度，提倡路侧绿带与周边地块附属绿地的一体化设计，从而丰富绿化景观层次，提升道路绿视率水平。打破公园边界设定，拆除原来老旧的围栏和绿篱，营造层次分明的疏林草地景观，让公园与城市街区自然地融为一体。在视觉感受上增添亮色还绿于市民。</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精准改善城乡环境面貌。</w:t>
      </w:r>
      <w:r>
        <w:rPr>
          <w:rFonts w:hint="eastAsia" w:ascii="仿宋_GB2312" w:hAnsi="仿宋_GB2312" w:eastAsia="仿宋_GB2312" w:cs="仿宋_GB2312"/>
          <w:bCs/>
          <w:sz w:val="32"/>
          <w:szCs w:val="32"/>
          <w:lang w:val="zh-CN"/>
        </w:rPr>
        <w:t>按照达标类、精治类、维护类三类标准，深入实施背街小巷环境精细化整治提升行动计划，着力打造精品宜居街巷。推动重点片区环境整治，加快形成整体连片规模效应，促进重要片区的城市风貌定型。围绕机场周边、城市副中心联络线、铁路沿线、地铁、高快速路等交通廊道，实施以机场周边环境提升为重点的全区范围景观提升项目，加强轨道交通沿线等地区环境整治。持续开展全区脏乱点治理，以环境月检查、城乡居民环境满意度调查等方式，全面推进环境整治。</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
          <w:sz w:val="32"/>
          <w:szCs w:val="32"/>
          <w:lang w:val="zh-CN"/>
        </w:rPr>
        <w:t>建设生态宜居美丽乡村</w:t>
      </w:r>
      <w:r>
        <w:rPr>
          <w:rFonts w:hint="eastAsia" w:ascii="仿宋_GB2312" w:hAnsi="仿宋_GB2312" w:eastAsia="仿宋_GB2312" w:cs="仿宋_GB2312"/>
          <w:b/>
          <w:sz w:val="32"/>
          <w:szCs w:val="32"/>
          <w:lang w:val="zh-CN"/>
        </w:rPr>
        <w:t>。动态优化村庄类型。</w:t>
      </w:r>
      <w:r>
        <w:rPr>
          <w:rFonts w:hint="eastAsia" w:ascii="仿宋_GB2312" w:hAnsi="仿宋_GB2312" w:eastAsia="仿宋_GB2312" w:cs="仿宋_GB2312"/>
          <w:bCs/>
          <w:sz w:val="32"/>
          <w:szCs w:val="32"/>
          <w:lang w:val="zh-CN"/>
        </w:rPr>
        <w:t>因地制宜建设新型农村社区，一村一策，注重农村特色，保持乡村风貌，体现京韵农味。分类推进城镇集建型、整治完善型、特色提升型等三类村庄建设。城镇集建型村庄，着重加快实现城乡人居环境基础设施互联互通、共建共享。整治完善型村庄，重在完善人居环境基础设施，提高建设管护水平，鼓励村庄积极开展集体产业用地整理、原地微循环整理，推动农村人居环境与产业发展互促互进，完善区域服务功能。特色提升型村庄，以“严格保护、永续利用”为原则，加强历史文化、传统风貌的保护延续和村庄整体风貌引导。</w:t>
      </w:r>
      <w:r>
        <w:rPr>
          <w:rFonts w:hint="eastAsia" w:ascii="仿宋_GB2312" w:hAnsi="仿宋_GB2312" w:eastAsia="仿宋_GB2312" w:cs="仿宋_GB2312"/>
          <w:b/>
          <w:sz w:val="32"/>
          <w:szCs w:val="32"/>
          <w:lang w:val="zh-CN"/>
        </w:rPr>
        <w:t>村容村貌整体提升。</w:t>
      </w:r>
      <w:r>
        <w:rPr>
          <w:rFonts w:hint="eastAsia" w:ascii="仿宋_GB2312" w:hAnsi="仿宋_GB2312" w:eastAsia="仿宋_GB2312" w:cs="仿宋_GB2312"/>
          <w:bCs/>
          <w:sz w:val="32"/>
          <w:szCs w:val="32"/>
          <w:lang w:val="zh-CN"/>
        </w:rPr>
        <w:t>深入开展农村人居环境整治，围绕“清脏、治乱、增绿”三大重点任务，消除村域内存在的“脏、乱、差”现象。加强村庄的绿化美化和生态建设，在村庄房前屋后、河旁湖旁、渠边路边、零星闲置地等边角空地，拆违还绿、留白建绿、见空插绿，努力实现以绿治脏、以绿净村、以绿美村。</w:t>
      </w:r>
      <w:r>
        <w:rPr>
          <w:rFonts w:hint="eastAsia" w:ascii="仿宋_GB2312" w:hAnsi="仿宋_GB2312" w:eastAsia="仿宋_GB2312" w:cs="仿宋_GB2312"/>
          <w:b/>
          <w:sz w:val="32"/>
          <w:szCs w:val="32"/>
          <w:lang w:val="zh-CN"/>
        </w:rPr>
        <w:t>加强山村园林绿化。</w:t>
      </w:r>
      <w:r>
        <w:rPr>
          <w:rFonts w:hint="eastAsia" w:ascii="仿宋_GB2312" w:hAnsi="仿宋_GB2312" w:eastAsia="仿宋_GB2312" w:cs="仿宋_GB2312"/>
          <w:bCs/>
          <w:sz w:val="32"/>
          <w:szCs w:val="32"/>
          <w:lang w:val="zh-CN"/>
        </w:rPr>
        <w:t>实施“村村见公园”工程，努力让每一个村庄拥有至少一处村头公园或公共休闲绿地。提高镇乡绿化品质，加强道路绿化和村庄绿化美化，建设精品道路、精品村庄。对平原生态林地进行改造提升，提高村民的生态休闲空间，增加生态科普知识宣传，提高其爱绿、护绿的生态文明意识。加强乡土树种和花卉的使用，村庄附近适当种植乡土经济类树种，促进乡村经济发展。</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（四）多领域防治打造“安宁”城区</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实施多领域噪声污染防治。</w:t>
      </w:r>
      <w:r>
        <w:rPr>
          <w:rFonts w:hint="eastAsia" w:ascii="仿宋_GB2312" w:hAnsi="仿宋_GB2312" w:eastAsia="仿宋_GB2312" w:cs="仿宋_GB2312"/>
          <w:bCs/>
          <w:sz w:val="32"/>
          <w:szCs w:val="32"/>
          <w:lang w:val="zh-CN"/>
        </w:rPr>
        <w:t>对道路交通、城市轨道交通、工业噪声、施工噪声、航空噪声、社会生活噪声等采取减噪措施，并推动实施治理工程。着重突出交通噪声防治。严控新建轨道交通噪声和振动扰民。强化轨道交通廊道预留，合理安排用地功能。鼓励降噪设施材料使用，新建、改建、扩建的高速公路和城市快速路优先采用低噪声路面技术和材料。科学运用隔声屏障设施，推进低噪声轮胎的应用。落实市委市政府“接诉即办”“每月一题”要求，按照交通噪声扰民问题治理工作要求，开展交通噪声监测、调查等基础性工作。强化施工噪声污染防治，加大夜间违法施工噪声扰民行为的查处力度，落实施工噪声扰民补偿制度。提高机场周边植被覆盖率，打造“绿色机场”，降低飞机噪声对区内居民的影响。加强社会生活噪声污染防治，倡导公众文明使用外放设备。临街第一排建筑物加强防噪措施，安排带封闭式窗的走廊或防噪声阳台等。创造安宁和谐的城区环境，实现区域环境噪声平均值控制在</w:t>
      </w:r>
      <w:r>
        <w:rPr>
          <w:rFonts w:ascii="仿宋_GB2312" w:hAnsi="仿宋_GB2312" w:eastAsia="仿宋_GB2312" w:cs="仿宋_GB2312"/>
          <w:bCs/>
          <w:sz w:val="32"/>
          <w:szCs w:val="32"/>
          <w:lang w:val="zh-CN"/>
        </w:rPr>
        <w:t>55分贝，交通噪声平均值控制在70分贝</w:t>
      </w:r>
      <w:r>
        <w:rPr>
          <w:rFonts w:hint="eastAsia" w:ascii="仿宋_GB2312" w:hAnsi="仿宋_GB2312" w:eastAsia="仿宋_GB2312" w:cs="仿宋_GB2312"/>
          <w:bCs/>
          <w:sz w:val="32"/>
          <w:szCs w:val="32"/>
          <w:lang w:val="zh-CN"/>
        </w:rPr>
        <w:t>目标。</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完善声环境质量自动监测系统建设。</w:t>
      </w:r>
      <w:r>
        <w:rPr>
          <w:rFonts w:hint="eastAsia" w:ascii="仿宋_GB2312" w:hAnsi="仿宋_GB2312" w:eastAsia="仿宋_GB2312" w:cs="仿宋_GB2312"/>
          <w:bCs/>
          <w:sz w:val="32"/>
          <w:szCs w:val="32"/>
          <w:lang w:val="zh-CN"/>
        </w:rPr>
        <w:t>对监测点位未覆盖到的新城区，定期进行抽样监测。推进环境噪声达标区环境监控，加强重点区域社会生活噪声实时监控能力。完善区级声环境质量自动监测网络，更新自动监测设备，优化监测点位，准确获取实时监测数据，实现对市级噪声监测系统覆盖范围的优化提升。</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28" w:name="_Toc12282_WPSOffice_Level2"/>
      <w:bookmarkStart w:id="129" w:name="_Hlk164031721"/>
      <w:r>
        <w:rPr>
          <w:rFonts w:hint="eastAsia" w:ascii="黑体" w:hAnsi="黑体" w:eastAsia="黑体" w:cs="黑体"/>
          <w:b w:val="0"/>
          <w:bCs/>
          <w:sz w:val="32"/>
          <w:szCs w:val="32"/>
          <w:lang w:val="zh-CN"/>
        </w:rPr>
        <w:t>修复保护擦亮生态底色</w:t>
      </w:r>
      <w:bookmarkEnd w:id="128"/>
    </w:p>
    <w:bookmarkEnd w:id="129"/>
    <w:p>
      <w:pPr>
        <w:pStyle w:val="4"/>
        <w:keepNext w:val="0"/>
        <w:keepLines w:val="0"/>
        <w:numPr>
          <w:ilvl w:val="255"/>
          <w:numId w:val="0"/>
        </w:numPr>
        <w:spacing w:before="0"/>
        <w:ind w:left="0" w:firstLine="640" w:firstLineChars="20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一）</w:t>
      </w:r>
      <w:r>
        <w:rPr>
          <w:rFonts w:hint="eastAsia" w:ascii="楷体_GB2312" w:hAnsi="楷体_GB2312" w:eastAsia="楷体_GB2312" w:cs="楷体_GB2312"/>
          <w:b w:val="0"/>
          <w:bCs w:val="0"/>
          <w:sz w:val="32"/>
          <w:szCs w:val="32"/>
          <w:lang w:eastAsia="zh-CN"/>
        </w:rPr>
        <w:t>加强生态空间管控与保护</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bCs/>
          <w:sz w:val="32"/>
          <w:szCs w:val="32"/>
        </w:rPr>
        <w:t>严守“三区三线”底线管控。</w:t>
      </w:r>
      <w:r>
        <w:rPr>
          <w:rFonts w:hint="eastAsia" w:ascii="仿宋_GB2312" w:hAnsi="仿宋_GB2312" w:eastAsia="仿宋_GB2312" w:cs="仿宋_GB2312"/>
          <w:bCs/>
          <w:sz w:val="32"/>
          <w:szCs w:val="32"/>
          <w:lang w:val="zh-CN"/>
        </w:rPr>
        <w:t>严格落实“三线三区”（即农业空间、生态空间、城镇空间三种类型的国土空间，耕地和</w:t>
      </w:r>
      <w:r>
        <w:rPr>
          <w:rFonts w:ascii="仿宋_GB2312" w:hAnsi="仿宋_GB2312" w:eastAsia="仿宋_GB2312" w:cs="仿宋_GB2312"/>
          <w:bCs/>
          <w:sz w:val="32"/>
          <w:szCs w:val="32"/>
          <w:lang w:val="zh-CN"/>
        </w:rPr>
        <w:t>永久基本农田保护红线、生态保护红线</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城镇开发边界三条控制线</w:t>
      </w:r>
      <w:r>
        <w:rPr>
          <w:rFonts w:hint="eastAsia" w:ascii="仿宋_GB2312" w:hAnsi="仿宋_GB2312" w:eastAsia="仿宋_GB2312" w:cs="仿宋_GB2312"/>
          <w:bCs/>
          <w:sz w:val="32"/>
          <w:szCs w:val="32"/>
          <w:lang w:val="zh-CN"/>
        </w:rPr>
        <w:t>）的划定成果，坚决守住生态保护红线，保护耕地和永久基本农田，切实保障生态环境与粮食安全。到</w:t>
      </w:r>
      <w:r>
        <w:rPr>
          <w:rFonts w:ascii="仿宋_GB2312" w:hAnsi="仿宋_GB2312" w:eastAsia="仿宋_GB2312" w:cs="仿宋_GB2312"/>
          <w:bCs/>
          <w:sz w:val="32"/>
          <w:szCs w:val="32"/>
          <w:lang w:val="zh-CN"/>
        </w:rPr>
        <w:t>2035</w:t>
      </w:r>
      <w:r>
        <w:rPr>
          <w:rFonts w:hint="eastAsia" w:ascii="仿宋_GB2312" w:hAnsi="仿宋_GB2312" w:eastAsia="仿宋_GB2312" w:cs="仿宋_GB2312"/>
          <w:bCs/>
          <w:sz w:val="32"/>
          <w:szCs w:val="32"/>
          <w:lang w:val="zh-CN"/>
        </w:rPr>
        <w:t>年顺义区生态保护红线面积不小于</w:t>
      </w:r>
      <w:r>
        <w:rPr>
          <w:rFonts w:ascii="仿宋_GB2312" w:hAnsi="仿宋_GB2312" w:eastAsia="仿宋_GB2312" w:cs="仿宋_GB2312"/>
          <w:bCs/>
          <w:sz w:val="32"/>
          <w:szCs w:val="32"/>
          <w:lang w:val="zh-CN"/>
        </w:rPr>
        <w:t>43.3平</w:t>
      </w:r>
      <w:r>
        <w:rPr>
          <w:rFonts w:hint="eastAsia" w:ascii="仿宋_GB2312" w:hAnsi="仿宋_GB2312" w:eastAsia="仿宋_GB2312" w:cs="仿宋_GB2312"/>
          <w:bCs/>
          <w:sz w:val="32"/>
          <w:szCs w:val="32"/>
          <w:lang w:val="zh-CN"/>
        </w:rPr>
        <w:t>方公里。适时开展生态保护红线勘界定标工作。严格落实生态保护红线管理制度，确保生态保护红线生态功能不降低、面积不减少、性质不改变。</w:t>
      </w:r>
      <w:r>
        <w:rPr>
          <w:rFonts w:ascii="仿宋_GB2312" w:hAnsi="仿宋_GB2312" w:eastAsia="仿宋_GB2312" w:cs="仿宋_GB2312"/>
          <w:bCs/>
          <w:sz w:val="32"/>
          <w:szCs w:val="32"/>
          <w:lang w:val="zh-CN"/>
        </w:rPr>
        <w:t>严守耕地和永久基本农田保护红线，不得随意调整和占用永久基本农田</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到2025年，耕地保有量达到26万亩，永久基本农田保护面积不低于23.7万亩。</w:t>
      </w:r>
      <w:r>
        <w:rPr>
          <w:rFonts w:hint="eastAsia" w:ascii="仿宋_GB2312" w:hAnsi="仿宋_GB2312" w:eastAsia="仿宋_GB2312" w:cs="仿宋_GB2312"/>
          <w:bCs/>
          <w:sz w:val="32"/>
          <w:szCs w:val="32"/>
          <w:lang w:val="zh-CN"/>
        </w:rPr>
        <w:t>严格管控城乡建设用地规模，到</w:t>
      </w:r>
      <w:r>
        <w:rPr>
          <w:rFonts w:ascii="仿宋_GB2312" w:hAnsi="仿宋_GB2312" w:eastAsia="仿宋_GB2312" w:cs="仿宋_GB2312"/>
          <w:bCs/>
          <w:sz w:val="32"/>
          <w:szCs w:val="32"/>
          <w:lang w:val="zh-CN"/>
        </w:rPr>
        <w:t>2035</w:t>
      </w:r>
      <w:r>
        <w:rPr>
          <w:rFonts w:hint="eastAsia" w:ascii="仿宋_GB2312" w:hAnsi="仿宋_GB2312" w:eastAsia="仿宋_GB2312" w:cs="仿宋_GB2312"/>
          <w:bCs/>
          <w:sz w:val="32"/>
          <w:szCs w:val="32"/>
          <w:lang w:val="zh-CN"/>
        </w:rPr>
        <w:t>年顺义区城乡建设用地规模控制在</w:t>
      </w:r>
      <w:r>
        <w:rPr>
          <w:rFonts w:ascii="仿宋_GB2312" w:hAnsi="仿宋_GB2312" w:eastAsia="仿宋_GB2312" w:cs="仿宋_GB2312"/>
          <w:bCs/>
          <w:sz w:val="32"/>
          <w:szCs w:val="32"/>
          <w:lang w:val="zh-CN"/>
        </w:rPr>
        <w:t>277.32</w:t>
      </w:r>
      <w:r>
        <w:rPr>
          <w:rFonts w:hint="eastAsia" w:ascii="仿宋_GB2312" w:hAnsi="仿宋_GB2312" w:eastAsia="仿宋_GB2312" w:cs="仿宋_GB2312"/>
          <w:bCs/>
          <w:sz w:val="32"/>
          <w:szCs w:val="32"/>
          <w:lang w:val="zh-CN"/>
        </w:rPr>
        <w:t>平方公里以内。</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实施两线三区全域管控。</w:t>
      </w:r>
      <w:r>
        <w:rPr>
          <w:rFonts w:hint="eastAsia" w:ascii="仿宋_GB2312" w:hAnsi="仿宋_GB2312" w:eastAsia="仿宋_GB2312" w:cs="仿宋_GB2312"/>
          <w:bCs/>
          <w:sz w:val="32"/>
          <w:szCs w:val="32"/>
          <w:lang w:val="zh-CN"/>
        </w:rPr>
        <w:t>严格执行生态控制区、集中建设区和限制建设区的开发建设及管控要求。全面落实《顺义分区规划（国土空间规划）（</w:t>
      </w:r>
      <w:r>
        <w:rPr>
          <w:rFonts w:ascii="仿宋_GB2312" w:hAnsi="仿宋_GB2312" w:eastAsia="仿宋_GB2312" w:cs="仿宋_GB2312"/>
          <w:bCs/>
          <w:sz w:val="32"/>
          <w:szCs w:val="32"/>
          <w:lang w:val="zh-CN"/>
        </w:rPr>
        <w:t>2017-2035年）》划定的生态类保护边界及相</w:t>
      </w:r>
      <w:r>
        <w:rPr>
          <w:rFonts w:hint="eastAsia" w:ascii="仿宋_GB2312" w:hAnsi="仿宋_GB2312" w:eastAsia="仿宋_GB2312" w:cs="仿宋_GB2312"/>
          <w:bCs/>
          <w:sz w:val="32"/>
          <w:szCs w:val="32"/>
          <w:lang w:val="zh-CN"/>
        </w:rPr>
        <w:t>关生态环境保护规划方面的内容，严守生态保护红线，加强自然保护地监管，坚持一张蓝图绘到底。严格管理生态控制区内建设行为，严格控制与生态保护无关的建设活动，保障生态空间只增不减、土地开发强度只降不升；</w:t>
      </w:r>
      <w:r>
        <w:rPr>
          <w:rFonts w:ascii="仿宋_GB2312" w:hAnsi="仿宋_GB2312" w:eastAsia="仿宋_GB2312" w:cs="仿宋_GB2312"/>
          <w:bCs/>
          <w:sz w:val="32"/>
          <w:szCs w:val="32"/>
          <w:lang w:val="zh-CN"/>
        </w:rPr>
        <w:t>严格管控城镇建设空间，新增城市建设项目原则上应在集中建设区内进行布局和建设</w:t>
      </w:r>
      <w:r>
        <w:rPr>
          <w:rFonts w:hint="eastAsia" w:ascii="仿宋_GB2312" w:hAnsi="仿宋_GB2312" w:eastAsia="仿宋_GB2312" w:cs="仿宋_GB2312"/>
          <w:bCs/>
          <w:sz w:val="32"/>
          <w:szCs w:val="32"/>
          <w:lang w:val="zh-CN"/>
        </w:rPr>
        <w:t>；通过集体产业用地腾退减量和绿化建设，将限制建设区用地逐步划入生态控制区和集中建设区</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严格南部与廊坊北三县交界地区空间管控，严格控制开发强度，坚决遏制贴边发展和无序蔓延。</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lang w:val="zh-CN"/>
        </w:rPr>
        <w:t>推动“三线一单”生态环境分区管控成果细化和落地应用。</w:t>
      </w:r>
      <w:r>
        <w:rPr>
          <w:rFonts w:hint="eastAsia" w:ascii="仿宋_GB2312" w:hAnsi="仿宋_GB2312" w:eastAsia="仿宋_GB2312" w:cs="仿宋_GB2312"/>
          <w:bCs/>
          <w:sz w:val="32"/>
          <w:szCs w:val="32"/>
          <w:lang w:val="zh-CN"/>
        </w:rPr>
        <w:t>强化“三线一单”（生态保护红线、环境质量底线、资源利用上线、生态环境准入清单）在规划编制、环评审批、执法监管等方面应用。严格落实生态环境分区管控要求</w:t>
      </w:r>
      <w:r>
        <w:rPr>
          <w:rFonts w:hint="eastAsia" w:ascii="仿宋_GB2312" w:hAnsi="仿宋_GB2312" w:eastAsia="仿宋_GB2312" w:cs="仿宋_GB2312"/>
          <w:bCs/>
          <w:sz w:val="32"/>
          <w:szCs w:val="32"/>
        </w:rPr>
        <w:t>，实施分类管理，</w:t>
      </w:r>
      <w:r>
        <w:rPr>
          <w:rFonts w:ascii="仿宋_GB2312" w:hAnsi="仿宋_GB2312" w:eastAsia="仿宋_GB2312" w:cs="仿宋_GB2312"/>
          <w:bCs/>
          <w:sz w:val="32"/>
          <w:szCs w:val="32"/>
        </w:rPr>
        <w:t>确保优先保护单元生态环境功能不降低，</w:t>
      </w:r>
      <w:r>
        <w:rPr>
          <w:rFonts w:hint="eastAsia" w:ascii="仿宋_GB2312" w:hAnsi="仿宋_GB2312" w:eastAsia="仿宋_GB2312" w:cs="仿宋_GB2312"/>
          <w:bCs/>
          <w:sz w:val="32"/>
          <w:szCs w:val="32"/>
        </w:rPr>
        <w:t>推进重点管控单元产业空间布局优化。</w:t>
      </w:r>
    </w:p>
    <w:p>
      <w:pPr>
        <w:adjustRightInd w:val="0"/>
        <w:snapToGrid w:val="0"/>
        <w:spacing w:line="560" w:lineRule="exact"/>
        <w:ind w:firstLine="643" w:firstLineChars="200"/>
        <w:contextualSpacing/>
        <w:rPr>
          <w:rFonts w:ascii="仿宋" w:hAnsi="仿宋" w:eastAsia="仿宋" w:cs="仿宋_GB2312"/>
          <w:bCs/>
          <w:sz w:val="30"/>
          <w:szCs w:val="30"/>
          <w:lang w:val="zh-CN"/>
        </w:rPr>
      </w:pPr>
      <w:r>
        <w:rPr>
          <w:rFonts w:hint="eastAsia" w:ascii="仿宋_GB2312" w:hAnsi="仿宋_GB2312" w:eastAsia="仿宋_GB2312" w:cs="仿宋_GB2312"/>
          <w:b/>
          <w:sz w:val="32"/>
          <w:szCs w:val="32"/>
          <w:lang w:val="zh-CN"/>
        </w:rPr>
        <w:t>加强自然保护地保护与监管。</w:t>
      </w:r>
      <w:r>
        <w:rPr>
          <w:rFonts w:hint="eastAsia" w:ascii="仿宋_GB2312" w:hAnsi="仿宋_GB2312" w:eastAsia="仿宋_GB2312" w:cs="仿宋_GB2312"/>
          <w:bCs/>
          <w:sz w:val="32"/>
          <w:szCs w:val="32"/>
          <w:lang w:val="zh-CN"/>
        </w:rPr>
        <w:t>推进自然保护地整合优化，确保资源有效保护和永续利用。汉石桥湿地自然保护区是北京市平原地区唯一现存的大型芦苇沼泽类型的原生湿地，湿地生态系统基本处于半自然状态，其独特的地理位置和优良的环境孕育了丰富的物种多样性。推进实施《北京市汉石桥湿地市级自然保护区总体规划（</w:t>
      </w:r>
      <w:r>
        <w:rPr>
          <w:rFonts w:ascii="仿宋_GB2312" w:hAnsi="仿宋_GB2312" w:eastAsia="仿宋_GB2312" w:cs="仿宋_GB2312"/>
          <w:bCs/>
          <w:sz w:val="32"/>
          <w:szCs w:val="32"/>
          <w:lang w:val="zh-CN"/>
        </w:rPr>
        <w:t>2021-2030）》，以汉石桥市级湿地自然保护区、共青滨河森林公园为主体，强化科学合理的自然保护地体系建设。定期开展重点自然保护地保护成效评估，提高自然保护地管理效能。加强自然保护地监督管理，保护重要生态空间。加强“绿盾”自然保护地监管，发挥“绿盾”监督检查的利剑作用，严肃查处涉及自然保护地的生态破坏行为。</w:t>
      </w:r>
    </w:p>
    <w:p>
      <w:pPr>
        <w:pStyle w:val="4"/>
        <w:keepNext w:val="0"/>
        <w:keepLines w:val="0"/>
        <w:numPr>
          <w:ilvl w:val="255"/>
          <w:numId w:val="0"/>
        </w:numPr>
        <w:spacing w:before="0"/>
        <w:ind w:left="0" w:firstLine="640" w:firstLineChars="20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二）</w:t>
      </w:r>
      <w:r>
        <w:rPr>
          <w:rFonts w:hint="eastAsia" w:ascii="楷体_GB2312" w:hAnsi="楷体_GB2312" w:eastAsia="楷体_GB2312" w:cs="楷体_GB2312"/>
          <w:b w:val="0"/>
          <w:bCs w:val="0"/>
          <w:sz w:val="32"/>
          <w:szCs w:val="32"/>
          <w:lang w:eastAsia="zh-CN"/>
        </w:rPr>
        <w:t>优化生物多样性空间体系</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加强生态空间景观连通性。</w:t>
      </w:r>
      <w:r>
        <w:rPr>
          <w:rFonts w:hint="eastAsia" w:ascii="仿宋_GB2312" w:hAnsi="仿宋_GB2312" w:eastAsia="仿宋_GB2312" w:cs="仿宋_GB2312"/>
          <w:bCs/>
          <w:sz w:val="32"/>
          <w:szCs w:val="32"/>
          <w:lang w:val="zh-CN"/>
        </w:rPr>
        <w:t>完善造林空间布局，优化城市森林分布均匀度。实施新一轮百万亩造林绿化等重大绿化建设工程。建立并完善顺义区绿色生态网络，合理连接城市景观生态林和城市道路绿化、水系绿化带，形成网络状森林生态景观。提高道路绿视率，对城区中心地区，尤其是东六环和京沈路以西、右堤路和左堤路以东、外环路以北、白马路和昌金路以南等沿潮白河走向绿视率低聚集的主要道路，进行整体改造和生态功能提升。</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持续推进森林生态体系建设。</w:t>
      </w:r>
      <w:r>
        <w:rPr>
          <w:rFonts w:hint="eastAsia" w:ascii="仿宋_GB2312" w:hAnsi="仿宋_GB2312" w:eastAsia="仿宋_GB2312" w:cs="仿宋_GB2312"/>
          <w:bCs/>
          <w:sz w:val="32"/>
          <w:szCs w:val="32"/>
        </w:rPr>
        <w:t>围绕构筑大尺度森林湿地，强化生态空间互联互通，建设稳定健康城市森林生态系统的目标，全面整合生态、生产、生活不同空间的森林、湿地、绿地资源，构建“一轴一环百片区，三网三园千社村”的森林城市建设空间布局。进一步提高顺义区森林覆盖率，到</w:t>
      </w:r>
      <w:r>
        <w:rPr>
          <w:rFonts w:ascii="仿宋_GB2312" w:hAnsi="仿宋_GB2312" w:eastAsia="仿宋_GB2312" w:cs="仿宋_GB2312"/>
          <w:bCs/>
          <w:sz w:val="32"/>
          <w:szCs w:val="32"/>
        </w:rPr>
        <w:t>2025年森林覆盖率提高到32.9%，公园绿地500米服务半径覆盖率达到92%</w:t>
      </w:r>
      <w:r>
        <w:rPr>
          <w:rFonts w:hint="eastAsia" w:ascii="仿宋_GB2312" w:hAnsi="仿宋_GB2312" w:eastAsia="仿宋_GB2312" w:cs="仿宋_GB2312"/>
          <w:bCs/>
          <w:sz w:val="32"/>
          <w:szCs w:val="32"/>
        </w:rPr>
        <w:t>。增加顺义新城绿化总量、提高绿地品质、丰富景观层次、突出绿地景观色彩变化，合理布局和增加公园绿地。打造成规模、近自然、高质量的森林生态片区和湿地生态片区，提升顺义区生态系统服务功能，优化生态格局。结合城区绿化增量体质、生态绿轴建设、森林湿地生态片区建设、森林资源质量提升和绿色廊道建设，持续推进顺义区森林生态体系建设。</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打造蓝绿交融绿色空间体系。</w:t>
      </w:r>
      <w:r>
        <w:rPr>
          <w:rFonts w:hint="eastAsia" w:ascii="仿宋_GB2312" w:hAnsi="仿宋_GB2312" w:eastAsia="仿宋_GB2312" w:cs="仿宋_GB2312"/>
          <w:bCs/>
          <w:sz w:val="32"/>
          <w:szCs w:val="32"/>
          <w:lang w:val="zh-CN"/>
        </w:rPr>
        <w:t>着力建设蓝绿交融、绿带环绕、绿廊贯穿的绿色空间体系，形成森林、湿地与城区相融、水清岸绿的景观风貌。依托重要森林、湿地等大尺度生态绿洲，以河流水系、道路绿带、城市绿道等绿廊绿带为连接骨架，构建“一带三廊”全域绿色空间结构。依托潮白河万亩森林公园，着力打造潮白河生态功能带，开展潮白河生态功能带的保护、修复与治理；</w:t>
      </w:r>
      <w:r>
        <w:rPr>
          <w:rFonts w:ascii="仿宋_GB2312" w:hAnsi="仿宋_GB2312" w:eastAsia="仿宋_GB2312" w:cs="仿宋_GB2312"/>
          <w:bCs/>
          <w:sz w:val="32"/>
          <w:szCs w:val="32"/>
          <w:lang w:val="zh-CN"/>
        </w:rPr>
        <w:t>结合顺义区域生态空间布局特征，加强相邻地区的生态管控，串联浅山区、温榆河、汉石桥湿地以及组团间绿色空间等重要的生态绿楔，结合第二道绿化隔离地区生态建设，在顺义区北部、中部、南部</w:t>
      </w:r>
      <w:r>
        <w:rPr>
          <w:rFonts w:hint="eastAsia" w:ascii="仿宋_GB2312" w:hAnsi="仿宋_GB2312" w:eastAsia="仿宋_GB2312" w:cs="仿宋_GB2312"/>
          <w:bCs/>
          <w:sz w:val="32"/>
          <w:szCs w:val="32"/>
          <w:lang w:val="zh-CN"/>
        </w:rPr>
        <w:t>建设</w:t>
      </w:r>
      <w:r>
        <w:rPr>
          <w:rFonts w:ascii="仿宋_GB2312" w:hAnsi="仿宋_GB2312" w:eastAsia="仿宋_GB2312" w:cs="仿宋_GB2312"/>
          <w:bCs/>
          <w:sz w:val="32"/>
          <w:szCs w:val="32"/>
          <w:lang w:val="zh-CN"/>
        </w:rPr>
        <w:t>三条东西向生态绿廊</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北部生态走廊、中部生态走廊、南部生态走廊</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形成大尺度绿色空间。重点推进温榆河公园（顺义园）建设进程，完成约</w:t>
      </w:r>
      <w:r>
        <w:rPr>
          <w:rFonts w:ascii="仿宋_GB2312" w:hAnsi="仿宋_GB2312" w:eastAsia="仿宋_GB2312" w:cs="仿宋_GB2312"/>
          <w:bCs/>
          <w:sz w:val="32"/>
          <w:szCs w:val="32"/>
          <w:lang w:val="zh-CN"/>
        </w:rPr>
        <w:t>7.5</w:t>
      </w:r>
      <w:r>
        <w:rPr>
          <w:rFonts w:hint="eastAsia" w:ascii="仿宋_GB2312" w:hAnsi="仿宋_GB2312" w:eastAsia="仿宋_GB2312" w:cs="仿宋_GB2312"/>
          <w:bCs/>
          <w:sz w:val="32"/>
          <w:szCs w:val="32"/>
          <w:lang w:val="zh-CN"/>
        </w:rPr>
        <w:t>平方公里的责任范围；推进潮白河森林公园等大尺度生态公园建设，推进产业园休闲公园、馨苑休闲公园、和安休闲公园等重点休闲公园建设，打造赵全营镇绿心公园、李桥镇健身步道公园、北小营镇呼奴文化公园、龙湾屯红色公园等一系列镇级公园。</w:t>
      </w:r>
    </w:p>
    <w:p>
      <w:pPr>
        <w:adjustRightInd w:val="0"/>
        <w:snapToGrid w:val="0"/>
        <w:spacing w:line="560" w:lineRule="exact"/>
        <w:ind w:firstLine="643" w:firstLineChars="200"/>
        <w:contextualSpacing/>
        <w:rPr>
          <w:rFonts w:ascii="仿宋" w:hAnsi="仿宋" w:eastAsia="仿宋" w:cs="仿宋_GB2312"/>
          <w:bCs/>
          <w:sz w:val="30"/>
          <w:szCs w:val="30"/>
          <w:lang w:val="zh-CN"/>
        </w:rPr>
      </w:pPr>
      <w:r>
        <w:rPr>
          <w:rFonts w:hint="eastAsia" w:ascii="仿宋_GB2312" w:hAnsi="仿宋_GB2312" w:eastAsia="仿宋_GB2312" w:cs="仿宋_GB2312"/>
          <w:b/>
          <w:sz w:val="32"/>
          <w:szCs w:val="32"/>
          <w:lang w:val="zh-CN"/>
        </w:rPr>
        <w:t>开展生态环境修复。</w:t>
      </w:r>
      <w:r>
        <w:rPr>
          <w:rFonts w:hint="eastAsia" w:ascii="仿宋_GB2312" w:hAnsi="仿宋_GB2312" w:eastAsia="仿宋_GB2312" w:cs="仿宋_GB2312"/>
          <w:bCs/>
          <w:sz w:val="32"/>
          <w:szCs w:val="32"/>
          <w:lang w:val="zh-CN"/>
        </w:rPr>
        <w:t>恢复河流湿地的自然岸线，建设具有一定宽度、结构稳定的滨河绿带。保障河湖生态基流。因地制宜建设小微湿地。科学开展增殖放流。严守永久基本农田保护红线，优先在耕地集中连片区内开展农田生态修复。保护土壤生物多样性。开展矿山生态环境修复治理工作，逐步恢复治理废弃矿山环境。科学评估生态修复工程实施对水生生物、鸟类以及昆虫的影响，改善生物栖息环境。</w:t>
      </w:r>
    </w:p>
    <w:p>
      <w:pPr>
        <w:pStyle w:val="4"/>
        <w:keepNext w:val="0"/>
        <w:keepLines w:val="0"/>
        <w:numPr>
          <w:ilvl w:val="255"/>
          <w:numId w:val="0"/>
        </w:numPr>
        <w:spacing w:before="0"/>
        <w:ind w:left="0" w:firstLine="640" w:firstLineChars="20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三）</w:t>
      </w:r>
      <w:r>
        <w:rPr>
          <w:rFonts w:hint="eastAsia" w:ascii="楷体_GB2312" w:hAnsi="楷体_GB2312" w:eastAsia="楷体_GB2312" w:cs="楷体_GB2312"/>
          <w:b w:val="0"/>
          <w:bCs w:val="0"/>
          <w:sz w:val="32"/>
          <w:szCs w:val="32"/>
          <w:lang w:eastAsia="zh-CN"/>
        </w:rPr>
        <w:t>提升生态系统质量和稳定性</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加强生物多样性保护。</w:t>
      </w:r>
      <w:r>
        <w:rPr>
          <w:rFonts w:hint="eastAsia" w:ascii="仿宋_GB2312" w:hAnsi="仿宋_GB2312" w:eastAsia="仿宋_GB2312" w:cs="仿宋_GB2312"/>
          <w:bCs/>
          <w:sz w:val="32"/>
          <w:szCs w:val="32"/>
        </w:rPr>
        <w:t>进一步落实《北京市生物多样性保护规划（</w:t>
      </w:r>
      <w:r>
        <w:rPr>
          <w:rFonts w:ascii="仿宋_GB2312" w:hAnsi="仿宋_GB2312" w:eastAsia="仿宋_GB2312" w:cs="仿宋_GB2312"/>
          <w:bCs/>
          <w:sz w:val="32"/>
          <w:szCs w:val="32"/>
        </w:rPr>
        <w:t>2021-2035年）》要求，持续做好顺义区生物多样性保护工作</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结合顺义区生物多样性特点，重点针对鸟类、鱼类、藻类的物种，开展物种多样性调查与评估</w:t>
      </w:r>
      <w:r>
        <w:rPr>
          <w:rFonts w:hint="eastAsia" w:ascii="仿宋_GB2312" w:hAnsi="仿宋_GB2312" w:eastAsia="仿宋_GB2312" w:cs="仿宋_GB2312"/>
          <w:bCs/>
          <w:sz w:val="32"/>
          <w:szCs w:val="32"/>
        </w:rPr>
        <w:t>，建立生物多样性数据库。</w:t>
      </w:r>
      <w:r>
        <w:rPr>
          <w:rFonts w:ascii="仿宋_GB2312" w:hAnsi="仿宋_GB2312" w:eastAsia="仿宋_GB2312" w:cs="仿宋_GB2312"/>
          <w:bCs/>
          <w:sz w:val="32"/>
          <w:szCs w:val="32"/>
        </w:rPr>
        <w:t>按照上级下达任务，完成每年生物多样性保育小区建设任务。</w:t>
      </w:r>
      <w:r>
        <w:rPr>
          <w:rFonts w:hint="eastAsia" w:ascii="仿宋_GB2312" w:hAnsi="仿宋_GB2312" w:eastAsia="仿宋_GB2312" w:cs="仿宋_GB2312"/>
          <w:bCs/>
          <w:sz w:val="32"/>
          <w:szCs w:val="32"/>
        </w:rPr>
        <w:t>在绿地系统内增加生物多样性保护措施，如搭建绿地昆虫旅馆、人工鸟窝、栽植食源植物和蜜源植物，招引鸟类和蝴蝶、蜜蜂等昆虫。积极构建城市生物多样性监测网络，综合应用</w:t>
      </w:r>
      <w:r>
        <w:rPr>
          <w:rFonts w:ascii="仿宋_GB2312" w:hAnsi="仿宋_GB2312" w:eastAsia="仿宋_GB2312" w:cs="仿宋_GB2312"/>
          <w:bCs/>
          <w:sz w:val="32"/>
          <w:szCs w:val="32"/>
        </w:rPr>
        <w:t>5G、红外相机、卫星遥感、智能感知、物联网、区</w:t>
      </w:r>
      <w:r>
        <w:rPr>
          <w:rFonts w:hint="eastAsia" w:ascii="仿宋_GB2312" w:hAnsi="仿宋_GB2312" w:eastAsia="仿宋_GB2312" w:cs="仿宋_GB2312"/>
          <w:bCs/>
          <w:sz w:val="32"/>
          <w:szCs w:val="32"/>
        </w:rPr>
        <w:t>块链、云计算等新技术，推动生物多样性“空天地”一体化监测。重点</w:t>
      </w:r>
      <w:r>
        <w:rPr>
          <w:rFonts w:ascii="仿宋_GB2312" w:hAnsi="仿宋_GB2312" w:eastAsia="仿宋_GB2312" w:cs="仿宋_GB2312"/>
          <w:bCs/>
          <w:sz w:val="32"/>
          <w:szCs w:val="32"/>
        </w:rPr>
        <w:t>加强机场周边鸟类观测与监测，掌握状况与动态。</w:t>
      </w:r>
      <w:r>
        <w:rPr>
          <w:rFonts w:hint="eastAsia" w:ascii="仿宋_GB2312" w:hAnsi="仿宋_GB2312" w:eastAsia="仿宋_GB2312" w:cs="仿宋_GB2312"/>
          <w:bCs/>
          <w:sz w:val="32"/>
          <w:szCs w:val="32"/>
        </w:rPr>
        <w:t>布局</w:t>
      </w:r>
      <w:r>
        <w:rPr>
          <w:rFonts w:ascii="仿宋_GB2312" w:hAnsi="仿宋_GB2312" w:eastAsia="仿宋_GB2312" w:cs="仿宋_GB2312"/>
          <w:bCs/>
          <w:sz w:val="32"/>
          <w:szCs w:val="32"/>
        </w:rPr>
        <w:t>温榆河、潮白河、京密引水渠为主线</w:t>
      </w:r>
      <w:r>
        <w:rPr>
          <w:rFonts w:hint="eastAsia" w:ascii="仿宋_GB2312" w:hAnsi="仿宋_GB2312" w:eastAsia="仿宋_GB2312" w:cs="仿宋_GB2312"/>
          <w:bCs/>
          <w:sz w:val="32"/>
          <w:szCs w:val="32"/>
        </w:rPr>
        <w:t>的生物多样性监测点位</w:t>
      </w:r>
      <w:r>
        <w:rPr>
          <w:rFonts w:ascii="仿宋_GB2312" w:hAnsi="仿宋_GB2312" w:eastAsia="仿宋_GB2312" w:cs="仿宋_GB2312"/>
          <w:bCs/>
          <w:sz w:val="32"/>
          <w:szCs w:val="32"/>
        </w:rPr>
        <w:t>，加强湿地生物多样性保护与生态修复。</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加强外来物种入侵防控。</w:t>
      </w:r>
      <w:r>
        <w:rPr>
          <w:rFonts w:hint="eastAsia" w:ascii="仿宋_GB2312" w:hAnsi="仿宋_GB2312" w:eastAsia="仿宋_GB2312" w:cs="仿宋_GB2312"/>
          <w:bCs/>
          <w:sz w:val="32"/>
          <w:szCs w:val="32"/>
        </w:rPr>
        <w:t>制定《顺义区农业外来入侵物种普查实施方案》，完成年度外来入侵物种普查任务。摸清全区外来入侵物种的种类数量、分布范围、危害程度、风险等级等情况。持续开展外来入侵物种监测。科学厘清重点外来入侵物种的入侵途径，制定有效管控策略。依法严格外来物种引入审批，强化引入后使用管控。对从境外引进农作物和林草种子苗木、进境动植物及其产品进行风险分析，规范外来物种引入检疫审批和入侵风险评估，实行外来物种分级分类管理。加强对外来物种引入后使用和经营行为的监督管理。加大对未经批准擅自引进、释放或者丢弃外来物种行为的打击力度。</w:t>
      </w:r>
    </w:p>
    <w:p>
      <w:pPr>
        <w:adjustRightInd w:val="0"/>
        <w:snapToGrid w:val="0"/>
        <w:spacing w:line="560" w:lineRule="exact"/>
        <w:ind w:firstLine="643"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
          <w:sz w:val="32"/>
          <w:szCs w:val="32"/>
        </w:rPr>
        <w:t>促进生态系统保护协同。</w:t>
      </w:r>
      <w:r>
        <w:rPr>
          <w:rFonts w:hint="eastAsia" w:ascii="仿宋_GB2312" w:hAnsi="仿宋_GB2312" w:eastAsia="仿宋_GB2312" w:cs="仿宋_GB2312"/>
          <w:b w:val="0"/>
          <w:bCs/>
          <w:sz w:val="32"/>
          <w:szCs w:val="32"/>
        </w:rPr>
        <w:t>重点加强园林绿化、农业等领域生物多样性研究成果的转化和推广。完善良种繁育和利用体系。配合市级部门建立生态产品价值核算指标体系。完善生态产品价值实现的机制体制、创新探索生态产品价值实现多元化路径。</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30" w:name="_Toc26621_WPSOffice_Level2"/>
      <w:r>
        <w:rPr>
          <w:rFonts w:hint="eastAsia" w:ascii="黑体" w:hAnsi="黑体" w:eastAsia="黑体" w:cs="黑体"/>
          <w:b w:val="0"/>
          <w:bCs/>
          <w:sz w:val="32"/>
          <w:szCs w:val="32"/>
          <w:lang w:val="zh-CN"/>
        </w:rPr>
        <w:t>强化防控构筑环境安全底线</w:t>
      </w:r>
      <w:bookmarkEnd w:id="130"/>
    </w:p>
    <w:p>
      <w:pPr>
        <w:pStyle w:val="4"/>
        <w:keepNext w:val="0"/>
        <w:keepLines w:val="0"/>
        <w:spacing w:before="0"/>
        <w:ind w:firstLine="602" w:firstLineChars="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bookmarkStart w:id="131" w:name="_Hlk164030861"/>
      <w:r>
        <w:rPr>
          <w:rFonts w:hint="eastAsia" w:ascii="楷体_GB2312" w:hAnsi="楷体_GB2312" w:eastAsia="楷体_GB2312" w:cs="楷体_GB2312"/>
          <w:b w:val="0"/>
          <w:bCs w:val="0"/>
          <w:sz w:val="32"/>
          <w:szCs w:val="32"/>
          <w:lang w:eastAsia="zh-CN"/>
        </w:rPr>
        <w:t>强化危险废物污染防治</w:t>
      </w:r>
      <w:bookmarkEnd w:id="131"/>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提高危险废物监管及收运处置处理能力。</w:t>
      </w:r>
      <w:r>
        <w:rPr>
          <w:rFonts w:hint="eastAsia" w:ascii="仿宋_GB2312" w:hAnsi="仿宋_GB2312" w:eastAsia="仿宋_GB2312" w:cs="仿宋_GB2312"/>
          <w:bCs/>
          <w:sz w:val="32"/>
          <w:szCs w:val="32"/>
          <w:lang w:val="zh-CN"/>
        </w:rPr>
        <w:t>提升危险废物环境监管能力，进一步完善危险废物环境重点监管单位清单，加大危险废物产生、贮存、运输、利用和处置过程的执法检查力度。严控无法落实危险废物利用、处置途径的项目，降低危险废物因运输等问题产生的二次污染，减少企业危险废物运移成本，工业源危险废物利用和外运处置率总和达</w:t>
      </w:r>
      <w:r>
        <w:rPr>
          <w:rFonts w:ascii="仿宋_GB2312" w:hAnsi="仿宋_GB2312" w:eastAsia="仿宋_GB2312" w:cs="仿宋_GB2312"/>
          <w:bCs/>
          <w:sz w:val="32"/>
          <w:szCs w:val="32"/>
          <w:lang w:val="zh-CN"/>
        </w:rPr>
        <w:t>100%</w:t>
      </w:r>
      <w:r>
        <w:rPr>
          <w:rFonts w:hint="eastAsia" w:ascii="仿宋_GB2312" w:hAnsi="仿宋_GB2312" w:eastAsia="仿宋_GB2312" w:cs="仿宋_GB2312"/>
          <w:bCs/>
          <w:sz w:val="32"/>
          <w:szCs w:val="32"/>
          <w:lang w:val="zh-CN"/>
        </w:rPr>
        <w:t>。危险废物填埋处置量占比逐年降低</w:t>
      </w:r>
      <w:r>
        <w:rPr>
          <w:rFonts w:ascii="仿宋_GB2312" w:hAnsi="仿宋_GB2312" w:eastAsia="仿宋_GB2312" w:cs="仿宋_GB2312"/>
          <w:bCs/>
          <w:sz w:val="32"/>
          <w:szCs w:val="32"/>
          <w:lang w:val="zh-CN"/>
        </w:rPr>
        <w:t>。</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加强医疗废物处理能力建设。</w:t>
      </w:r>
      <w:r>
        <w:rPr>
          <w:rFonts w:hint="eastAsia" w:ascii="仿宋_GB2312" w:hAnsi="仿宋_GB2312" w:eastAsia="仿宋_GB2312" w:cs="仿宋_GB2312"/>
          <w:bCs/>
          <w:sz w:val="32"/>
          <w:szCs w:val="32"/>
          <w:lang w:val="zh-CN"/>
        </w:rPr>
        <w:t>完善“小箱进大箱”等工作机制，完善医疗废物集中处置设施和医疗废物收集转运处置体系</w:t>
      </w:r>
      <w:r>
        <w:rPr>
          <w:rFonts w:ascii="仿宋_GB2312" w:hAnsi="仿宋_GB2312" w:eastAsia="仿宋_GB2312" w:cs="仿宋_GB2312"/>
          <w:bCs/>
          <w:sz w:val="32"/>
          <w:szCs w:val="32"/>
          <w:lang w:val="zh-CN"/>
        </w:rPr>
        <w:t>建设。</w:t>
      </w:r>
      <w:r>
        <w:rPr>
          <w:rFonts w:hint="eastAsia" w:ascii="仿宋_GB2312" w:hAnsi="仿宋_GB2312" w:eastAsia="仿宋_GB2312" w:cs="仿宋_GB2312"/>
          <w:bCs/>
          <w:sz w:val="32"/>
          <w:szCs w:val="32"/>
          <w:lang w:val="zh-CN"/>
        </w:rPr>
        <w:t>保证分布散、数量多的小型医疗机构（小门诊）产生的医疗废物及时处置。</w:t>
      </w:r>
    </w:p>
    <w:p>
      <w:pPr>
        <w:pStyle w:val="4"/>
        <w:keepNext w:val="0"/>
        <w:keepLines w:val="0"/>
        <w:spacing w:before="0"/>
        <w:ind w:firstLine="602" w:firstLineChars="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（二）加强土壤环境风险管控</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强化土壤污染预防和保护。</w:t>
      </w:r>
      <w:r>
        <w:rPr>
          <w:rFonts w:hint="eastAsia" w:ascii="仿宋_GB2312" w:hAnsi="仿宋_GB2312" w:eastAsia="仿宋_GB2312" w:cs="仿宋_GB2312"/>
          <w:bCs/>
          <w:sz w:val="32"/>
          <w:szCs w:val="32"/>
          <w:lang w:val="zh-CN"/>
        </w:rPr>
        <w:t>严格空间布局管控，科学布局、统筹规划，在居民区、学校、医疗和养老机构等敏感用地及优先保护类耕地周边，优先规划为土壤污染低风险用地。在土壤污染高风险用地周边，确需规划为上述用地的，提前做好风险防控工作。严格农用地污染预防，强化</w:t>
      </w:r>
      <w:r>
        <w:rPr>
          <w:rFonts w:hint="eastAsia" w:ascii="仿宋_GB2312" w:hAnsi="仿宋_GB2312" w:eastAsia="仿宋_GB2312" w:cs="仿宋_GB2312"/>
          <w:bCs/>
          <w:sz w:val="32"/>
          <w:szCs w:val="32"/>
        </w:rPr>
        <w:t>农药</w:t>
      </w:r>
      <w:r>
        <w:rPr>
          <w:rFonts w:hint="eastAsia" w:ascii="仿宋_GB2312" w:hAnsi="仿宋_GB2312" w:eastAsia="仿宋_GB2312" w:cs="仿宋_GB2312"/>
          <w:bCs/>
          <w:sz w:val="32"/>
          <w:szCs w:val="32"/>
          <w:lang w:val="zh-CN"/>
        </w:rPr>
        <w:t>化肥减量增效、农膜废弃物回收利用，加强农田灌溉用水水质管理；严格工业企业用地土壤污染预防，依法履行土壤污染重点监管单位的生产经营、拆除活动、用地变更时的义务。针对高、中风险在产企业开展隐患排查，强化土壤污染风险防控；持续对耕地周边涉重金属行业企业开展隐患排查。强化未利用地土壤保护，开展日常巡查和检查。</w:t>
      </w:r>
    </w:p>
    <w:p>
      <w:pPr>
        <w:adjustRightInd w:val="0"/>
        <w:snapToGrid w:val="0"/>
        <w:spacing w:line="560" w:lineRule="exact"/>
        <w:ind w:firstLine="643"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全面加强建设用地风险管控。</w:t>
      </w:r>
      <w:r>
        <w:rPr>
          <w:rFonts w:hint="eastAsia" w:ascii="仿宋_GB2312" w:hAnsi="仿宋_GB2312" w:eastAsia="仿宋_GB2312" w:cs="仿宋_GB2312"/>
          <w:bCs/>
          <w:sz w:val="32"/>
          <w:szCs w:val="32"/>
          <w:lang w:val="zh-CN"/>
        </w:rPr>
        <w:t>合理规划建设用地受污染地块土地用途，受污染建设用地尽量避免敏感用地。强化建设用地受污染地块入口、出口管理，持续开展关停企业原址用地筛查，将详查发现的高、中风险关停企业纳入筛查台账管理；重点关注从事过化工、农药、电镀等企业的再开发利用地块，用途变更为住宅、公共管理与公共服务的建设用地，再开发利用或者变更前，督促土地使用权人开展土壤污染状况调查；制定实施暂不开发利用受污染地块风险管控年度计划，加强风险管控、修复过程监管，严格落实后期管理。全区重点建设用地安全利用得到有效保障，安全利用率达到</w:t>
      </w:r>
      <w:r>
        <w:rPr>
          <w:rFonts w:ascii="仿宋_GB2312" w:hAnsi="仿宋_GB2312" w:eastAsia="仿宋_GB2312" w:cs="仿宋_GB2312"/>
          <w:bCs/>
          <w:sz w:val="32"/>
          <w:szCs w:val="32"/>
          <w:lang w:val="zh-CN"/>
        </w:rPr>
        <w:t>100%，或者达到95%以上且当年依法处罚、整改到位。</w:t>
      </w:r>
      <w:r>
        <w:rPr>
          <w:rFonts w:hint="eastAsia" w:ascii="仿宋_GB2312" w:hAnsi="仿宋_GB2312" w:eastAsia="仿宋_GB2312" w:cs="仿宋_GB2312"/>
          <w:bCs/>
          <w:sz w:val="32"/>
          <w:szCs w:val="32"/>
          <w:lang w:val="zh-CN"/>
        </w:rPr>
        <w:t>全区污染地块安全利用率达到</w:t>
      </w:r>
      <w:r>
        <w:rPr>
          <w:rFonts w:ascii="仿宋_GB2312" w:hAnsi="仿宋_GB2312" w:eastAsia="仿宋_GB2312" w:cs="仿宋_GB2312"/>
          <w:bCs/>
          <w:sz w:val="32"/>
          <w:szCs w:val="32"/>
          <w:lang w:val="zh-CN"/>
        </w:rPr>
        <w:t>95%以上，逐步削减受污染建设用地面积。</w:t>
      </w:r>
    </w:p>
    <w:p>
      <w:pPr>
        <w:adjustRightInd w:val="0"/>
        <w:snapToGrid w:val="0"/>
        <w:spacing w:line="560" w:lineRule="exact"/>
        <w:ind w:firstLine="643" w:firstLineChars="200"/>
        <w:contextualSpacing/>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持续推进农用地安全利用。</w:t>
      </w:r>
      <w:r>
        <w:rPr>
          <w:rFonts w:hint="eastAsia" w:ascii="仿宋_GB2312" w:hAnsi="仿宋_GB2312" w:eastAsia="仿宋_GB2312" w:cs="仿宋_GB2312"/>
          <w:bCs/>
          <w:sz w:val="32"/>
          <w:szCs w:val="32"/>
          <w:lang w:val="zh-CN"/>
        </w:rPr>
        <w:t>加强耕地土壤环境质量分类管理工作力度，更新耕地土壤环境质量类别分类清单，有效管控风险，促进耕地土壤生态系统良性循环，优先保护类耕地土壤环境质量不下降，安全利用类和严格管控类耕地土壤环境安全得到保障。全区受污染耕地安全利用率达到</w:t>
      </w:r>
      <w:r>
        <w:rPr>
          <w:rFonts w:ascii="仿宋_GB2312" w:hAnsi="仿宋_GB2312" w:eastAsia="仿宋_GB2312" w:cs="仿宋_GB2312"/>
          <w:bCs/>
          <w:sz w:val="32"/>
          <w:szCs w:val="32"/>
          <w:lang w:val="zh-CN"/>
        </w:rPr>
        <w:t>95%以上</w:t>
      </w:r>
      <w:r>
        <w:rPr>
          <w:rFonts w:hint="eastAsia" w:ascii="仿宋_GB2312" w:hAnsi="仿宋_GB2312" w:eastAsia="仿宋_GB2312" w:cs="仿宋_GB2312"/>
          <w:bCs/>
          <w:sz w:val="32"/>
          <w:szCs w:val="32"/>
          <w:lang w:val="zh-CN"/>
        </w:rPr>
        <w:t>。</w:t>
      </w:r>
    </w:p>
    <w:p>
      <w:pPr>
        <w:adjustRightInd w:val="0"/>
        <w:snapToGrid w:val="0"/>
        <w:spacing w:line="560" w:lineRule="exact"/>
        <w:ind w:firstLine="643" w:firstLineChars="200"/>
        <w:contextualSpacing/>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持续提升监管的基础保障。</w:t>
      </w:r>
      <w:r>
        <w:rPr>
          <w:rFonts w:hint="eastAsia" w:ascii="仿宋_GB2312" w:hAnsi="仿宋_GB2312" w:eastAsia="仿宋_GB2312" w:cs="仿宋_GB2312"/>
          <w:bCs/>
          <w:sz w:val="32"/>
          <w:szCs w:val="32"/>
          <w:lang w:val="zh-CN"/>
        </w:rPr>
        <w:t>推进土壤环境监测，持续开展土壤污染重点监管单位、污水集中处理设施、固体废物处置设施周边土壤监督性监测。加强土壤环境监测能力建设，详查土壤污染状况。</w:t>
      </w:r>
      <w:bookmarkStart w:id="132" w:name="_Hlk156255838"/>
      <w:r>
        <w:rPr>
          <w:rFonts w:hint="eastAsia" w:ascii="仿宋_GB2312" w:hAnsi="仿宋_GB2312" w:eastAsia="仿宋_GB2312" w:cs="仿宋_GB2312"/>
          <w:bCs/>
          <w:sz w:val="32"/>
          <w:szCs w:val="32"/>
          <w:lang w:val="zh-CN"/>
        </w:rPr>
        <w:t>依托污染监管综合指挥平台，加强建设用地受污染地块管理，持续开展关停企业原址用地筛查，将详查发现的高、中风险关停企业纳入筛查台账管理。持续强化用途变更为“一住两公”的建设用地监管，确保重点建设用地得到安全利用。</w:t>
      </w:r>
      <w:bookmarkEnd w:id="132"/>
      <w:r>
        <w:rPr>
          <w:rFonts w:hint="eastAsia" w:ascii="仿宋_GB2312" w:hAnsi="仿宋_GB2312" w:eastAsia="仿宋_GB2312" w:cs="仿宋_GB2312"/>
          <w:bCs/>
          <w:sz w:val="32"/>
          <w:szCs w:val="32"/>
          <w:lang w:val="zh-CN"/>
        </w:rPr>
        <w:t>强化重点监管单位、高中风险企业污染监管；加强工业园区和潜在污染企业土壤环境管理。将突发土壤环境污染应急纳入突发环境事件应急体系，强化执法监管，组建专业应急处置队伍，加强应急能力建设。</w:t>
      </w:r>
    </w:p>
    <w:p>
      <w:pPr>
        <w:pStyle w:val="4"/>
        <w:keepNext w:val="0"/>
        <w:keepLines w:val="0"/>
        <w:spacing w:before="0"/>
        <w:ind w:firstLine="602" w:firstLineChars="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（三）持续推进辐射安全监管</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严格辐射管理，确保辐射环境安全。持续做好日常辐射安全监管，加强对放射源生产、销售、使用、运输、贮存和收贮等环节的监督检查，提高现有基础数据质量。以辐射安全许可审批和监管为切入点，深化核技术利用单位的辐射安全监督检查和风险隐患排查。加强对高风险源、放射性废物以及放射性物品运输的安全管理。强化突发事故应急处置能力，稳步提升辐射安全监管能力以及辐射应急保障与监测能力。广泛开展电磁辐射环境管理及科普宣传，引导民众了解核与辐射相关知识，切实保障辐射环境安全，维护社会稳定。加强辐射环境监管队伍建设，提升监管专业能力。</w:t>
      </w:r>
    </w:p>
    <w:p>
      <w:pPr>
        <w:pStyle w:val="4"/>
        <w:keepNext w:val="0"/>
        <w:keepLines w:val="0"/>
        <w:spacing w:before="0"/>
        <w:ind w:firstLine="602" w:firstLineChars="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（四）健全环境应急风险防控体系</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强化环境监测预警应急体系建设。健全环境突发事件预防预警和应急处置体系，制定基于顺义特色产业的环境监测应急预案，动态更新突发环境事件应急预案备案单位名册。推进污染源与风险源监管相融合，完善重点污染源自动监控系统，强化事前预警监测能力。搭建包括大气、水、土壤、噪声、生态、辐射环境等要素及重点污染源在内的环境监测预警一体化平台。督促企业落实环境安全主体责任，在企业层面强化环境风险防范措施落实和环境安全隐患排查制度建设。扩大监测专业人员队伍，优化设备配置及检测技术，提升应急监测水平。</w:t>
      </w:r>
    </w:p>
    <w:p>
      <w:pPr>
        <w:pStyle w:val="4"/>
        <w:keepNext w:val="0"/>
        <w:keepLines w:val="0"/>
        <w:spacing w:before="0"/>
        <w:ind w:firstLine="602" w:firstLineChars="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（五）推进新污染物治理与监测</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开展重点行业重点化学物质生产使用信息调查和环境危害评估，以持久性有毒有机物为重点，督促企业落实环境风险管理措施。在重点行业开展工业产品添加剂有毒有害物质残留试点监测，对覆膜农田和建筑用地开展土壤微塑料污染研究性监测，摸清相关污染物来源、途径及受污染状况底数。探索建立新污染物风险评估工作制度，在重点河道、重点行业开展新型持久性有机污染物、内分泌干扰物、微塑料等污染物的环境与健康风险评估工作，对造成环境健康风险的污染物及其污染源实施风险清单管理。</w:t>
      </w:r>
    </w:p>
    <w:p>
      <w:pPr>
        <w:pStyle w:val="3"/>
        <w:numPr>
          <w:ilvl w:val="0"/>
          <w:numId w:val="4"/>
        </w:numPr>
        <w:spacing w:before="0" w:after="0" w:line="560" w:lineRule="exact"/>
        <w:ind w:left="0" w:firstLine="640" w:firstLineChars="200"/>
        <w:jc w:val="left"/>
        <w:rPr>
          <w:rFonts w:ascii="黑体" w:hAnsi="黑体" w:eastAsia="黑体" w:cs="黑体"/>
          <w:b w:val="0"/>
          <w:bCs/>
          <w:sz w:val="32"/>
          <w:szCs w:val="32"/>
          <w:lang w:val="zh-CN"/>
        </w:rPr>
      </w:pPr>
      <w:bookmarkStart w:id="133" w:name="_Toc3295_WPSOffice_Level2"/>
      <w:r>
        <w:rPr>
          <w:rFonts w:hint="eastAsia" w:ascii="黑体" w:hAnsi="黑体" w:eastAsia="黑体" w:cs="黑体"/>
          <w:b w:val="0"/>
          <w:bCs/>
          <w:sz w:val="32"/>
          <w:szCs w:val="32"/>
          <w:lang w:val="zh-CN"/>
        </w:rPr>
        <w:t>科技引领应对气候变化</w:t>
      </w:r>
      <w:bookmarkEnd w:id="133"/>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（一）落实国家和北京市“碳达峰碳中和”战略部署</w:t>
      </w:r>
    </w:p>
    <w:p>
      <w:pPr>
        <w:adjustRightInd w:val="0"/>
        <w:snapToGrid w:val="0"/>
        <w:spacing w:line="560" w:lineRule="exact"/>
        <w:ind w:firstLine="640" w:firstLineChars="200"/>
        <w:contextualSpacing/>
        <w:rPr>
          <w:rFonts w:ascii="仿宋" w:hAnsi="仿宋" w:eastAsia="仿宋"/>
          <w:sz w:val="30"/>
          <w:szCs w:val="30"/>
        </w:rPr>
      </w:pPr>
      <w:r>
        <w:rPr>
          <w:rFonts w:hint="eastAsia" w:ascii="仿宋_GB2312" w:hAnsi="仿宋_GB2312" w:eastAsia="仿宋_GB2312" w:cs="仿宋_GB2312"/>
          <w:bCs/>
          <w:sz w:val="32"/>
          <w:szCs w:val="32"/>
          <w:lang w:val="zh-CN"/>
        </w:rPr>
        <w:t>积极贯彻落实“碳达峰、碳中和”的国家和北京市战略部署，积极开展温室气体清单编制，摸清碳排放家底，并基于温室气体清单成果编制《顺义区碳达峰碳中和行动方案》，制定实现“双碳”目标的“两图一表”。推进实施顺义区碳达峰碳中和行动，加大政府绿色采购力度，引导人民群众建立碳减排意识，促进经济社会发展绿色化、低碳化发展转型。坚持多层次增绿固碳，落实北京市新一轮百万亩造林绿化行动计划，扩大森林面积，不断提升森林质量，增强森林碳汇能力。发展低碳农业和智慧农业，提升低碳高效农业设施比例。加强耕地资源保护，提高土壤有机质含量，提升农业碳汇能力。</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（二）支持应对气候变化科技研究</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研究设立应对气候变化科技专项，开展碳中和路径研究、碳排放管理政策制度及相关技术支撑研究等。支持开展减少碳排放所需的储能、电网、材料、氢能及其他可再生能源等低碳技术开发研究。研究设立低碳发展专项资金，支持低碳领域技术研发、试点及项目建设。</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（三）健全应对气候变化工作体系</w:t>
      </w:r>
    </w:p>
    <w:p>
      <w:pPr>
        <w:adjustRightInd w:val="0"/>
        <w:snapToGrid w:val="0"/>
        <w:spacing w:line="560" w:lineRule="exact"/>
        <w:ind w:firstLine="640" w:firstLineChars="200"/>
        <w:contextualSpacing/>
        <w:rPr>
          <w:rFonts w:ascii="仿宋" w:hAnsi="仿宋" w:eastAsia="仿宋"/>
          <w:sz w:val="30"/>
          <w:szCs w:val="30"/>
        </w:rPr>
      </w:pPr>
      <w:r>
        <w:rPr>
          <w:rFonts w:hint="eastAsia" w:ascii="仿宋_GB2312" w:hAnsi="仿宋_GB2312" w:eastAsia="仿宋_GB2312" w:cs="仿宋_GB2312"/>
          <w:bCs/>
          <w:sz w:val="32"/>
          <w:szCs w:val="32"/>
          <w:lang w:val="zh-CN"/>
        </w:rPr>
        <w:t>锚定碳中和的目标，探索实施碳排放总量和强度“双控”机制。创建多层次、多领域的低碳试点示范样板，按照减污降碳、先进示范、精细探索、分批实施的原则，打造一批具有示范引领作用的减污降碳先进技术项目、近零碳排放区试点、低碳企业“领跑者”试点。发挥先进园区和头部企业减污降碳引领示范效应，引导更多园区和企业低碳化、绿色化转型发展。强化极端天气气候事件监测预报预警机制，提高突发自然灾害事件应急处置能力，提升城市应对气候变化的韧性。</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jc w:val="center"/>
              <w:rPr>
                <w:rFonts w:ascii="宋体" w:hAnsi="宋体" w:eastAsia="宋体" w:cs="Times New Roman"/>
                <w:b/>
                <w:bCs/>
                <w:sz w:val="24"/>
                <w:szCs w:val="24"/>
              </w:rPr>
            </w:pPr>
            <w:r>
              <w:rPr>
                <w:rFonts w:hint="eastAsia" w:ascii="仿宋" w:hAnsi="仿宋" w:eastAsia="仿宋" w:cs="Times New Roman"/>
                <w:b/>
                <w:bCs/>
                <w:sz w:val="28"/>
                <w:szCs w:val="28"/>
              </w:rPr>
              <w:t>生态环境安全领域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发力点：</w:t>
            </w:r>
            <w:r>
              <w:rPr>
                <w:rFonts w:hint="eastAsia" w:ascii="仿宋" w:hAnsi="仿宋" w:eastAsia="仿宋" w:cs="Times New Roman"/>
                <w:sz w:val="28"/>
                <w:szCs w:val="28"/>
              </w:rPr>
              <w:t>主要侧重大气环境治理能力现代化水平建设和水资源水生态保护工作。具体侧重完善大气环境监测分析服务系统、建立区域大气污染协同防治机制、多污染物协同减排以及减污降碳协同治理；保障饮用水安全，加大再生水规模建设及利用范围，完善生态补水工程；加大环保执法监察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强化措施：</w:t>
            </w:r>
            <w:r>
              <w:rPr>
                <w:rFonts w:hint="eastAsia" w:ascii="仿宋" w:hAnsi="仿宋" w:eastAsia="仿宋" w:cs="Times New Roman"/>
                <w:sz w:val="28"/>
                <w:szCs w:val="28"/>
              </w:rPr>
              <w:t>强化协同治理，措施包括</w:t>
            </w:r>
            <w:r>
              <w:rPr>
                <w:rFonts w:ascii="仿宋" w:hAnsi="仿宋" w:eastAsia="仿宋" w:cs="Times New Roman"/>
                <w:sz w:val="28"/>
                <w:szCs w:val="28"/>
              </w:rPr>
              <w:t>PM</w:t>
            </w:r>
            <w:r>
              <w:rPr>
                <w:rFonts w:ascii="仿宋" w:hAnsi="仿宋" w:eastAsia="仿宋" w:cs="Times New Roman"/>
                <w:sz w:val="28"/>
                <w:szCs w:val="28"/>
                <w:vertAlign w:val="subscript"/>
              </w:rPr>
              <w:t>2.5</w:t>
            </w:r>
            <w:r>
              <w:rPr>
                <w:rFonts w:ascii="仿宋" w:hAnsi="仿宋" w:eastAsia="仿宋" w:cs="Times New Roman"/>
                <w:sz w:val="28"/>
                <w:szCs w:val="28"/>
              </w:rPr>
              <w:t>和臭氧协同控制，氮氧化物和挥发性有机物协同减排，水环境与水生态协同治理，降碳固碳与森林生态协同推进</w:t>
            </w:r>
            <w:r>
              <w:rPr>
                <w:rFonts w:hint="eastAsia" w:ascii="仿宋" w:hAnsi="仿宋" w:eastAsia="仿宋" w:cs="Times New Roman"/>
                <w:sz w:val="28"/>
                <w:szCs w:val="28"/>
              </w:rPr>
              <w:t>。强化科技支撑的精细化管理。提升</w:t>
            </w:r>
            <w:r>
              <w:rPr>
                <w:rFonts w:ascii="仿宋" w:hAnsi="仿宋" w:eastAsia="仿宋" w:cs="Times New Roman"/>
                <w:sz w:val="28"/>
                <w:szCs w:val="28"/>
              </w:rPr>
              <w:t>大气、水、土壤、噪声等生态环境在线和移动监测能力。推动建设“互联网+监管”系统，加快构建移动污染源和重点企业综合管控体系，移动执法系统应用等。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b/>
                <w:bCs/>
                <w:sz w:val="28"/>
                <w:szCs w:val="28"/>
              </w:rPr>
            </w:pPr>
            <w:r>
              <w:rPr>
                <w:rFonts w:hint="eastAsia" w:ascii="仿宋" w:hAnsi="仿宋" w:eastAsia="仿宋" w:cs="Times New Roman"/>
                <w:b/>
                <w:bCs/>
                <w:sz w:val="28"/>
                <w:szCs w:val="28"/>
              </w:rPr>
              <w:t>重点任务：</w:t>
            </w:r>
          </w:p>
          <w:p>
            <w:pPr>
              <w:spacing w:after="114"/>
              <w:rPr>
                <w:rFonts w:ascii="仿宋" w:hAnsi="仿宋" w:eastAsia="仿宋" w:cs="Times New Roman"/>
                <w:sz w:val="28"/>
                <w:szCs w:val="28"/>
              </w:rPr>
            </w:pPr>
            <w:r>
              <w:rPr>
                <w:rFonts w:hint="eastAsia" w:ascii="仿宋" w:hAnsi="仿宋" w:eastAsia="仿宋" w:cs="Times New Roman"/>
                <w:sz w:val="28"/>
                <w:szCs w:val="28"/>
              </w:rPr>
              <w:t>（1）开展挥发性有机物（</w:t>
            </w:r>
            <w:r>
              <w:rPr>
                <w:rFonts w:ascii="仿宋" w:hAnsi="仿宋" w:eastAsia="仿宋" w:cs="Times New Roman"/>
                <w:sz w:val="28"/>
                <w:szCs w:val="28"/>
              </w:rPr>
              <w:t>VOCs）专项治理</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持续开展</w:t>
            </w:r>
            <w:r>
              <w:rPr>
                <w:rFonts w:ascii="仿宋" w:hAnsi="仿宋" w:eastAsia="仿宋" w:cs="Times New Roman"/>
                <w:sz w:val="28"/>
                <w:szCs w:val="28"/>
              </w:rPr>
              <w:t>VOCs全流程整治，有针对性地分类推进低（无）VOCs含量原辅材料源头替代</w:t>
            </w:r>
            <w:r>
              <w:rPr>
                <w:rFonts w:hint="eastAsia" w:ascii="仿宋" w:hAnsi="仿宋" w:eastAsia="仿宋" w:cs="Times New Roman"/>
                <w:sz w:val="28"/>
                <w:szCs w:val="28"/>
              </w:rPr>
              <w:t>。全面开展现有挥发性有机物治理设施评估。全面评估顺义区现有挥发性有机物治理设施废气收集率、治理设施同步运行率和去除率。按照“应收尽收”的原则提升废气收集率。推动建立健全监测预警监控体系，开展走航监测、网格化监测以及VOCs溯源分析等工作，纳入重点行业企业环保监控管理平台。</w:t>
            </w:r>
          </w:p>
          <w:p>
            <w:pPr>
              <w:spacing w:after="114"/>
              <w:rPr>
                <w:rFonts w:ascii="仿宋" w:hAnsi="仿宋" w:eastAsia="仿宋" w:cs="Times New Roman"/>
                <w:sz w:val="28"/>
                <w:szCs w:val="28"/>
              </w:rPr>
            </w:pPr>
            <w:r>
              <w:rPr>
                <w:rFonts w:hint="eastAsia" w:ascii="仿宋" w:hAnsi="仿宋" w:eastAsia="仿宋" w:cs="Times New Roman"/>
                <w:sz w:val="28"/>
                <w:szCs w:val="28"/>
              </w:rPr>
              <w:t>（2）强化扬尘精细化管控</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开展裸露扬尘源卫星遥感监测服务项目，准确掌握各类裸地的新增、延续、变为非裸地的状态。辅助裸地扬尘污染的监测、督查与考核，指导属地政府对裸露扬尘源开展管控、治理。开展《道路尘负荷监测服务项目》，每月度对各属地、行业管辖道路及不同类型工地（场站）出入口两侧道路进行尘负荷抽测，有针对性加强道路扬尘管控。</w:t>
            </w:r>
          </w:p>
          <w:p>
            <w:pPr>
              <w:spacing w:after="114"/>
              <w:rPr>
                <w:rFonts w:ascii="仿宋" w:hAnsi="仿宋" w:eastAsia="仿宋" w:cs="Times New Roman"/>
                <w:sz w:val="28"/>
                <w:szCs w:val="28"/>
              </w:rPr>
            </w:pPr>
            <w:r>
              <w:rPr>
                <w:rFonts w:hint="eastAsia" w:ascii="仿宋" w:hAnsi="仿宋" w:eastAsia="仿宋" w:cs="Times New Roman"/>
                <w:sz w:val="28"/>
                <w:szCs w:val="28"/>
              </w:rPr>
              <w:t>（3）开展大气环境监测分析服务</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利用云计算、物联网、大数据、人工智能以及认知计算等技术，提供监测数据、分析服务、硬件设备等服务产品，为决策提供完整、及时、可靠的决策依据，提升顺义区大气环境精细化管理水平。</w:t>
            </w:r>
          </w:p>
          <w:p>
            <w:pPr>
              <w:spacing w:after="114"/>
              <w:rPr>
                <w:rFonts w:ascii="仿宋" w:hAnsi="仿宋" w:eastAsia="仿宋" w:cs="Times New Roman"/>
                <w:sz w:val="28"/>
                <w:szCs w:val="28"/>
              </w:rPr>
            </w:pPr>
            <w:r>
              <w:rPr>
                <w:rFonts w:hint="eastAsia" w:ascii="仿宋" w:hAnsi="仿宋" w:eastAsia="仿宋" w:cs="Times New Roman"/>
                <w:sz w:val="28"/>
                <w:szCs w:val="28"/>
              </w:rPr>
              <w:t>（4）加强饮用水水源地保护</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为保障饮用水安全，对顺义区区级、镇级、农村水源地开展环境状况评估。对顺义区农村水源地开展划定工作。</w:t>
            </w:r>
            <w:r>
              <w:rPr>
                <w:rFonts w:hint="eastAsia" w:ascii="仿宋" w:hAnsi="仿宋" w:eastAsia="仿宋" w:cs="仿宋_GB2312"/>
                <w:bCs/>
                <w:sz w:val="30"/>
                <w:szCs w:val="30"/>
                <w:lang w:val="zh-CN"/>
              </w:rPr>
              <w:t>利用回补区地表—地下联合监测系统和地下水回补区适宜性评估结果，优化回补策略、提高回补效率。</w:t>
            </w:r>
          </w:p>
          <w:p>
            <w:pPr>
              <w:spacing w:after="114"/>
              <w:rPr>
                <w:rFonts w:ascii="仿宋" w:hAnsi="仿宋" w:eastAsia="仿宋" w:cs="Times New Roman"/>
                <w:sz w:val="28"/>
                <w:szCs w:val="28"/>
              </w:rPr>
            </w:pPr>
            <w:r>
              <w:rPr>
                <w:rFonts w:hint="eastAsia" w:ascii="仿宋" w:hAnsi="仿宋" w:eastAsia="仿宋" w:cs="Times New Roman"/>
                <w:sz w:val="28"/>
                <w:szCs w:val="28"/>
              </w:rPr>
              <w:t>（5）提升河道治理与水生态环境</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温榆河公园进行渠道疏挖、整治以及生态补水</w:t>
            </w:r>
            <w:r>
              <w:rPr>
                <w:rFonts w:ascii="仿宋" w:hAnsi="仿宋" w:eastAsia="仿宋" w:cs="Times New Roman"/>
                <w:sz w:val="28"/>
                <w:szCs w:val="28"/>
              </w:rPr>
              <w:t>。</w:t>
            </w:r>
            <w:r>
              <w:rPr>
                <w:rFonts w:hint="eastAsia" w:ascii="仿宋" w:hAnsi="仿宋" w:eastAsia="仿宋" w:cs="Times New Roman"/>
                <w:sz w:val="28"/>
                <w:szCs w:val="28"/>
              </w:rPr>
              <w:t>对龙道河河道及罗马湖进行治理。七分干渠滨水景观提升。河道隐患消除工程，包括河道岸坡修防护、村支沟渠改进、新建修复雨水口等。</w:t>
            </w:r>
          </w:p>
          <w:p>
            <w:pPr>
              <w:spacing w:after="114"/>
              <w:rPr>
                <w:rFonts w:ascii="仿宋" w:hAnsi="仿宋" w:eastAsia="仿宋" w:cs="Times New Roman"/>
                <w:sz w:val="28"/>
                <w:szCs w:val="28"/>
              </w:rPr>
            </w:pPr>
            <w:r>
              <w:rPr>
                <w:rFonts w:hint="eastAsia" w:ascii="仿宋" w:hAnsi="仿宋" w:eastAsia="仿宋" w:cs="Times New Roman"/>
                <w:sz w:val="28"/>
                <w:szCs w:val="28"/>
              </w:rPr>
              <w:t>（6）污水收集处理循环再利用</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李桥再生水厂及配套管线工程、中关村顺义园新建中水管线工程（二期）、顺义新城第3</w:t>
            </w:r>
            <w:r>
              <w:rPr>
                <w:rFonts w:ascii="仿宋" w:hAnsi="仿宋" w:eastAsia="仿宋" w:cs="Times New Roman"/>
                <w:sz w:val="28"/>
                <w:szCs w:val="28"/>
              </w:rPr>
              <w:t>0</w:t>
            </w:r>
            <w:r>
              <w:rPr>
                <w:rFonts w:hint="eastAsia" w:ascii="仿宋" w:hAnsi="仿宋" w:eastAsia="仿宋" w:cs="Times New Roman"/>
                <w:sz w:val="28"/>
                <w:szCs w:val="28"/>
              </w:rPr>
              <w:t>街区市政排水系统综合改造工程等。</w:t>
            </w:r>
          </w:p>
          <w:p>
            <w:pPr>
              <w:spacing w:after="114"/>
              <w:rPr>
                <w:rFonts w:ascii="仿宋" w:hAnsi="仿宋" w:eastAsia="仿宋" w:cs="Times New Roman"/>
                <w:sz w:val="28"/>
                <w:szCs w:val="28"/>
              </w:rPr>
            </w:pPr>
            <w:r>
              <w:rPr>
                <w:rFonts w:hint="eastAsia" w:ascii="仿宋" w:hAnsi="仿宋" w:eastAsia="仿宋" w:cs="Times New Roman"/>
                <w:sz w:val="28"/>
                <w:szCs w:val="28"/>
              </w:rPr>
              <w:t>（7）垃圾分类回收资源利用</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启动顺义区灰渣填埋场项目、再生资源分拣中心项目等。</w:t>
            </w:r>
          </w:p>
          <w:p>
            <w:pPr>
              <w:spacing w:after="114"/>
              <w:rPr>
                <w:rFonts w:ascii="仿宋" w:hAnsi="仿宋" w:eastAsia="仿宋" w:cs="Times New Roman"/>
                <w:sz w:val="28"/>
                <w:szCs w:val="28"/>
              </w:rPr>
            </w:pPr>
            <w:r>
              <w:rPr>
                <w:rFonts w:hint="eastAsia" w:ascii="仿宋" w:hAnsi="仿宋" w:eastAsia="仿宋" w:cs="Times New Roman"/>
                <w:sz w:val="28"/>
                <w:szCs w:val="28"/>
              </w:rPr>
              <w:t>（8）提升绿色生态空间</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潮白河生态绿轴建设工程、森林资源质量提升工程、潮白河生态绿轴建设工程以及</w:t>
            </w:r>
            <w:r>
              <w:rPr>
                <w:rFonts w:ascii="仿宋" w:hAnsi="仿宋" w:eastAsia="仿宋" w:cs="Times New Roman"/>
                <w:sz w:val="28"/>
                <w:szCs w:val="28"/>
              </w:rPr>
              <w:t>城区绿化增量提质工程</w:t>
            </w:r>
            <w:r>
              <w:rPr>
                <w:rFonts w:hint="eastAsia" w:ascii="仿宋" w:hAnsi="仿宋" w:eastAsia="仿宋" w:cs="Times New Roman"/>
                <w:sz w:val="28"/>
                <w:szCs w:val="28"/>
              </w:rPr>
              <w:t>。</w:t>
            </w:r>
          </w:p>
          <w:p>
            <w:pPr>
              <w:spacing w:after="114"/>
              <w:rPr>
                <w:rFonts w:ascii="仿宋" w:hAnsi="仿宋" w:eastAsia="仿宋" w:cs="Times New Roman"/>
                <w:sz w:val="28"/>
                <w:szCs w:val="28"/>
              </w:rPr>
            </w:pPr>
            <w:r>
              <w:rPr>
                <w:rFonts w:hint="eastAsia" w:ascii="仿宋" w:hAnsi="仿宋" w:eastAsia="仿宋" w:cs="Times New Roman"/>
                <w:sz w:val="28"/>
                <w:szCs w:val="28"/>
              </w:rPr>
              <w:t>（9）加强生物多样性保护</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在顺义区域内开展生态系统多样性、物种多样性和入侵物种多样性本底调查，按照《区域生物多样性评价标准》等要求，利用调查结果对顺义区生物多样性状况进行分析和评估，制定入侵物种防控方案。</w:t>
            </w:r>
          </w:p>
        </w:tc>
      </w:tr>
    </w:tbl>
    <w:p>
      <w:pPr>
        <w:tabs>
          <w:tab w:val="left" w:pos="7082"/>
        </w:tabs>
        <w:spacing w:after="114"/>
        <w:rPr>
          <w:rFonts w:ascii="仿宋" w:hAnsi="仿宋" w:eastAsia="仿宋" w:cs="Times New Roman"/>
          <w:b/>
          <w:bCs/>
          <w:kern w:val="44"/>
          <w:sz w:val="36"/>
          <w:szCs w:val="44"/>
          <w:lang w:val="zh-CN"/>
        </w:rPr>
      </w:pPr>
      <w:r>
        <w:rPr>
          <w:rFonts w:ascii="仿宋" w:hAnsi="仿宋" w:eastAsia="仿宋" w:cs="Times New Roman"/>
          <w:b/>
          <w:bCs/>
          <w:kern w:val="44"/>
          <w:sz w:val="36"/>
          <w:szCs w:val="44"/>
          <w:lang w:val="zh-CN"/>
        </w:rPr>
        <w:br w:type="page"/>
      </w:r>
    </w:p>
    <w:p>
      <w:pPr>
        <w:pStyle w:val="2"/>
        <w:rPr>
          <w:b w:val="0"/>
          <w:bCs w:val="0"/>
          <w:sz w:val="44"/>
        </w:rPr>
      </w:pPr>
      <w:bookmarkStart w:id="134" w:name="_Toc24497_WPSOffice_Level1"/>
      <w:r>
        <w:rPr>
          <w:b w:val="0"/>
          <w:bCs w:val="0"/>
          <w:sz w:val="44"/>
        </w:rPr>
        <w:t>第</w:t>
      </w:r>
      <w:r>
        <w:rPr>
          <w:rFonts w:hint="eastAsia"/>
          <w:b w:val="0"/>
          <w:bCs w:val="0"/>
          <w:sz w:val="44"/>
        </w:rPr>
        <w:t>五</w:t>
      </w:r>
      <w:r>
        <w:rPr>
          <w:b w:val="0"/>
          <w:bCs w:val="0"/>
          <w:sz w:val="44"/>
        </w:rPr>
        <w:t>章</w:t>
      </w:r>
      <w:r>
        <w:rPr>
          <w:rFonts w:hint="eastAsia"/>
          <w:b w:val="0"/>
          <w:bCs w:val="0"/>
          <w:sz w:val="44"/>
        </w:rPr>
        <w:t xml:space="preserve"> 打造创新引领新质生产力发展先行区</w:t>
      </w:r>
      <w:bookmarkEnd w:id="134"/>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紧紧围绕北京新版城市总规赋予顺义区的“创新引领的区域经济提升发展先行区”功能定位，深入实施《顺义分区规划（国土空间规划）（</w:t>
      </w:r>
      <w:r>
        <w:rPr>
          <w:rFonts w:ascii="仿宋_GB2312" w:hAnsi="仿宋_GB2312" w:eastAsia="仿宋_GB2312" w:cs="仿宋_GB2312"/>
          <w:bCs/>
          <w:sz w:val="32"/>
          <w:szCs w:val="32"/>
          <w:lang w:val="zh-CN"/>
        </w:rPr>
        <w:t>2017-2035</w:t>
      </w:r>
      <w:r>
        <w:rPr>
          <w:rFonts w:hint="eastAsia" w:ascii="仿宋_GB2312" w:hAnsi="仿宋_GB2312" w:eastAsia="仿宋_GB2312" w:cs="仿宋_GB2312"/>
          <w:bCs/>
          <w:sz w:val="32"/>
          <w:szCs w:val="32"/>
          <w:lang w:val="zh-CN"/>
        </w:rPr>
        <w:t>年）》，以</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两区</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建设为契机，以科技含量高、资源消耗低、环境污染少的</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高精尖</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产业结构构建和北京创新产业集群示范区（顺义）建设为抓手，大力推动现代制造业高端化、智能化、绿色化发展，推动航空服务、跨境贸易、商务会展、科技服务等重点产业集群发展，创新赋能加快形成绿色低碳高质量发展方式，推进产业生态化、生态产业化发展，强化能源低碳绿色化、资源高效循环化、产业低碳生态化、交通绿色清洁化，助力顺义区绿色低碳高质量发展，打造创新引领新质生产力发展先行区。</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35" w:name="_Toc11109_WPSOffice_Level2"/>
      <w:bookmarkStart w:id="136" w:name="_Hlk154324415"/>
      <w:r>
        <w:rPr>
          <w:rFonts w:hint="eastAsia" w:ascii="黑体" w:hAnsi="黑体" w:eastAsia="黑体" w:cs="黑体"/>
          <w:b w:val="0"/>
          <w:bCs/>
          <w:sz w:val="32"/>
          <w:szCs w:val="32"/>
          <w:lang w:val="zh-CN"/>
        </w:rPr>
        <w:t>构建“</w:t>
      </w:r>
      <w:r>
        <w:rPr>
          <w:rFonts w:ascii="黑体" w:hAnsi="黑体" w:eastAsia="黑体" w:cs="黑体"/>
          <w:b w:val="0"/>
          <w:bCs/>
          <w:sz w:val="32"/>
          <w:szCs w:val="32"/>
          <w:lang w:val="zh-CN"/>
        </w:rPr>
        <w:t>341”</w:t>
      </w:r>
      <w:r>
        <w:rPr>
          <w:rFonts w:hint="eastAsia" w:ascii="黑体" w:hAnsi="黑体" w:eastAsia="黑体" w:cs="黑体"/>
          <w:b w:val="0"/>
          <w:bCs/>
          <w:sz w:val="32"/>
          <w:szCs w:val="32"/>
          <w:lang w:val="zh-CN"/>
        </w:rPr>
        <w:t>高精尖产业结构</w:t>
      </w:r>
      <w:bookmarkEnd w:id="135"/>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（一）建设三大创新型产业集群</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依托优势产业基地，培育新能源智能汽车、第三代半导体、航空航天三大创新产业集群。依托林河工业区和赵全营镇、北小营镇、杨镇等产业基地，以电动化、智能化、互联化为发展方向，建设集研发设计、智能制造汽车金融、检验检测、创新应用、展示体验等于一体的新能源智能汽车生态产业示范区，重点发展</w:t>
      </w:r>
      <w:r>
        <w:rPr>
          <w:rFonts w:ascii="仿宋_GB2312" w:hAnsi="仿宋_GB2312" w:eastAsia="仿宋_GB2312" w:cs="仿宋_GB2312"/>
          <w:bCs/>
          <w:sz w:val="32"/>
          <w:szCs w:val="32"/>
          <w:lang w:val="zh-CN"/>
        </w:rPr>
        <w:t>C2级纯电动乘用车和B级纯电动越野车，带动电池电机电控等上下游核心环节布局</w:t>
      </w:r>
      <w:r>
        <w:rPr>
          <w:rFonts w:hint="eastAsia" w:ascii="仿宋_GB2312" w:hAnsi="仿宋_GB2312" w:eastAsia="仿宋_GB2312" w:cs="仿宋_GB2312"/>
          <w:bCs/>
          <w:sz w:val="32"/>
          <w:szCs w:val="32"/>
          <w:lang w:val="zh-CN"/>
        </w:rPr>
        <w:t>。以中关村顺义园第三代半导体产业基地为依托，加快第三代半导体材料、芯片、器件的关键技术突破，建设北京市第三代半导体产业核心承载地，聚焦光电子、电力电子和射频微波三大应用领域，加快重点项目建设以中航工业航空产业园、顺义航天产业园为依托，辐射临空经济示范区航空服务产业集聚地，实现研发、系统集成及关键设备研制，推动技术攻关与系统集成，促进系统解决方案的产业化应用，推动航空发动机、航空材料、航空电子电控的研发与制造，围绕飞机和关键零部件维修等龙头企业，推动一批上下游产业链集聚发展。</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（二）提质发展四大现代服务业</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围绕北京首都国际机场临空经济区、新兴金融商务区等产业功能区，着力构建临空经济、产业金融、商务会展、文创旅游等现代服务业发展体系，实现服务业升级提质发展</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以“两区”建设为契机，依托存量空间，拓展机场周边产业发展，促进高端临空产业和新业态向机场周边聚集，完善物流组织形式，构建高效、绿色、便捷的配套物流体系，融合智慧物流技术、培育口岸经济、供应链管理等新兴业态，提升物流运力，完成口岸经济物流集聚区、临空物流产业集聚区、智慧物流集聚区、城市末端物流服务网络“三区一网”物流产业布局，建设北京空港型国家物流枢纽。依托首都国际机场开放引擎建设，发挥空港综合交通网络优势，实现向航空服务、航空物流、总部等全产业链条体系延伸，打造全球临空经济高质量发展样板。依托“首都产业金融中心”和“国家产融合作试点城市”政策优势，强化产业基金、融资租赁、商业保理及产业链金融功能体系建设。打造首都国际机场周边组团式会展综合体，实施“会展</w:t>
      </w:r>
      <w:r>
        <w:rPr>
          <w:rFonts w:ascii="仿宋_GB2312" w:hAnsi="仿宋_GB2312" w:eastAsia="仿宋_GB2312" w:cs="仿宋_GB2312"/>
          <w:bCs/>
          <w:sz w:val="32"/>
          <w:szCs w:val="32"/>
          <w:lang w:val="zh-CN"/>
        </w:rPr>
        <w:t>+”战略，</w:t>
      </w:r>
      <w:r>
        <w:rPr>
          <w:rFonts w:hint="eastAsia" w:ascii="仿宋_GB2312" w:hAnsi="仿宋_GB2312" w:eastAsia="仿宋_GB2312" w:cs="仿宋_GB2312"/>
          <w:bCs/>
          <w:sz w:val="32"/>
          <w:szCs w:val="32"/>
          <w:lang w:val="zh-CN"/>
        </w:rPr>
        <w:t>到</w:t>
      </w:r>
      <w:r>
        <w:rPr>
          <w:rFonts w:ascii="仿宋_GB2312" w:hAnsi="仿宋_GB2312" w:eastAsia="仿宋_GB2312" w:cs="仿宋_GB2312"/>
          <w:bCs/>
          <w:sz w:val="32"/>
          <w:szCs w:val="32"/>
          <w:lang w:val="zh-CN"/>
        </w:rPr>
        <w:t>2025年专业展览面积达700万平方米</w:t>
      </w:r>
      <w:r>
        <w:rPr>
          <w:rFonts w:hint="eastAsia" w:ascii="仿宋_GB2312" w:hAnsi="仿宋_GB2312" w:eastAsia="仿宋_GB2312" w:cs="仿宋_GB2312"/>
          <w:bCs/>
          <w:sz w:val="32"/>
          <w:szCs w:val="32"/>
          <w:lang w:val="zh-CN"/>
        </w:rPr>
        <w:t>，打造顺义国际会展商务区（</w:t>
      </w:r>
      <w:r>
        <w:rPr>
          <w:rFonts w:ascii="仿宋_GB2312" w:hAnsi="仿宋_GB2312" w:eastAsia="仿宋_GB2312" w:cs="仿宋_GB2312"/>
          <w:bCs/>
          <w:sz w:val="32"/>
          <w:szCs w:val="32"/>
          <w:lang w:val="zh-CN"/>
        </w:rPr>
        <w:t>EBD）</w:t>
      </w:r>
      <w:r>
        <w:rPr>
          <w:rFonts w:hint="eastAsia" w:ascii="仿宋_GB2312" w:hAnsi="仿宋_GB2312" w:eastAsia="仿宋_GB2312" w:cs="仿宋_GB2312"/>
          <w:bCs/>
          <w:sz w:val="32"/>
          <w:szCs w:val="32"/>
          <w:lang w:val="zh-CN"/>
        </w:rPr>
        <w:t>。实施“文化</w:t>
      </w:r>
      <w:r>
        <w:rPr>
          <w:rFonts w:ascii="仿宋_GB2312" w:hAnsi="仿宋_GB2312" w:eastAsia="仿宋_GB2312" w:cs="仿宋_GB2312"/>
          <w:bCs/>
          <w:sz w:val="32"/>
          <w:szCs w:val="32"/>
          <w:lang w:val="zh-CN"/>
        </w:rPr>
        <w:t>+”战略，促进文化创意产业与农业、科技、金融等产业的融合发展</w:t>
      </w:r>
      <w:r>
        <w:rPr>
          <w:rFonts w:hint="eastAsia" w:ascii="仿宋_GB2312" w:hAnsi="仿宋_GB2312" w:eastAsia="仿宋_GB2312" w:cs="仿宋_GB2312"/>
          <w:bCs/>
          <w:sz w:val="32"/>
          <w:szCs w:val="32"/>
          <w:lang w:val="zh-CN"/>
        </w:rPr>
        <w:t>，推出一批具有国际影响力的文化品牌活动，持续推动文旅消费热点涌现与旅游要素升级，提质升级奥林匹克水上公园等景区，打造一批网红打卡地。</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（三）推动发展全流程智能制造</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以智能制造为支撑，高标准推进</w:t>
      </w:r>
      <w:r>
        <w:rPr>
          <w:rFonts w:ascii="仿宋_GB2312" w:hAnsi="仿宋_GB2312" w:eastAsia="仿宋_GB2312" w:cs="仿宋_GB2312"/>
          <w:bCs/>
          <w:sz w:val="32"/>
          <w:szCs w:val="32"/>
          <w:lang w:val="zh-CN"/>
        </w:rPr>
        <w:t>北京创新产业集群示范区（顺义）建设，加速推动传统制造业转型升级</w:t>
      </w:r>
      <w:r>
        <w:rPr>
          <w:rFonts w:hint="eastAsia" w:ascii="仿宋_GB2312" w:hAnsi="仿宋_GB2312" w:eastAsia="仿宋_GB2312" w:cs="仿宋_GB2312"/>
          <w:bCs/>
          <w:sz w:val="32"/>
          <w:szCs w:val="32"/>
          <w:lang w:val="zh-CN"/>
        </w:rPr>
        <w:t>。推进智造赋能，引导传统整车企业向产业链上下游延伸，不断提升产品档次和产业附加值，围绕顺义玻璃幕墙、防水材料、高端冷轧材料、聚酯复合材料等传统优势产业，推动加工制造向前端研发和后端服务转型升级。加强智能制造应用产业链支撑，支持智能制造技术研发及产业化项目落户顺义，引导区内优势企业突破高档数控机床、增材制造装备、智能物流与仓储装备等关键技术装备，开发重点领域所需智能制造成套装备。</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37" w:name="_Toc3202_WPSOffice_Level2"/>
      <w:r>
        <w:rPr>
          <w:rFonts w:hint="eastAsia" w:ascii="黑体" w:hAnsi="黑体" w:eastAsia="黑体" w:cs="黑体"/>
          <w:b w:val="0"/>
          <w:bCs/>
          <w:sz w:val="32"/>
          <w:szCs w:val="32"/>
          <w:lang w:val="zh-CN"/>
        </w:rPr>
        <w:t>推动能源转型绿色化发展</w:t>
      </w:r>
      <w:bookmarkEnd w:id="137"/>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（一）不断优化能源消费结构</w:t>
      </w:r>
    </w:p>
    <w:p>
      <w:pPr>
        <w:adjustRightInd w:val="0"/>
        <w:snapToGrid w:val="0"/>
        <w:spacing w:line="560" w:lineRule="exact"/>
        <w:ind w:firstLine="643" w:firstLineChars="200"/>
        <w:contextualSpacing/>
        <w:rPr>
          <w:rFonts w:ascii="仿宋" w:hAnsi="仿宋" w:eastAsia="仿宋" w:cs="仿宋_GB2312"/>
          <w:bCs/>
          <w:sz w:val="30"/>
          <w:szCs w:val="30"/>
          <w:lang w:val="zh-CN"/>
        </w:rPr>
      </w:pPr>
      <w:r>
        <w:rPr>
          <w:rFonts w:hint="eastAsia" w:ascii="仿宋_GB2312" w:hAnsi="仿宋_GB2312" w:eastAsia="仿宋_GB2312" w:cs="仿宋_GB2312"/>
          <w:b/>
          <w:sz w:val="32"/>
          <w:szCs w:val="32"/>
          <w:lang w:val="zh-CN"/>
        </w:rPr>
        <w:t>严控化石能源消费总量。</w:t>
      </w:r>
      <w:r>
        <w:rPr>
          <w:rFonts w:ascii="仿宋_GB2312" w:hAnsi="仿宋_GB2312" w:eastAsia="仿宋_GB2312" w:cs="仿宋_GB2312"/>
          <w:bCs/>
          <w:sz w:val="32"/>
          <w:szCs w:val="32"/>
          <w:lang w:val="zh-CN"/>
        </w:rPr>
        <w:t>控制天然气、油品等化石能源消费</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严控机动车、工业等领域柴油、煤油消耗</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巩固无煤化成果，定期在相关镇、村中设置巡查岗，坚决防止散煤复燃的现象发生。</w:t>
      </w:r>
      <w:r>
        <w:rPr>
          <w:rFonts w:hint="eastAsia" w:ascii="仿宋_GB2312" w:hAnsi="仿宋_GB2312" w:eastAsia="仿宋_GB2312" w:cs="仿宋_GB2312"/>
          <w:b/>
          <w:sz w:val="32"/>
          <w:szCs w:val="32"/>
          <w:lang w:val="zh-CN"/>
        </w:rPr>
        <w:t>加大可再生能源比重。</w:t>
      </w:r>
      <w:r>
        <w:rPr>
          <w:rFonts w:ascii="仿宋_GB2312" w:hAnsi="仿宋_GB2312" w:eastAsia="仿宋_GB2312" w:cs="仿宋_GB2312"/>
          <w:bCs/>
          <w:sz w:val="32"/>
          <w:szCs w:val="32"/>
          <w:lang w:val="zh-CN"/>
        </w:rPr>
        <w:t>在城镇建筑、公共设施、产业园区等重点领域，优先使用太阳能光伏、热泵等可再生能源技术</w:t>
      </w:r>
      <w:r>
        <w:rPr>
          <w:rFonts w:hint="eastAsia" w:ascii="仿宋_GB2312" w:hAnsi="仿宋_GB2312" w:eastAsia="仿宋_GB2312" w:cs="仿宋_GB2312"/>
          <w:bCs/>
          <w:sz w:val="32"/>
          <w:szCs w:val="32"/>
          <w:lang w:val="zh-CN"/>
        </w:rPr>
        <w:t>，完成国家首批分布式光伏发电示范区建设</w:t>
      </w:r>
      <w:r>
        <w:rPr>
          <w:rFonts w:ascii="仿宋_GB2312" w:hAnsi="仿宋_GB2312" w:eastAsia="仿宋_GB2312" w:cs="仿宋_GB2312"/>
          <w:bCs/>
          <w:sz w:val="32"/>
          <w:szCs w:val="32"/>
          <w:lang w:val="zh-CN"/>
        </w:rPr>
        <w:t>。按照可再生能源优先、常规能源系统保障的原则，全面推广太阳能、地热能与常规能源系统的智能耦合发展，完善农村新能源利用体系，鼓励太阳能、地热等可再生新能源在农村生产生活中的应用。</w:t>
      </w:r>
      <w:r>
        <w:rPr>
          <w:rFonts w:hint="eastAsia" w:ascii="仿宋_GB2312" w:hAnsi="仿宋_GB2312" w:eastAsia="仿宋_GB2312" w:cs="仿宋_GB2312"/>
          <w:b/>
          <w:sz w:val="32"/>
          <w:szCs w:val="32"/>
          <w:lang w:val="zh-CN"/>
        </w:rPr>
        <w:t>推进</w:t>
      </w:r>
      <w:r>
        <w:rPr>
          <w:rFonts w:ascii="仿宋_GB2312" w:hAnsi="仿宋_GB2312" w:eastAsia="仿宋_GB2312" w:cs="仿宋_GB2312"/>
          <w:b/>
          <w:sz w:val="32"/>
          <w:szCs w:val="32"/>
          <w:lang w:val="zh-CN"/>
        </w:rPr>
        <w:t>农村能源结构调整</w:t>
      </w:r>
      <w:r>
        <w:rPr>
          <w:rFonts w:hint="eastAsia" w:ascii="仿宋_GB2312" w:hAnsi="仿宋_GB2312" w:eastAsia="仿宋_GB2312" w:cs="仿宋_GB2312"/>
          <w:b/>
          <w:sz w:val="32"/>
          <w:szCs w:val="32"/>
          <w:lang w:val="zh-CN"/>
        </w:rPr>
        <w:t>。</w:t>
      </w:r>
      <w:r>
        <w:rPr>
          <w:rFonts w:ascii="仿宋_GB2312" w:hAnsi="仿宋_GB2312" w:eastAsia="仿宋_GB2312" w:cs="仿宋_GB2312"/>
          <w:bCs/>
          <w:sz w:val="32"/>
          <w:szCs w:val="32"/>
          <w:lang w:val="zh-CN"/>
        </w:rPr>
        <w:t>全力推进农村地区清洁能源替代和老旧热网更新改造，积极发展太阳能等清洁能源。</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（二）持续提升能源利用效率</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大力开展能源节约和能效提升，以能耗“双控”目标为中心，开展重点用能单位节能降耗工作，万元</w:t>
      </w:r>
      <w:r>
        <w:rPr>
          <w:rFonts w:ascii="仿宋_GB2312" w:hAnsi="仿宋_GB2312" w:eastAsia="仿宋_GB2312" w:cs="仿宋_GB2312"/>
          <w:bCs/>
          <w:sz w:val="32"/>
          <w:szCs w:val="32"/>
          <w:lang w:val="zh-CN"/>
        </w:rPr>
        <w:t>GDP能耗</w:t>
      </w:r>
      <w:r>
        <w:rPr>
          <w:rFonts w:hint="eastAsia" w:ascii="仿宋_GB2312" w:hAnsi="仿宋_GB2312" w:eastAsia="仿宋_GB2312" w:cs="仿宋_GB2312"/>
          <w:bCs/>
          <w:sz w:val="32"/>
          <w:szCs w:val="32"/>
          <w:lang w:val="zh-CN"/>
        </w:rPr>
        <w:t>力争持续下降。从建立控制指标分解落实机制、发挥节能专项资金的引导作用、加强节能降耗政策宣传等方面入手，进一步挖掘用能单位在管理节能及技术节能方面的节能潜力。</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38" w:name="_Toc18065_WPSOffice_Level2"/>
      <w:r>
        <w:rPr>
          <w:rFonts w:hint="eastAsia" w:ascii="黑体" w:hAnsi="黑体" w:eastAsia="黑体" w:cs="黑体"/>
          <w:b w:val="0"/>
          <w:bCs/>
          <w:sz w:val="32"/>
          <w:szCs w:val="32"/>
          <w:lang w:val="zh-CN"/>
        </w:rPr>
        <w:t>推动产业低碳生态化发展</w:t>
      </w:r>
      <w:bookmarkEnd w:id="138"/>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（一）加强重点领域产业能耗管控</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严格执行新增产业禁止和限制目录，严控高耗能和产能过剩行业新上项目，坚决控制高耗能、高排放项目新建和改扩建。加强航空、钢铁、汽车、物流、建筑等重点行业能耗管控和数据中心、</w:t>
      </w:r>
      <w:r>
        <w:rPr>
          <w:rFonts w:ascii="仿宋_GB2312" w:hAnsi="仿宋_GB2312" w:eastAsia="仿宋_GB2312" w:cs="仿宋_GB2312"/>
          <w:bCs/>
          <w:sz w:val="32"/>
          <w:szCs w:val="32"/>
          <w:lang w:val="zh-CN"/>
        </w:rPr>
        <w:t>5G等项目能</w:t>
      </w:r>
      <w:r>
        <w:rPr>
          <w:rFonts w:hint="eastAsia" w:ascii="仿宋_GB2312" w:hAnsi="仿宋_GB2312" w:eastAsia="仿宋_GB2312" w:cs="仿宋_GB2312"/>
          <w:bCs/>
          <w:sz w:val="32"/>
          <w:szCs w:val="32"/>
          <w:lang w:val="zh-CN"/>
        </w:rPr>
        <w:t>耗监控，高标准引导和规范新兴信息产业发展。到</w:t>
      </w:r>
      <w:r>
        <w:rPr>
          <w:rFonts w:ascii="仿宋_GB2312" w:hAnsi="仿宋_GB2312" w:eastAsia="仿宋_GB2312" w:cs="仿宋_GB2312"/>
          <w:bCs/>
          <w:sz w:val="32"/>
          <w:szCs w:val="32"/>
          <w:lang w:val="zh-CN"/>
        </w:rPr>
        <w:t>2025年，实</w:t>
      </w:r>
      <w:r>
        <w:rPr>
          <w:rFonts w:hint="eastAsia" w:ascii="仿宋_GB2312" w:hAnsi="仿宋_GB2312" w:eastAsia="仿宋_GB2312" w:cs="仿宋_GB2312"/>
          <w:bCs/>
          <w:sz w:val="32"/>
          <w:szCs w:val="32"/>
          <w:lang w:val="zh-CN"/>
        </w:rPr>
        <w:t>现</w:t>
      </w:r>
      <w:r>
        <w:rPr>
          <w:rFonts w:ascii="仿宋_GB2312" w:hAnsi="仿宋_GB2312" w:eastAsia="仿宋_GB2312" w:cs="仿宋_GB2312"/>
          <w:bCs/>
          <w:sz w:val="32"/>
          <w:szCs w:val="32"/>
          <w:lang w:val="zh-CN"/>
        </w:rPr>
        <w:t>80%重点领域使用节能设施。</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bookmarkStart w:id="139" w:name="_Hlk164029817"/>
      <w:r>
        <w:rPr>
          <w:rFonts w:hint="eastAsia" w:ascii="楷体_GB2312" w:hAnsi="楷体_GB2312" w:eastAsia="楷体_GB2312" w:cs="楷体_GB2312"/>
          <w:b w:val="0"/>
          <w:bCs w:val="0"/>
          <w:sz w:val="32"/>
          <w:szCs w:val="32"/>
          <w:lang w:eastAsia="zh-CN"/>
        </w:rPr>
        <w:t>推进工业企业绿色低碳发展</w:t>
      </w:r>
      <w:bookmarkEnd w:id="139"/>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bookmarkStart w:id="140" w:name="_Hlk164029804"/>
      <w:r>
        <w:rPr>
          <w:rFonts w:hint="eastAsia" w:ascii="仿宋_GB2312" w:hAnsi="仿宋_GB2312" w:eastAsia="仿宋_GB2312" w:cs="仿宋_GB2312"/>
          <w:bCs/>
          <w:sz w:val="32"/>
          <w:szCs w:val="32"/>
          <w:lang w:val="zh-CN"/>
        </w:rPr>
        <w:t>持续引导和支持工业企业开展绿色绩效评价，鼓励企业开展绿色示范创建</w:t>
      </w:r>
      <w:bookmarkEnd w:id="140"/>
      <w:r>
        <w:rPr>
          <w:rFonts w:hint="eastAsia" w:ascii="仿宋_GB2312" w:hAnsi="仿宋_GB2312" w:eastAsia="仿宋_GB2312" w:cs="仿宋_GB2312"/>
          <w:bCs/>
          <w:sz w:val="32"/>
          <w:szCs w:val="32"/>
          <w:lang w:val="zh-CN"/>
        </w:rPr>
        <w:t>，探索对纳入北京绿色企业库企业、绿色工厂、</w:t>
      </w:r>
      <w:r>
        <w:rPr>
          <w:rFonts w:ascii="仿宋_GB2312" w:hAnsi="仿宋_GB2312" w:eastAsia="仿宋_GB2312" w:cs="仿宋_GB2312"/>
          <w:bCs/>
          <w:sz w:val="32"/>
          <w:szCs w:val="32"/>
          <w:lang w:val="zh-CN"/>
        </w:rPr>
        <w:t>绿色供应链管理企业</w:t>
      </w:r>
      <w:r>
        <w:rPr>
          <w:rFonts w:hint="eastAsia" w:ascii="仿宋_GB2312" w:hAnsi="仿宋_GB2312" w:eastAsia="仿宋_GB2312" w:cs="仿宋_GB2312"/>
          <w:bCs/>
          <w:sz w:val="32"/>
          <w:szCs w:val="32"/>
          <w:lang w:val="zh-CN"/>
        </w:rPr>
        <w:t>实施差异化监督执法和给予荣誉宣传等差别化激励政策，激发企业节能减排内生动力，提升企业环境精细化管理水平，促进行业绿色升级。推动重点碳排放企业低碳改造，实施生产工艺、能源系统优化项目，加速低碳转型，降低工业生产过程碳排放强度，加快节能核心关键技术创新和产业化应用，树立一批节能标杆企业。</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（三）全面推进落实清洁生产机制</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按照《北京市清洁生产管理办法》系统推进深入开展清洁生产</w:t>
      </w:r>
      <w:r>
        <w:rPr>
          <w:rFonts w:ascii="仿宋_GB2312" w:hAnsi="仿宋_GB2312" w:eastAsia="仿宋_GB2312" w:cs="仿宋_GB2312"/>
          <w:bCs/>
          <w:sz w:val="32"/>
          <w:szCs w:val="32"/>
          <w:lang w:val="zh-CN"/>
        </w:rPr>
        <w:t>，对超标、超总量排污和使用、排放有毒有害物质的重点企业实施强制性清洁生产审核</w:t>
      </w:r>
      <w:r>
        <w:rPr>
          <w:rFonts w:hint="eastAsia" w:ascii="仿宋_GB2312" w:hAnsi="仿宋_GB2312" w:eastAsia="仿宋_GB2312" w:cs="仿宋_GB2312"/>
          <w:bCs/>
          <w:sz w:val="32"/>
          <w:szCs w:val="32"/>
          <w:lang w:val="zh-CN"/>
        </w:rPr>
        <w:t>。按照《关于同意实施第一批清洁生产审核创新试点项目的通知》加快推进实施北京市顺义区汽车制造行业清洁生产审核创新试点。</w:t>
      </w:r>
      <w:r>
        <w:rPr>
          <w:rFonts w:ascii="仿宋_GB2312" w:hAnsi="仿宋_GB2312" w:eastAsia="仿宋_GB2312" w:cs="仿宋_GB2312"/>
          <w:bCs/>
          <w:sz w:val="32"/>
          <w:szCs w:val="32"/>
          <w:lang w:val="zh-CN"/>
        </w:rPr>
        <w:t>支持企业开发设计绿色产品，开展绿色产品第三方评价和认证</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依托产业园区，以新材料、新能源汽车等行业企业为重点，加强园区</w:t>
      </w:r>
      <w:r>
        <w:rPr>
          <w:rFonts w:hint="eastAsia" w:ascii="仿宋_GB2312" w:hAnsi="仿宋_GB2312" w:eastAsia="仿宋_GB2312" w:cs="仿宋_GB2312"/>
          <w:bCs/>
          <w:sz w:val="32"/>
          <w:szCs w:val="32"/>
          <w:lang w:val="zh-CN"/>
        </w:rPr>
        <w:t>清洁化</w:t>
      </w:r>
      <w:r>
        <w:rPr>
          <w:rFonts w:ascii="仿宋_GB2312" w:hAnsi="仿宋_GB2312" w:eastAsia="仿宋_GB2312" w:cs="仿宋_GB2312"/>
          <w:bCs/>
          <w:sz w:val="32"/>
          <w:szCs w:val="32"/>
          <w:lang w:val="zh-CN"/>
        </w:rPr>
        <w:t>循环化改造</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通过</w:t>
      </w:r>
      <w:r>
        <w:rPr>
          <w:rFonts w:hint="eastAsia" w:ascii="仿宋_GB2312" w:hAnsi="仿宋_GB2312" w:eastAsia="仿宋_GB2312" w:cs="仿宋_GB2312"/>
          <w:bCs/>
          <w:sz w:val="32"/>
          <w:szCs w:val="32"/>
          <w:lang w:val="zh-CN"/>
        </w:rPr>
        <w:t>清洁生产审核、</w:t>
      </w:r>
      <w:r>
        <w:rPr>
          <w:rFonts w:ascii="仿宋_GB2312" w:hAnsi="仿宋_GB2312" w:eastAsia="仿宋_GB2312" w:cs="仿宋_GB2312"/>
          <w:bCs/>
          <w:sz w:val="32"/>
          <w:szCs w:val="32"/>
          <w:lang w:val="zh-CN"/>
        </w:rPr>
        <w:t>废物处理公共平台和促进废物交换利用、能量梯级利用、水的分类利用和循环使用等措施，实现产业园区</w:t>
      </w:r>
      <w:r>
        <w:rPr>
          <w:rFonts w:hint="eastAsia" w:ascii="仿宋_GB2312" w:hAnsi="仿宋_GB2312" w:eastAsia="仿宋_GB2312" w:cs="仿宋_GB2312"/>
          <w:bCs/>
          <w:sz w:val="32"/>
          <w:szCs w:val="32"/>
          <w:lang w:val="zh-CN"/>
        </w:rPr>
        <w:t>清洁</w:t>
      </w:r>
      <w:r>
        <w:rPr>
          <w:rFonts w:ascii="仿宋_GB2312" w:hAnsi="仿宋_GB2312" w:eastAsia="仿宋_GB2312" w:cs="仿宋_GB2312"/>
          <w:bCs/>
          <w:sz w:val="32"/>
          <w:szCs w:val="32"/>
          <w:lang w:val="zh-CN"/>
        </w:rPr>
        <w:t>化低碳化发展。推进农业生产清洁化</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加快建设畜禽粪污处理及资源化设施，推广普及雨污分流、干湿分离和种养结合、清洁回用、集中处理等生态循环养殖模式。</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（四）强化绿色低碳科学技术支撑</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鼓励绿色低碳技术研发，围绕节能环保、清洁生产、清洁能源等领域，鼓励探索开展碳中和技术研究。鼓励企业牵头或参与财政资金支持的绿色技术研发项目、市场导向明确的绿色技术创新项目。大力推广碳排放强度低、污染物排放少的先进技术和经验，鼓励支持基础较好的行业、企业率先探索开展“污染物和二氧化碳近零排放”与减污降碳试点示范。</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（五）推进农业绿色生态转型发展</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全面实施《顺义区建设国家农业绿色发展先行区促进农业现代化示范区全面绿色转型实施方案》及《全面绿色转型任务清单》，围绕“集成推广农业绿色技术、加快培育农业绿色主体、探索构建农业绿色政策支持体系、积极创新农业绿色发展机制”四大主线，涵盖“加快应用农业资源节约集约技术”“培育新型农业经营主体”等</w:t>
      </w:r>
      <w:r>
        <w:rPr>
          <w:rFonts w:ascii="仿宋_GB2312" w:hAnsi="仿宋_GB2312" w:eastAsia="仿宋_GB2312" w:cs="仿宋_GB2312"/>
          <w:bCs/>
          <w:sz w:val="32"/>
          <w:szCs w:val="32"/>
          <w:lang w:val="zh-CN"/>
        </w:rPr>
        <w:t>16个领域，</w:t>
      </w:r>
      <w:r>
        <w:rPr>
          <w:rFonts w:hint="eastAsia" w:ascii="仿宋_GB2312" w:hAnsi="仿宋_GB2312" w:eastAsia="仿宋_GB2312" w:cs="仿宋_GB2312"/>
          <w:bCs/>
          <w:sz w:val="32"/>
          <w:szCs w:val="32"/>
          <w:lang w:val="zh-CN"/>
        </w:rPr>
        <w:t>多</w:t>
      </w:r>
      <w:r>
        <w:rPr>
          <w:rFonts w:ascii="仿宋_GB2312" w:hAnsi="仿宋_GB2312" w:eastAsia="仿宋_GB2312" w:cs="仿宋_GB2312"/>
          <w:bCs/>
          <w:sz w:val="32"/>
          <w:szCs w:val="32"/>
          <w:lang w:val="zh-CN"/>
        </w:rPr>
        <w:t>措</w:t>
      </w:r>
      <w:r>
        <w:rPr>
          <w:rFonts w:hint="eastAsia" w:ascii="仿宋_GB2312" w:hAnsi="仿宋_GB2312" w:eastAsia="仿宋_GB2312" w:cs="仿宋_GB2312"/>
          <w:bCs/>
          <w:sz w:val="32"/>
          <w:szCs w:val="32"/>
          <w:lang w:val="zh-CN"/>
        </w:rPr>
        <w:t>并举</w:t>
      </w:r>
      <w:r>
        <w:rPr>
          <w:rFonts w:ascii="仿宋_GB2312" w:hAnsi="仿宋_GB2312" w:eastAsia="仿宋_GB2312" w:cs="仿宋_GB2312"/>
          <w:bCs/>
          <w:sz w:val="32"/>
          <w:szCs w:val="32"/>
          <w:lang w:val="zh-CN"/>
        </w:rPr>
        <w:t>扎实推进全面绿色转型重点工作</w:t>
      </w:r>
      <w:r>
        <w:rPr>
          <w:rFonts w:hint="eastAsia" w:ascii="仿宋_GB2312" w:hAnsi="仿宋_GB2312" w:eastAsia="仿宋_GB2312" w:cs="仿宋_GB2312"/>
          <w:bCs/>
          <w:sz w:val="32"/>
          <w:szCs w:val="32"/>
          <w:lang w:val="zh-CN"/>
        </w:rPr>
        <w:t>，擦亮“绿色生态农业”金字招牌。</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41" w:name="_Toc1507_WPSOffice_Level2"/>
      <w:r>
        <w:rPr>
          <w:rFonts w:hint="eastAsia" w:ascii="黑体" w:hAnsi="黑体" w:eastAsia="黑体" w:cs="黑体"/>
          <w:b w:val="0"/>
          <w:bCs/>
          <w:sz w:val="32"/>
          <w:szCs w:val="32"/>
          <w:lang w:val="zh-CN"/>
        </w:rPr>
        <w:t>推动资源高效循环化利用</w:t>
      </w:r>
      <w:bookmarkEnd w:id="141"/>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（一）加强水资源节约高效利用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强化水资源刚性约束，以农业节水增效、工业节水减排和城镇节水降损为重点，落实《水利部关于全面加强水资源节约高效利用工作的意见》《北京市“十四五”节水型社会建设规划》。加强农业节水，推广采用高效节水技术。推进工业及建筑业产业结构调整，提高冷凝水、冷却水循环利用率，加大工业废水深度处理回用能力。生活及公共服务业大力加强高效节水器具推广，开展居民家庭、公共场所及机关、企事业单位节水器具升级改造。</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（二）推</w:t>
      </w:r>
      <w:r>
        <w:rPr>
          <w:rFonts w:ascii="楷体_GB2312" w:hAnsi="楷体_GB2312" w:eastAsia="楷体_GB2312" w:cs="楷体_GB2312"/>
          <w:b w:val="0"/>
          <w:bCs w:val="0"/>
          <w:sz w:val="32"/>
          <w:szCs w:val="32"/>
          <w:lang w:eastAsia="zh-CN"/>
        </w:rPr>
        <w:t>进建设用地集约利用</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ascii="仿宋_GB2312" w:hAnsi="仿宋_GB2312" w:eastAsia="仿宋_GB2312" w:cs="仿宋_GB2312"/>
          <w:bCs/>
          <w:sz w:val="32"/>
          <w:szCs w:val="32"/>
          <w:lang w:val="zh-CN"/>
        </w:rPr>
        <w:t>优化城乡建设用地布局，提高建设</w:t>
      </w:r>
      <w:r>
        <w:rPr>
          <w:rFonts w:hint="eastAsia" w:ascii="仿宋_GB2312" w:hAnsi="仿宋_GB2312" w:eastAsia="仿宋_GB2312" w:cs="仿宋_GB2312"/>
          <w:bCs/>
          <w:sz w:val="32"/>
          <w:szCs w:val="32"/>
          <w:lang w:val="zh-CN"/>
        </w:rPr>
        <w:t>用地</w:t>
      </w:r>
      <w:r>
        <w:rPr>
          <w:rFonts w:ascii="仿宋_GB2312" w:hAnsi="仿宋_GB2312" w:eastAsia="仿宋_GB2312" w:cs="仿宋_GB2312"/>
          <w:bCs/>
          <w:sz w:val="32"/>
          <w:szCs w:val="32"/>
          <w:lang w:val="zh-CN"/>
        </w:rPr>
        <w:t>节约集约利用效率</w:t>
      </w:r>
      <w:r>
        <w:rPr>
          <w:rFonts w:hint="eastAsia" w:ascii="仿宋_GB2312" w:hAnsi="仿宋_GB2312" w:eastAsia="仿宋_GB2312" w:cs="仿宋_GB2312"/>
          <w:bCs/>
          <w:sz w:val="32"/>
          <w:szCs w:val="32"/>
          <w:lang w:val="zh-CN"/>
        </w:rPr>
        <w:t>，促进</w:t>
      </w:r>
      <w:r>
        <w:rPr>
          <w:rFonts w:ascii="仿宋_GB2312" w:hAnsi="仿宋_GB2312" w:eastAsia="仿宋_GB2312" w:cs="仿宋_GB2312"/>
          <w:bCs/>
          <w:sz w:val="32"/>
          <w:szCs w:val="32"/>
          <w:lang w:val="zh-CN"/>
        </w:rPr>
        <w:t>建设用地节约集约利用和土地资源永续利用。优化产业用地供应结构，完善产业用地供应方式，实现用地空间与产业发展协同、用地性质与产业需求一致，确保产业项目能落地、落对地。加强产业用地空间整合，引导和推广中小企业使用标准厂房，引导工业项目向开发区和标准厂房集中，促进产业集聚、用地集约，集中优势打造特色鲜明的产业园区和上下游产业链顺畅的产业集群。严守建设用地规模上线，落实减量任务，稳步推进城乡建设用地整理，做好增减挂钩，推进低效集体建设用地和产业用地减量，提高节约集约用地水平。到2025年，建设用地总规模控制在357.16平方公里以内</w:t>
      </w:r>
      <w:r>
        <w:rPr>
          <w:rFonts w:hint="eastAsia" w:ascii="仿宋_GB2312" w:hAnsi="仿宋_GB2312" w:eastAsia="仿宋_GB2312" w:cs="仿宋_GB2312"/>
          <w:bCs/>
          <w:sz w:val="32"/>
          <w:szCs w:val="32"/>
          <w:lang w:val="zh-CN"/>
        </w:rPr>
        <w:t>。</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（三）推进资源绿色循环利用</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ascii="仿宋_GB2312" w:hAnsi="仿宋_GB2312" w:eastAsia="仿宋_GB2312" w:cs="仿宋_GB2312"/>
          <w:bCs/>
          <w:sz w:val="32"/>
          <w:szCs w:val="32"/>
          <w:lang w:val="zh-CN"/>
        </w:rPr>
        <w:t>紧盯产业园区、工农生产等关键领域，加快资源循环利用技术创新，大力发展循环经济，努力形成绿色循环低碳的生产方式。加强化肥农药总量控制</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鼓励开展立体种养、生态循环种植，发展绿色循环现代农业。完善“镇村设立尾菜回收点+生产主体分拣堆放+本地有机肥企业储运加工再利用”体系和配套设施，实现废弃物循环利用和生态消纳</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加强秸秆、畜禽粪污、地膜等废弃物资源化利用。依托固体废物循环经济产业园，实施“城市矿产”、固体废物资源化利用、废水再利用等工程，打造可持续发展的循环经济应用与科研示范基地。</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42" w:name="_Toc11872_WPSOffice_Level2"/>
      <w:r>
        <w:rPr>
          <w:rFonts w:hint="eastAsia" w:ascii="黑体" w:hAnsi="黑体" w:eastAsia="黑体" w:cs="黑体"/>
          <w:b w:val="0"/>
          <w:bCs/>
          <w:sz w:val="32"/>
          <w:szCs w:val="32"/>
          <w:lang w:val="zh-CN"/>
        </w:rPr>
        <w:t>推动交通绿色清洁化发展</w:t>
      </w:r>
      <w:bookmarkEnd w:id="142"/>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（一）推广新能源汽车的应用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大新能源汽车推广应用力度，鼓励燃油车置换新能源汽车。推进渣土、机场大巴、邮政、快递、旅游等重点领域车辆新能源化。公共领域示范先行，在公交、出租、环卫、公务领域更新及新增车辆中新能源汽车占比力争达到</w:t>
      </w:r>
      <w:r>
        <w:rPr>
          <w:rFonts w:ascii="仿宋_GB2312" w:hAnsi="仿宋_GB2312" w:eastAsia="仿宋_GB2312" w:cs="仿宋_GB2312"/>
          <w:bCs/>
          <w:sz w:val="32"/>
          <w:szCs w:val="32"/>
          <w:lang w:val="zh-CN"/>
        </w:rPr>
        <w:t>100%。鼓励物流车辆</w:t>
      </w:r>
      <w:r>
        <w:rPr>
          <w:rFonts w:hint="eastAsia" w:ascii="仿宋_GB2312" w:hAnsi="仿宋_GB2312" w:eastAsia="仿宋_GB2312" w:cs="仿宋_GB2312"/>
          <w:bCs/>
          <w:sz w:val="32"/>
          <w:szCs w:val="32"/>
          <w:lang w:val="zh-CN"/>
        </w:rPr>
        <w:t>由燃油车辆置换为新能源汽车、企业及个人购买使用新能源汽车、新增或更新的货运（</w:t>
      </w:r>
      <w:r>
        <w:rPr>
          <w:rFonts w:ascii="仿宋_GB2312" w:hAnsi="仿宋_GB2312" w:eastAsia="仿宋_GB2312" w:cs="仿宋_GB2312"/>
          <w:bCs/>
          <w:sz w:val="32"/>
          <w:szCs w:val="32"/>
          <w:lang w:val="zh-CN"/>
        </w:rPr>
        <w:t>4.5吨以下）车辆为纯电动车。</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（二）推进绿色基础设施建设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快建设城市电动汽车充电设施，建成与电动汽车拥有量相适应的“车桩相随、布局合理、智能高效”的充电设施体系。加快推进公共停车场充电设施建设，优先在重要交通枢纽、重要交通节点、重要商圈、停车换乘（</w:t>
      </w:r>
      <w:r>
        <w:rPr>
          <w:rFonts w:ascii="仿宋_GB2312" w:hAnsi="仿宋_GB2312" w:eastAsia="仿宋_GB2312" w:cs="仿宋_GB2312"/>
          <w:bCs/>
          <w:sz w:val="32"/>
          <w:szCs w:val="32"/>
          <w:lang w:val="zh-CN"/>
        </w:rPr>
        <w:t>P+R）</w:t>
      </w:r>
      <w:r>
        <w:rPr>
          <w:rFonts w:hint="eastAsia" w:ascii="仿宋_GB2312" w:hAnsi="仿宋_GB2312" w:eastAsia="仿宋_GB2312" w:cs="仿宋_GB2312"/>
          <w:bCs/>
          <w:sz w:val="32"/>
          <w:szCs w:val="32"/>
          <w:lang w:val="zh-CN"/>
        </w:rPr>
        <w:t>和停车场等场所建设公共充电设施示范站，配建以快充为主的公用充电设施。加快园区充电设施建设，根据新能源汽车使用情况，在现有停车区域配建充电设施。</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（三）推动交通运输转型升级</w:t>
      </w:r>
      <w:bookmarkStart w:id="143" w:name="_Hlk153056258"/>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推广高效运输配送方式、提高物流信息化水平、发展高效城市配送模式，利用“互联网</w:t>
      </w:r>
      <w:r>
        <w:rPr>
          <w:rFonts w:ascii="仿宋_GB2312" w:hAnsi="仿宋_GB2312" w:eastAsia="仿宋_GB2312" w:cs="仿宋_GB2312"/>
          <w:bCs/>
          <w:sz w:val="32"/>
          <w:szCs w:val="32"/>
          <w:lang w:val="zh-CN"/>
        </w:rPr>
        <w:t>+”促进物流等交通运输转型升级，</w:t>
      </w:r>
      <w:r>
        <w:rPr>
          <w:rFonts w:hint="eastAsia" w:ascii="仿宋_GB2312" w:hAnsi="仿宋_GB2312" w:eastAsia="仿宋_GB2312" w:cs="仿宋_GB2312"/>
          <w:bCs/>
          <w:sz w:val="32"/>
          <w:szCs w:val="32"/>
          <w:lang w:val="zh-CN"/>
        </w:rPr>
        <w:t>建设道路货运无车承运人试点，引导货运物流行业的规模化、集约化、规范化发展</w:t>
      </w:r>
      <w:bookmarkEnd w:id="136"/>
      <w:r>
        <w:rPr>
          <w:rFonts w:hint="eastAsia" w:ascii="仿宋_GB2312" w:hAnsi="仿宋_GB2312" w:eastAsia="仿宋_GB2312" w:cs="仿宋_GB2312"/>
          <w:bCs/>
          <w:sz w:val="32"/>
          <w:szCs w:val="32"/>
          <w:lang w:val="zh-CN"/>
        </w:rPr>
        <w:t>。</w:t>
      </w:r>
    </w:p>
    <w:p>
      <w:pPr>
        <w:pStyle w:val="3"/>
        <w:numPr>
          <w:ilvl w:val="0"/>
          <w:numId w:val="5"/>
        </w:numPr>
        <w:spacing w:before="0" w:after="0" w:line="560" w:lineRule="exact"/>
        <w:ind w:left="0" w:firstLine="640" w:firstLineChars="200"/>
        <w:jc w:val="left"/>
        <w:rPr>
          <w:rFonts w:ascii="黑体" w:hAnsi="黑体" w:eastAsia="黑体" w:cs="黑体"/>
          <w:b w:val="0"/>
          <w:bCs/>
          <w:sz w:val="32"/>
          <w:szCs w:val="32"/>
          <w:lang w:val="zh-CN"/>
        </w:rPr>
      </w:pPr>
      <w:bookmarkStart w:id="144" w:name="_Toc13504_WPSOffice_Level2"/>
      <w:r>
        <w:rPr>
          <w:rFonts w:hint="eastAsia" w:ascii="黑体" w:hAnsi="黑体" w:eastAsia="黑体" w:cs="黑体"/>
          <w:b w:val="0"/>
          <w:bCs/>
          <w:sz w:val="32"/>
          <w:szCs w:val="32"/>
          <w:lang w:val="zh-CN"/>
        </w:rPr>
        <w:t>推动生态经济产业化发展</w:t>
      </w:r>
      <w:bookmarkEnd w:id="144"/>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（一）推动林业经济高质量综合开发</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贯彻落实《关于科学利用森林资源促进林下经济高质量发展的通知》，结合顺义区农村集体经济实施方案落实和市级示范性集体林场建设，在维护生态安全、保护生态景观的前提下，充分挖掘林地潜力，提高林地综合效益，推动林业经济高质量发展。以新型集体林场为主，按照“以林为主、生态优先、示范带动、适度发展”的原则，引导建设</w:t>
      </w:r>
      <w:r>
        <w:rPr>
          <w:rFonts w:ascii="仿宋_GB2312" w:hAnsi="仿宋_GB2312" w:eastAsia="仿宋_GB2312" w:cs="仿宋_GB2312"/>
          <w:bCs/>
          <w:sz w:val="32"/>
          <w:szCs w:val="32"/>
          <w:lang w:val="zh-CN"/>
        </w:rPr>
        <w:t>以森</w:t>
      </w:r>
      <w:r>
        <w:rPr>
          <w:rFonts w:hint="eastAsia" w:ascii="仿宋_GB2312" w:hAnsi="仿宋_GB2312" w:eastAsia="仿宋_GB2312" w:cs="仿宋_GB2312"/>
          <w:bCs/>
          <w:sz w:val="32"/>
          <w:szCs w:val="32"/>
          <w:lang w:val="zh-CN"/>
        </w:rPr>
        <w:t>林景观利用和农林复合经营为主业、具有高质量发展前景的林下经济示范基地，重点推进森林景观利用、林下种植等林下经济发展和樱桃等经济林种植，实现生态改善、经济发展和景观提升的综合效益。</w:t>
      </w:r>
    </w:p>
    <w:bookmarkEnd w:id="143"/>
    <w:p>
      <w:pPr>
        <w:pStyle w:val="4"/>
        <w:keepNext w:val="0"/>
        <w:keepLines w:val="0"/>
        <w:spacing w:before="0"/>
        <w:ind w:firstLine="640"/>
        <w:rPr>
          <w:rFonts w:ascii="楷体_GB2312" w:hAnsi="楷体_GB2312" w:eastAsia="楷体_GB2312" w:cs="楷体_GB2312"/>
          <w:b w:val="0"/>
          <w:bCs w:val="0"/>
          <w:sz w:val="32"/>
          <w:szCs w:val="32"/>
          <w:lang w:eastAsia="zh-CN"/>
        </w:rPr>
      </w:pPr>
      <w:bookmarkStart w:id="145" w:name="_Toc136794693"/>
      <w:bookmarkStart w:id="146" w:name="_Hlk135153108"/>
      <w:bookmarkStart w:id="147" w:name="_Toc136702472"/>
      <w:r>
        <w:rPr>
          <w:rFonts w:hint="eastAsia" w:ascii="楷体_GB2312" w:hAnsi="楷体_GB2312" w:eastAsia="楷体_GB2312" w:cs="楷体_GB2312"/>
          <w:b w:val="0"/>
          <w:bCs w:val="0"/>
          <w:sz w:val="32"/>
          <w:szCs w:val="32"/>
          <w:lang w:eastAsia="zh-CN"/>
        </w:rPr>
        <w:t>（二）推进现代化农业</w:t>
      </w:r>
      <w:r>
        <w:rPr>
          <w:rFonts w:ascii="楷体_GB2312" w:hAnsi="楷体_GB2312" w:eastAsia="楷体_GB2312" w:cs="楷体_GB2312"/>
          <w:b w:val="0"/>
          <w:bCs w:val="0"/>
          <w:sz w:val="32"/>
          <w:szCs w:val="32"/>
          <w:lang w:eastAsia="zh-CN"/>
        </w:rPr>
        <w:t>产业</w:t>
      </w:r>
      <w:r>
        <w:rPr>
          <w:rFonts w:hint="eastAsia" w:ascii="楷体_GB2312" w:hAnsi="楷体_GB2312" w:eastAsia="楷体_GB2312" w:cs="楷体_GB2312"/>
          <w:b w:val="0"/>
          <w:bCs w:val="0"/>
          <w:sz w:val="32"/>
          <w:szCs w:val="32"/>
          <w:lang w:eastAsia="zh-CN"/>
        </w:rPr>
        <w:t>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依托国家现代农业产业园创建，聚焦“生猪（种业）”和“设施蔬菜”两大主导产业，以“生产</w:t>
      </w:r>
      <w:r>
        <w:rPr>
          <w:rFonts w:ascii="仿宋_GB2312" w:hAnsi="仿宋_GB2312" w:eastAsia="仿宋_GB2312" w:cs="仿宋_GB2312"/>
          <w:bCs/>
          <w:sz w:val="32"/>
          <w:szCs w:val="32"/>
          <w:lang w:val="zh-CN"/>
        </w:rPr>
        <w:t>+加工+科技”为主线，</w:t>
      </w:r>
      <w:r>
        <w:rPr>
          <w:rFonts w:hint="eastAsia" w:ascii="仿宋_GB2312" w:hAnsi="仿宋_GB2312" w:eastAsia="仿宋_GB2312" w:cs="仿宋_GB2312"/>
          <w:bCs/>
          <w:sz w:val="32"/>
          <w:szCs w:val="32"/>
          <w:lang w:val="zh-CN"/>
        </w:rPr>
        <w:t>立足赵全营镇、李桥镇、南法信镇、仁和镇、高丽营镇、李遂镇、杨镇、北务镇、大孙各庄镇、龙湾屯镇等</w:t>
      </w:r>
      <w:r>
        <w:rPr>
          <w:rFonts w:ascii="仿宋_GB2312" w:hAnsi="仿宋_GB2312" w:eastAsia="仿宋_GB2312" w:cs="仿宋_GB2312"/>
          <w:bCs/>
          <w:sz w:val="32"/>
          <w:szCs w:val="32"/>
          <w:lang w:val="zh-CN"/>
        </w:rPr>
        <w:t>10个镇，扎实推进</w:t>
      </w:r>
      <w:r>
        <w:rPr>
          <w:rFonts w:hint="eastAsia" w:ascii="仿宋_GB2312" w:hAnsi="仿宋_GB2312" w:eastAsia="仿宋_GB2312" w:cs="仿宋_GB2312"/>
          <w:bCs/>
          <w:sz w:val="32"/>
          <w:szCs w:val="32"/>
          <w:lang w:val="zh-CN"/>
        </w:rPr>
        <w:t>顺义区农业现代化</w:t>
      </w:r>
      <w:r>
        <w:rPr>
          <w:rFonts w:ascii="仿宋_GB2312" w:hAnsi="仿宋_GB2312" w:eastAsia="仿宋_GB2312" w:cs="仿宋_GB2312"/>
          <w:bCs/>
          <w:sz w:val="32"/>
          <w:szCs w:val="32"/>
          <w:lang w:val="zh-CN"/>
        </w:rPr>
        <w:t>产业</w:t>
      </w:r>
      <w:r>
        <w:rPr>
          <w:rFonts w:hint="eastAsia" w:ascii="仿宋_GB2312" w:hAnsi="仿宋_GB2312" w:eastAsia="仿宋_GB2312" w:cs="仿宋_GB2312"/>
          <w:bCs/>
          <w:sz w:val="32"/>
          <w:szCs w:val="32"/>
          <w:lang w:val="zh-CN"/>
        </w:rPr>
        <w:t>发展体系</w:t>
      </w:r>
      <w:r>
        <w:rPr>
          <w:rFonts w:ascii="仿宋_GB2312" w:hAnsi="仿宋_GB2312" w:eastAsia="仿宋_GB2312" w:cs="仿宋_GB2312"/>
          <w:bCs/>
          <w:sz w:val="32"/>
          <w:szCs w:val="32"/>
          <w:lang w:val="zh-CN"/>
        </w:rPr>
        <w:t>建设</w:t>
      </w:r>
      <w:r>
        <w:rPr>
          <w:rFonts w:hint="eastAsia" w:ascii="仿宋_GB2312" w:hAnsi="仿宋_GB2312" w:eastAsia="仿宋_GB2312" w:cs="仿宋_GB2312"/>
          <w:bCs/>
          <w:sz w:val="32"/>
          <w:szCs w:val="32"/>
          <w:lang w:val="zh-CN"/>
        </w:rPr>
        <w:t>。</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（三）推动休闲农业与乡村旅游升级</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依托国际樱桃大会后续效应，利用田园综合体、美丽乡村、生态沟域等载体，积极开发农业观光、休闲游憩、森林康养、文化体验、生态教育等功能，鼓励发展亲子农业、教育农园、市民农园、家庭园艺等业态，利用好阳台、楼顶等空间，促进创意农业走进市民家庭，促进农业与科普、教育、体验的深层次结合，延伸休闲农业价值链。培育优质乡村旅游品牌，打造一批精品农业节庆、农事体验活动。</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jc w:val="center"/>
              <w:rPr>
                <w:rFonts w:ascii="仿宋" w:hAnsi="仿宋" w:eastAsia="仿宋" w:cs="Times New Roman"/>
                <w:b/>
                <w:bCs/>
                <w:sz w:val="28"/>
                <w:szCs w:val="28"/>
              </w:rPr>
            </w:pPr>
            <w:r>
              <w:rPr>
                <w:rFonts w:hint="eastAsia" w:ascii="仿宋" w:hAnsi="仿宋" w:eastAsia="仿宋" w:cs="Times New Roman"/>
                <w:b/>
                <w:bCs/>
                <w:sz w:val="28"/>
                <w:szCs w:val="28"/>
              </w:rPr>
              <w:t>生态经济领域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发力点：</w:t>
            </w:r>
            <w:r>
              <w:rPr>
                <w:rFonts w:hint="eastAsia" w:ascii="仿宋" w:hAnsi="仿宋" w:eastAsia="仿宋" w:cs="Times New Roman"/>
                <w:sz w:val="28"/>
                <w:szCs w:val="28"/>
              </w:rPr>
              <w:t>紧紧围绕北京新版城市总规赋予顺义区的“创新引领的区域经济提升发展先行区”功能定位，深入实施《顺义分区规划（国土空间规划）（</w:t>
            </w:r>
            <w:r>
              <w:rPr>
                <w:rFonts w:ascii="仿宋" w:hAnsi="仿宋" w:eastAsia="仿宋" w:cs="Times New Roman"/>
                <w:sz w:val="28"/>
                <w:szCs w:val="28"/>
              </w:rPr>
              <w:t>2017-2035年）》，以“两区”建设为契机，以科技含量高、资源消耗低、环境污染少的“高精尖”产业结构构建和北京创新产业集群示范区（顺义）建设为抓手，大力推动现代制造业高端化、智能化、绿色化发展，推动航空服务、跨境贸易、商务会展、科技服务等重点产业集群发展，创新赋能加快形成绿色低碳高质量发展方式</w:t>
            </w:r>
            <w:r>
              <w:rPr>
                <w:rFonts w:hint="eastAsia" w:ascii="仿宋" w:hAnsi="仿宋"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强化措施：</w:t>
            </w:r>
            <w:r>
              <w:rPr>
                <w:rFonts w:ascii="仿宋" w:hAnsi="仿宋" w:eastAsia="仿宋" w:cs="Times New Roman"/>
                <w:sz w:val="28"/>
                <w:szCs w:val="28"/>
              </w:rPr>
              <w:t>推进产业生态化</w:t>
            </w:r>
            <w:r>
              <w:rPr>
                <w:rFonts w:hint="eastAsia" w:ascii="仿宋" w:hAnsi="仿宋" w:eastAsia="仿宋" w:cs="Times New Roman"/>
                <w:sz w:val="28"/>
                <w:szCs w:val="28"/>
              </w:rPr>
              <w:t>、</w:t>
            </w:r>
            <w:r>
              <w:rPr>
                <w:rFonts w:ascii="仿宋" w:hAnsi="仿宋" w:eastAsia="仿宋" w:cs="Times New Roman"/>
                <w:sz w:val="28"/>
                <w:szCs w:val="28"/>
              </w:rPr>
              <w:t>生态产业化发展</w:t>
            </w:r>
            <w:r>
              <w:rPr>
                <w:rFonts w:hint="eastAsia" w:ascii="仿宋" w:hAnsi="仿宋" w:eastAsia="仿宋" w:cs="Times New Roman"/>
                <w:sz w:val="28"/>
                <w:szCs w:val="28"/>
              </w:rPr>
              <w:t>，依托北京创新产业集群示范区（顺义）和北京中德经济技术合作先行示范区建设推进高精尖产业高端化、智能化、绿色化发展，推进制造业绿色低碳转型；不断深化生态农业循环发展，持续推进</w:t>
            </w:r>
            <w:r>
              <w:rPr>
                <w:rFonts w:ascii="仿宋" w:hAnsi="仿宋" w:eastAsia="仿宋" w:cs="Times New Roman"/>
                <w:sz w:val="28"/>
                <w:szCs w:val="28"/>
              </w:rPr>
              <w:t>菜田废弃物循环利用工程</w:t>
            </w:r>
            <w:r>
              <w:rPr>
                <w:rFonts w:hint="eastAsia" w:ascii="仿宋" w:hAnsi="仿宋" w:eastAsia="仿宋" w:cs="Times New Roman"/>
                <w:sz w:val="28"/>
                <w:szCs w:val="28"/>
              </w:rPr>
              <w:t>，依托顺义区国家现代农业产业园创建推进现代农业产业高质量发展；打造樱桃产业带促进林业产业发展，以新型集体林场为平台大力发展林下经济。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b/>
                <w:bCs/>
                <w:sz w:val="28"/>
                <w:szCs w:val="28"/>
              </w:rPr>
            </w:pPr>
            <w:r>
              <w:rPr>
                <w:rFonts w:hint="eastAsia" w:ascii="仿宋" w:hAnsi="仿宋" w:eastAsia="仿宋" w:cs="Times New Roman"/>
                <w:b/>
                <w:bCs/>
                <w:sz w:val="28"/>
                <w:szCs w:val="28"/>
              </w:rPr>
              <w:t>重点任务：</w:t>
            </w:r>
          </w:p>
          <w:p>
            <w:pPr>
              <w:spacing w:after="114"/>
              <w:rPr>
                <w:rFonts w:ascii="仿宋" w:hAnsi="仿宋" w:eastAsia="仿宋" w:cs="Times New Roman"/>
                <w:sz w:val="28"/>
                <w:szCs w:val="28"/>
              </w:rPr>
            </w:pPr>
            <w:r>
              <w:rPr>
                <w:rFonts w:hint="eastAsia" w:ascii="仿宋" w:hAnsi="仿宋" w:eastAsia="仿宋" w:cs="Times New Roman"/>
                <w:sz w:val="28"/>
                <w:szCs w:val="28"/>
              </w:rPr>
              <w:t>（1）推动高精尖制造业集群成链发展</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依托北京创新产业集群示范区（顺义）建设，落实中关村顺义园改革发展提升方案，以链主企业为支撑，推动先进制造业集群成链发展。健全整车制造企业服务保障体系，推动理想汽车旗舰工厂达产，促进北京奔驰顺义工厂、北汽越野车产线利用率提升，服务北京现代拓展出口业务，吸引更多新能源智能汽车核心零部件项目，不断提高汽车产业本地化配套率。深化拓展第三代半导体产业发展，完成标准化厂房二期、泰科天润总部基地等项目建设。提升航空航天产业发展能级，确保中科院工程热物理研究所顺义园区开工，推动卫星应用智能装备和信息技术产业基地等项目投产。</w:t>
            </w:r>
          </w:p>
          <w:p>
            <w:pPr>
              <w:spacing w:after="114"/>
              <w:rPr>
                <w:rFonts w:ascii="仿宋" w:hAnsi="仿宋" w:eastAsia="仿宋" w:cs="Times New Roman"/>
                <w:sz w:val="28"/>
                <w:szCs w:val="28"/>
              </w:rPr>
            </w:pPr>
            <w:r>
              <w:rPr>
                <w:rFonts w:hint="eastAsia" w:ascii="仿宋" w:hAnsi="仿宋" w:eastAsia="仿宋" w:cs="Times New Roman"/>
                <w:sz w:val="28"/>
                <w:szCs w:val="28"/>
              </w:rPr>
              <w:t>（2）高水平举办</w:t>
            </w:r>
            <w:r>
              <w:rPr>
                <w:rFonts w:ascii="仿宋" w:hAnsi="仿宋" w:eastAsia="仿宋" w:cs="Times New Roman"/>
                <w:sz w:val="28"/>
                <w:szCs w:val="28"/>
              </w:rPr>
              <w:t>世界智能网联汽车</w:t>
            </w:r>
            <w:r>
              <w:rPr>
                <w:rFonts w:hint="eastAsia" w:ascii="仿宋" w:hAnsi="仿宋" w:eastAsia="仿宋" w:cs="Times New Roman"/>
                <w:sz w:val="28"/>
                <w:szCs w:val="28"/>
              </w:rPr>
              <w:t>大会</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聚焦材料、制造等领域，谋划布局区内未来产业发展，</w:t>
            </w:r>
            <w:r>
              <w:rPr>
                <w:rFonts w:ascii="仿宋" w:hAnsi="仿宋" w:eastAsia="仿宋" w:cs="Times New Roman"/>
                <w:sz w:val="28"/>
                <w:szCs w:val="28"/>
              </w:rPr>
              <w:t>高水平办好世界智能网联汽</w:t>
            </w:r>
            <w:r>
              <w:rPr>
                <w:rFonts w:hint="eastAsia" w:ascii="仿宋" w:hAnsi="仿宋" w:eastAsia="仿宋" w:cs="Times New Roman"/>
                <w:sz w:val="28"/>
                <w:szCs w:val="28"/>
              </w:rPr>
              <w:t>车大会，推进</w:t>
            </w:r>
            <w:r>
              <w:rPr>
                <w:rFonts w:ascii="仿宋" w:hAnsi="仿宋" w:eastAsia="仿宋" w:cs="Times New Roman"/>
                <w:sz w:val="28"/>
                <w:szCs w:val="28"/>
              </w:rPr>
              <w:t>北京市高</w:t>
            </w:r>
            <w:r>
              <w:rPr>
                <w:rFonts w:hint="eastAsia" w:ascii="仿宋" w:hAnsi="仿宋" w:eastAsia="仿宋" w:cs="Times New Roman"/>
                <w:sz w:val="28"/>
                <w:szCs w:val="28"/>
              </w:rPr>
              <w:t>级别自动驾驶示范区</w:t>
            </w:r>
            <w:r>
              <w:rPr>
                <w:rFonts w:ascii="仿宋" w:hAnsi="仿宋" w:eastAsia="仿宋" w:cs="Times New Roman"/>
                <w:sz w:val="28"/>
                <w:szCs w:val="28"/>
              </w:rPr>
              <w:t>扩区建设，</w:t>
            </w:r>
            <w:r>
              <w:rPr>
                <w:rFonts w:hint="eastAsia" w:ascii="仿宋" w:hAnsi="仿宋" w:eastAsia="仿宋" w:cs="Times New Roman"/>
                <w:sz w:val="28"/>
                <w:szCs w:val="28"/>
              </w:rPr>
              <w:t>把握产业高端化、智能化、绿色化发展趋势。</w:t>
            </w:r>
          </w:p>
          <w:p>
            <w:pPr>
              <w:spacing w:after="114"/>
              <w:rPr>
                <w:rFonts w:ascii="仿宋" w:hAnsi="仿宋" w:eastAsia="仿宋" w:cs="Times New Roman"/>
                <w:sz w:val="28"/>
                <w:szCs w:val="28"/>
              </w:rPr>
            </w:pPr>
            <w:r>
              <w:rPr>
                <w:rFonts w:hint="eastAsia" w:ascii="仿宋" w:hAnsi="仿宋" w:eastAsia="仿宋" w:cs="Times New Roman"/>
                <w:sz w:val="28"/>
                <w:szCs w:val="28"/>
              </w:rPr>
              <w:t>（3）推进能源清洁低碳转型</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稳步推进光伏光热应用，推进阳光惠民、阳光园区、阳光商业、阳光乡村、阳光基础设施、阳光公共机构六大阳光工程，推动地热能、余热、生物质能多元发展，开展储能技术推广应用。</w:t>
            </w:r>
          </w:p>
          <w:p>
            <w:pPr>
              <w:spacing w:after="114"/>
              <w:rPr>
                <w:rFonts w:ascii="仿宋" w:hAnsi="仿宋" w:eastAsia="仿宋" w:cs="Times New Roman"/>
                <w:sz w:val="28"/>
                <w:szCs w:val="28"/>
              </w:rPr>
            </w:pPr>
            <w:r>
              <w:rPr>
                <w:rFonts w:hint="eastAsia" w:ascii="仿宋" w:hAnsi="仿宋" w:eastAsia="仿宋" w:cs="Times New Roman"/>
                <w:sz w:val="28"/>
                <w:szCs w:val="28"/>
              </w:rPr>
              <w:t>（4）推进制造业绿色低碳转型</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持续通过绿色诊断、绿色制造体系建设培育、绿色低碳政策宣贯等渠道引导企业绿色低碳转型，争创绿色工厂、绿色供应链管理企业，不断推动顺义区制造业高质量发展。</w:t>
            </w:r>
          </w:p>
          <w:p>
            <w:pPr>
              <w:spacing w:after="114"/>
              <w:rPr>
                <w:rFonts w:ascii="仿宋" w:hAnsi="仿宋" w:eastAsia="仿宋" w:cs="Times New Roman"/>
                <w:sz w:val="28"/>
                <w:szCs w:val="28"/>
              </w:rPr>
            </w:pPr>
            <w:r>
              <w:rPr>
                <w:rFonts w:hint="eastAsia" w:ascii="仿宋" w:hAnsi="仿宋" w:eastAsia="仿宋" w:cs="Times New Roman"/>
                <w:sz w:val="28"/>
                <w:szCs w:val="28"/>
              </w:rPr>
              <w:t>（5）持续推进</w:t>
            </w:r>
            <w:r>
              <w:rPr>
                <w:rFonts w:ascii="仿宋" w:hAnsi="仿宋" w:eastAsia="仿宋" w:cs="Times New Roman"/>
                <w:sz w:val="28"/>
                <w:szCs w:val="28"/>
              </w:rPr>
              <w:t>菜田废弃物循环利用</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持续在全区推行菜田废弃物循环利用“顺义模式”。通过实施化肥减量增效行动、化学农药减量增效行动，</w:t>
            </w:r>
            <w:r>
              <w:rPr>
                <w:rFonts w:ascii="仿宋" w:hAnsi="仿宋" w:eastAsia="仿宋" w:cs="Times New Roman"/>
                <w:sz w:val="28"/>
                <w:szCs w:val="28"/>
              </w:rPr>
              <w:t>收集处理菜田秸秆等废弃物，制成有机肥</w:t>
            </w:r>
            <w:r>
              <w:rPr>
                <w:rFonts w:hint="eastAsia" w:ascii="仿宋" w:hAnsi="仿宋" w:eastAsia="仿宋" w:cs="Times New Roman"/>
                <w:sz w:val="28"/>
                <w:szCs w:val="28"/>
              </w:rPr>
              <w:t>、</w:t>
            </w:r>
            <w:r>
              <w:rPr>
                <w:rFonts w:ascii="仿宋" w:hAnsi="仿宋" w:eastAsia="仿宋" w:cs="Times New Roman"/>
                <w:sz w:val="28"/>
                <w:szCs w:val="28"/>
              </w:rPr>
              <w:t>有机质</w:t>
            </w:r>
            <w:r>
              <w:rPr>
                <w:rFonts w:hint="eastAsia" w:ascii="仿宋" w:hAnsi="仿宋" w:eastAsia="仿宋" w:cs="Times New Roman"/>
                <w:sz w:val="28"/>
                <w:szCs w:val="28"/>
              </w:rPr>
              <w:t>再还回土壤，培肥地力，深化农业循环经济发展。</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w:t>
            </w:r>
            <w:r>
              <w:rPr>
                <w:rFonts w:ascii="仿宋" w:hAnsi="仿宋" w:eastAsia="仿宋" w:cs="Times New Roman"/>
                <w:sz w:val="28"/>
                <w:szCs w:val="28"/>
              </w:rPr>
              <w:t>利用科技资源</w:t>
            </w:r>
            <w:r>
              <w:rPr>
                <w:rFonts w:hint="eastAsia" w:ascii="仿宋" w:hAnsi="仿宋" w:eastAsia="仿宋" w:cs="Times New Roman"/>
                <w:sz w:val="28"/>
                <w:szCs w:val="28"/>
              </w:rPr>
              <w:t>和示范性项目</w:t>
            </w:r>
            <w:r>
              <w:rPr>
                <w:rFonts w:ascii="仿宋" w:hAnsi="仿宋" w:eastAsia="仿宋" w:cs="Times New Roman"/>
                <w:sz w:val="28"/>
                <w:szCs w:val="28"/>
              </w:rPr>
              <w:t>助力林下经济</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以新型集体林场为平台，重点依托龙湾屯镇等</w:t>
            </w:r>
            <w:r>
              <w:rPr>
                <w:rFonts w:ascii="仿宋" w:hAnsi="仿宋" w:eastAsia="仿宋" w:cs="Times New Roman"/>
                <w:sz w:val="28"/>
                <w:szCs w:val="28"/>
              </w:rPr>
              <w:t>市级示范林场，推动龙湾屯镇等与北京林业大学、北京菌类学会等高等院校、研究机构建立长期合作，聘请专家从种植品种筛选、栽培技术等方面进行实地指导，提升</w:t>
            </w:r>
            <w:r>
              <w:rPr>
                <w:rFonts w:hint="eastAsia" w:ascii="仿宋" w:hAnsi="仿宋" w:eastAsia="仿宋" w:cs="Times New Roman"/>
                <w:sz w:val="28"/>
                <w:szCs w:val="28"/>
              </w:rPr>
              <w:t>各镇新型集体林场生产技术水平，推广</w:t>
            </w:r>
            <w:r>
              <w:rPr>
                <w:rFonts w:ascii="仿宋" w:hAnsi="仿宋" w:eastAsia="仿宋" w:cs="Times New Roman"/>
                <w:sz w:val="28"/>
                <w:szCs w:val="28"/>
              </w:rPr>
              <w:t>龙湾屯镇</w:t>
            </w:r>
            <w:r>
              <w:rPr>
                <w:rFonts w:hint="eastAsia" w:ascii="仿宋" w:hAnsi="仿宋" w:eastAsia="仿宋" w:cs="Times New Roman"/>
                <w:sz w:val="28"/>
                <w:szCs w:val="28"/>
              </w:rPr>
              <w:t>菌类种植、中草药种植及</w:t>
            </w:r>
            <w:r>
              <w:rPr>
                <w:rFonts w:ascii="仿宋" w:hAnsi="仿宋" w:eastAsia="仿宋" w:cs="Times New Roman"/>
                <w:sz w:val="28"/>
                <w:szCs w:val="28"/>
              </w:rPr>
              <w:t>北京油鸡养殖</w:t>
            </w:r>
            <w:r>
              <w:rPr>
                <w:rFonts w:hint="eastAsia" w:ascii="仿宋" w:hAnsi="仿宋" w:eastAsia="仿宋" w:cs="Times New Roman"/>
                <w:sz w:val="28"/>
                <w:szCs w:val="28"/>
              </w:rPr>
              <w:t>、</w:t>
            </w:r>
            <w:r>
              <w:rPr>
                <w:rFonts w:ascii="仿宋" w:hAnsi="仿宋" w:eastAsia="仿宋" w:cs="Times New Roman"/>
                <w:sz w:val="28"/>
                <w:szCs w:val="28"/>
              </w:rPr>
              <w:t>张镇中药材种植等示范性项目</w:t>
            </w:r>
            <w:r>
              <w:rPr>
                <w:rFonts w:hint="eastAsia" w:ascii="仿宋" w:hAnsi="仿宋" w:eastAsia="仿宋" w:cs="Times New Roman"/>
                <w:sz w:val="28"/>
                <w:szCs w:val="28"/>
              </w:rPr>
              <w:t>经验模式推进</w:t>
            </w:r>
            <w:r>
              <w:rPr>
                <w:rFonts w:ascii="仿宋" w:hAnsi="仿宋" w:eastAsia="仿宋" w:cs="Times New Roman"/>
                <w:sz w:val="28"/>
                <w:szCs w:val="28"/>
              </w:rPr>
              <w:t>林下经济</w:t>
            </w:r>
            <w:r>
              <w:rPr>
                <w:rFonts w:hint="eastAsia" w:ascii="仿宋" w:hAnsi="仿宋" w:eastAsia="仿宋" w:cs="Times New Roman"/>
                <w:sz w:val="28"/>
                <w:szCs w:val="28"/>
              </w:rPr>
              <w:t>发展</w:t>
            </w:r>
            <w:r>
              <w:rPr>
                <w:rFonts w:ascii="仿宋" w:hAnsi="仿宋" w:eastAsia="仿宋" w:cs="Times New Roman"/>
                <w:sz w:val="28"/>
                <w:szCs w:val="28"/>
              </w:rPr>
              <w:t>。</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7</w:t>
            </w:r>
            <w:r>
              <w:rPr>
                <w:rFonts w:hint="eastAsia" w:ascii="仿宋" w:hAnsi="仿宋" w:eastAsia="仿宋" w:cs="Times New Roman"/>
                <w:sz w:val="28"/>
                <w:szCs w:val="28"/>
              </w:rPr>
              <w:t>）推进实施现代农业产业高质量发展</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依托顺义区国家现代农业产业园创建，着眼“高精尖”农业产业、农民增收和集体经济发展，重点在培育特色种猪助力种业之都、探索“贷、贴、担、投、融”农业金融产业园减负增收发展模式。</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8</w:t>
            </w:r>
            <w:r>
              <w:rPr>
                <w:rFonts w:hint="eastAsia" w:ascii="仿宋" w:hAnsi="仿宋" w:eastAsia="仿宋" w:cs="Times New Roman"/>
                <w:sz w:val="28"/>
                <w:szCs w:val="28"/>
              </w:rPr>
              <w:t>）推进林业产业发展打造樱桃产业带</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依托国际樱桃大会后续效应，以顺义区</w:t>
            </w:r>
            <w:r>
              <w:rPr>
                <w:rFonts w:ascii="仿宋" w:hAnsi="仿宋" w:eastAsia="仿宋" w:cs="Times New Roman"/>
                <w:sz w:val="28"/>
                <w:szCs w:val="28"/>
              </w:rPr>
              <w:t>龙湾屯镇、木林镇、张镇、大孙各庄镇和北石槽镇浅山地区及区内重点规模樱桃产区</w:t>
            </w:r>
            <w:r>
              <w:rPr>
                <w:rFonts w:hint="eastAsia" w:ascii="仿宋" w:hAnsi="仿宋" w:eastAsia="仿宋" w:cs="Times New Roman"/>
                <w:sz w:val="28"/>
                <w:szCs w:val="28"/>
              </w:rPr>
              <w:t>为重点，打造樱桃产业带，把樱桃产业培育成为顺义区林业产业的主导产业，实现以樱桃产业发展促进乡村振兴和农民增收</w:t>
            </w:r>
            <w:r>
              <w:rPr>
                <w:rFonts w:ascii="仿宋" w:hAnsi="仿宋" w:eastAsia="仿宋" w:cs="Times New Roman"/>
                <w:sz w:val="28"/>
                <w:szCs w:val="28"/>
              </w:rPr>
              <w:t>。</w:t>
            </w:r>
          </w:p>
        </w:tc>
      </w:tr>
    </w:tbl>
    <w:p>
      <w:pPr>
        <w:adjustRightInd w:val="0"/>
        <w:snapToGrid w:val="0"/>
        <w:spacing w:line="540" w:lineRule="exact"/>
        <w:contextualSpacing/>
        <w:rPr>
          <w:rFonts w:ascii="仿宋" w:hAnsi="仿宋" w:eastAsia="仿宋" w:cs="仿宋_GB2312"/>
          <w:bCs/>
          <w:sz w:val="30"/>
          <w:szCs w:val="30"/>
          <w:lang w:val="zh-CN"/>
        </w:rPr>
      </w:pPr>
    </w:p>
    <w:bookmarkEnd w:id="145"/>
    <w:bookmarkEnd w:id="146"/>
    <w:bookmarkEnd w:id="147"/>
    <w:p>
      <w:pPr>
        <w:ind w:firstLine="480"/>
        <w:rPr>
          <w:rFonts w:ascii="仿宋" w:hAnsi="仿宋" w:eastAsia="仿宋"/>
        </w:rPr>
      </w:pPr>
    </w:p>
    <w:p>
      <w:pPr>
        <w:ind w:firstLine="480"/>
        <w:rPr>
          <w:rFonts w:ascii="仿宋" w:hAnsi="仿宋" w:eastAsia="仿宋"/>
        </w:rPr>
      </w:pPr>
    </w:p>
    <w:p>
      <w:pPr>
        <w:ind w:firstLine="480"/>
        <w:rPr>
          <w:rFonts w:ascii="仿宋" w:hAnsi="仿宋" w:eastAsia="仿宋"/>
        </w:rPr>
        <w:sectPr>
          <w:pgSz w:w="11906" w:h="16838"/>
          <w:pgMar w:top="1440" w:right="1800" w:bottom="1440" w:left="1800" w:header="851" w:footer="283" w:gutter="0"/>
          <w:cols w:space="425" w:num="1"/>
          <w:docGrid w:type="lines" w:linePitch="381" w:charSpace="0"/>
        </w:sectPr>
      </w:pPr>
    </w:p>
    <w:p>
      <w:pPr>
        <w:pStyle w:val="2"/>
        <w:rPr>
          <w:rFonts w:hint="eastAsia" w:ascii="方正小标宋简体" w:hAnsi="方正小标宋简体" w:cs="方正小标宋简体"/>
          <w:b w:val="0"/>
          <w:bCs w:val="0"/>
          <w:sz w:val="44"/>
          <w:szCs w:val="52"/>
        </w:rPr>
      </w:pPr>
      <w:bookmarkStart w:id="148" w:name="_Toc136794698"/>
      <w:bookmarkStart w:id="149" w:name="_Toc136702480"/>
      <w:bookmarkStart w:id="150" w:name="_Toc30335_WPSOffice_Level1"/>
      <w:r>
        <w:rPr>
          <w:rFonts w:hint="eastAsia" w:ascii="方正小标宋简体" w:hAnsi="方正小标宋简体" w:cs="方正小标宋简体"/>
          <w:b w:val="0"/>
          <w:bCs w:val="0"/>
          <w:sz w:val="44"/>
          <w:szCs w:val="52"/>
        </w:rPr>
        <w:t xml:space="preserve">第六章 </w:t>
      </w:r>
      <w:bookmarkEnd w:id="148"/>
      <w:bookmarkEnd w:id="149"/>
      <w:r>
        <w:rPr>
          <w:rFonts w:hint="eastAsia" w:ascii="方正小标宋简体" w:hAnsi="方正小标宋简体" w:cs="方正小标宋简体"/>
          <w:b w:val="0"/>
          <w:bCs w:val="0"/>
          <w:sz w:val="44"/>
          <w:szCs w:val="52"/>
        </w:rPr>
        <w:t>塑造高水平生态文化融合发展样板区</w:t>
      </w:r>
      <w:bookmarkEnd w:id="150"/>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深入贯彻落实《顺义分区规划（国土空间规划）（</w:t>
      </w:r>
      <w:r>
        <w:rPr>
          <w:rFonts w:ascii="仿宋_GB2312" w:hAnsi="仿宋_GB2312" w:eastAsia="仿宋_GB2312" w:cs="仿宋_GB2312"/>
          <w:bCs/>
          <w:sz w:val="32"/>
          <w:szCs w:val="32"/>
          <w:lang w:val="zh-CN"/>
        </w:rPr>
        <w:t>2017-2035</w:t>
      </w:r>
      <w:r>
        <w:rPr>
          <w:rFonts w:hint="eastAsia" w:ascii="仿宋_GB2312" w:hAnsi="仿宋_GB2312" w:eastAsia="仿宋_GB2312" w:cs="仿宋_GB2312"/>
          <w:bCs/>
          <w:sz w:val="32"/>
          <w:szCs w:val="32"/>
          <w:lang w:val="zh-CN"/>
        </w:rPr>
        <w:t>年）》《顺义区国民经济和社会发展第十四个五年规划和二〇三五年远景目标纲要》，加强大运河（潮白河）文化保护传承，发挥北京天竺综合保税区功能和政策优势统筹对外文化交流与文化贸易，挖掘潮白河历史文化资源，推进建设公共文化服务示范区，打造高品质文旅品牌活动，推进高水平文化贸易发展，在传承历史文化的基础上统筹推进历史文化、公共文化、生态文化融合发展，塑造高水平生态文化融合发展样板区。</w:t>
      </w:r>
    </w:p>
    <w:p>
      <w:pPr>
        <w:pStyle w:val="3"/>
        <w:numPr>
          <w:ilvl w:val="0"/>
          <w:numId w:val="6"/>
        </w:numPr>
        <w:spacing w:before="0" w:after="0" w:line="560" w:lineRule="exact"/>
        <w:ind w:left="0" w:firstLine="640" w:firstLineChars="200"/>
        <w:jc w:val="left"/>
        <w:rPr>
          <w:rFonts w:ascii="黑体" w:hAnsi="黑体" w:eastAsia="黑体" w:cs="黑体"/>
          <w:b w:val="0"/>
          <w:bCs/>
          <w:sz w:val="32"/>
          <w:szCs w:val="32"/>
          <w:lang w:val="zh-CN"/>
        </w:rPr>
      </w:pPr>
      <w:bookmarkStart w:id="151" w:name="_Toc18571_WPSOffice_Level2"/>
      <w:bookmarkStart w:id="152" w:name="_Hlk154324463"/>
      <w:r>
        <w:rPr>
          <w:rFonts w:hint="eastAsia" w:ascii="黑体" w:hAnsi="黑体" w:eastAsia="黑体" w:cs="黑体"/>
          <w:b w:val="0"/>
          <w:bCs/>
          <w:sz w:val="32"/>
          <w:szCs w:val="32"/>
          <w:lang w:val="zh-CN"/>
        </w:rPr>
        <w:t>培育</w:t>
      </w:r>
      <w:r>
        <w:rPr>
          <w:rFonts w:ascii="黑体" w:hAnsi="黑体" w:eastAsia="黑体" w:cs="黑体"/>
          <w:b w:val="0"/>
          <w:bCs/>
          <w:sz w:val="32"/>
          <w:szCs w:val="32"/>
          <w:lang w:val="zh-CN"/>
        </w:rPr>
        <w:t>现代生态文化品牌</w:t>
      </w:r>
      <w:bookmarkEnd w:id="151"/>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（一）挖掘潮白河历史文化资源</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加强大运河（潮白河）文化保护传承</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发挥好大运河（潮白河）文化带联结古今文化、优化城市功能布局、促进沿线区域发展的作用，传承“一道三城”脉络，构建由文化遗产串联的城市文脉，让历史文化和现代城市融为一体，铸就顺义文化鲜明标识。贯通潮白河沿线绿廊，串联重要文化节点，提亮生态、农耕、古道古城、民俗、酿酒等特色文化符号，构建由潮白河、滨水主题休闲长廊、生态文化休闲区、农耕文化体验区、古道古城文化保护区、京东民俗文化展示区、传统酒文化旅游区构成的“一河、一廊、五区”发展格局。建设潮白河森林公园，实现部分河段游船通航。坚持在保护中发展，在发展中保护，完善顺义区重要历史遗迹遗存目录，加强对元圣宫、顺州开元寺和古北口历史古道、安乐故城、狐奴故城、顺州古城等遗址的整体保护与展示；积极发掘、整理、恢复、保护传统地名、戏曲、技艺等文化资源，讲好文化遗产背后的故事，活化文化遗产，强化牛栏山二锅头传统酿制技艺、南彩漆器、“三伸腰”稻米、木林五花剪纸等非物质文化遗产的保护传承，推动历史文化资源保护性开发与创新性使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推动文艺创作守正创新繁荣发展，深入挖掘潮白河历史文化内涵，打造一批反映中国特色、首都特征、顺义特点的原创文艺精品力作。</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（二）建设公共文化服务示范区</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推动公共文化服务从“惠民”向“悦民”升级，打造步行</w:t>
      </w:r>
      <w:r>
        <w:rPr>
          <w:rFonts w:ascii="仿宋_GB2312" w:hAnsi="仿宋_GB2312" w:eastAsia="仿宋_GB2312" w:cs="仿宋_GB2312"/>
          <w:bCs/>
          <w:sz w:val="32"/>
          <w:szCs w:val="32"/>
          <w:lang w:val="zh-CN"/>
        </w:rPr>
        <w:t>15分钟文化服务</w:t>
      </w:r>
      <w:r>
        <w:rPr>
          <w:rFonts w:hint="eastAsia" w:ascii="仿宋_GB2312" w:hAnsi="仿宋_GB2312" w:eastAsia="仿宋_GB2312" w:cs="仿宋_GB2312"/>
          <w:bCs/>
          <w:sz w:val="32"/>
          <w:szCs w:val="32"/>
          <w:lang w:val="zh-CN"/>
        </w:rPr>
        <w:t>圈，让人民群众享有更加充实、更为丰富、更高质量的精神文化生活。织密公共文化设施网络，提高公共文化设施适应性，推动区文化中心“三馆一院”高效利用，精准定位群众文化服务需求，策划组织一批主题鲜明、京味十足的文化活动，打造顺义文化地标。</w:t>
      </w:r>
      <w:r>
        <w:rPr>
          <w:rFonts w:ascii="仿宋_GB2312" w:hAnsi="仿宋_GB2312" w:eastAsia="仿宋_GB2312" w:cs="仿宋_GB2312"/>
          <w:bCs/>
          <w:sz w:val="32"/>
          <w:szCs w:val="32"/>
          <w:lang w:val="zh-CN"/>
        </w:rPr>
        <w:t>丰富大型文化设施类型，加快补齐</w:t>
      </w:r>
      <w:r>
        <w:rPr>
          <w:rFonts w:hint="eastAsia" w:ascii="仿宋_GB2312" w:hAnsi="仿宋_GB2312" w:eastAsia="仿宋_GB2312" w:cs="仿宋_GB2312"/>
          <w:bCs/>
          <w:sz w:val="32"/>
          <w:szCs w:val="32"/>
          <w:lang w:val="zh-CN"/>
        </w:rPr>
        <w:t>美术馆、音乐厅、博物馆等文化设施短板。完善公共图书、文化活动、公益演出、公益放映等线上线下一体配送体系，把优秀文艺作品、优质文化产品送到群众身边。创新公共文化管理机制，支持社会机构提供优质文化服务，探索以现代企业管理模式激发文化机构活力，持续提高公共文化设施运营效率，推动文化服务多元化供给。实施公共文化数字化建设和场景化应用，打造公共文化数字服务网络，构建全天候的现代公共文化服务新模式。</w:t>
      </w:r>
    </w:p>
    <w:p>
      <w:pPr>
        <w:pStyle w:val="4"/>
        <w:keepNext w:val="0"/>
        <w:keepLines w:val="0"/>
        <w:spacing w:before="0"/>
        <w:ind w:firstLine="64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（三）打造高品质文旅品牌活动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强化节庆营销，打造高品质文旅活动。通过文化节等活动，整合文旅资源、串联文旅企业，提升企业知名度，促进文旅消费增长</w:t>
      </w:r>
      <w:r>
        <w:rPr>
          <w:rFonts w:ascii="仿宋_GB2312" w:hAnsi="仿宋_GB2312" w:eastAsia="仿宋_GB2312" w:cs="仿宋_GB2312"/>
          <w:bCs/>
          <w:sz w:val="32"/>
          <w:szCs w:val="32"/>
          <w:lang w:val="zh-CN"/>
        </w:rPr>
        <w:t>。引进精品演出，满足地区百姓高品质需求。</w:t>
      </w:r>
      <w:r>
        <w:rPr>
          <w:rFonts w:hint="eastAsia" w:ascii="仿宋_GB2312" w:hAnsi="仿宋_GB2312" w:eastAsia="仿宋_GB2312" w:cs="仿宋_GB2312"/>
          <w:bCs/>
          <w:sz w:val="32"/>
          <w:szCs w:val="32"/>
          <w:lang w:val="zh-CN"/>
        </w:rPr>
        <w:t>围绕春节、端午等七个传统节日和百场村晚倡新风、“二、五、十</w:t>
      </w:r>
      <w:r>
        <w:rPr>
          <w:rFonts w:ascii="仿宋_GB2312" w:hAnsi="仿宋_GB2312" w:eastAsia="仿宋_GB2312" w:cs="仿宋_GB2312"/>
          <w:bCs/>
          <w:sz w:val="32"/>
          <w:szCs w:val="32"/>
          <w:lang w:val="zh-CN"/>
        </w:rPr>
        <w:t>"等品牌文化活动，举办群众喜闻乐见的文化活动、组织高水平演出</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打造精品线路，释放旅游消费集聚效应。进一步挖掘大运河文化带文化内涵，加大网红打卡地宣传，推出更多符合北京市民需求的京郊旅游精品线路</w:t>
      </w:r>
      <w:r>
        <w:rPr>
          <w:rFonts w:hint="eastAsia" w:ascii="仿宋_GB2312" w:hAnsi="仿宋_GB2312" w:eastAsia="仿宋_GB2312" w:cs="仿宋_GB2312"/>
          <w:bCs/>
          <w:sz w:val="32"/>
          <w:szCs w:val="32"/>
          <w:lang w:val="zh-CN"/>
        </w:rPr>
        <w:t>。</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（四）推进高水平文化贸易发展</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充分发挥北京天竺综合保税区功能和政策优势，统筹对外文化交流与文化贸易，加快文化贸易企业引进培育及国际文化交易交流平台建设。加强国家对外文化贸易基地（北京）建设，进一步增强国际文化贸易企业集聚中心功能，紧抓对外文化产业链核心环节，促进企业集聚；做大国家文化出口基地，加强国际战略合作，开展多元文化项目，拓展文化出口渠道。推动文化与科技深度融合，促进影音、游戏等数字内容贸易和传统服务贸易数字化。集聚高品质文化贸易市场主体，着力引进一批文化产品、文化服务、文化贸易类企业，形成集文物回流、展览展示、保护修复于一体的文物产业链。支持优质文化产品“走出去”“引进来”。用足用活用实“两区”政策，提升文化领域投资与贸易便利化、自由化水平。</w:t>
      </w:r>
    </w:p>
    <w:p>
      <w:pPr>
        <w:pStyle w:val="3"/>
        <w:numPr>
          <w:ilvl w:val="0"/>
          <w:numId w:val="6"/>
        </w:numPr>
        <w:spacing w:before="0" w:after="0" w:line="560" w:lineRule="exact"/>
        <w:ind w:left="0" w:firstLine="640" w:firstLineChars="200"/>
        <w:jc w:val="left"/>
        <w:rPr>
          <w:rFonts w:ascii="黑体" w:hAnsi="黑体" w:eastAsia="黑体" w:cs="黑体"/>
          <w:b w:val="0"/>
          <w:bCs/>
          <w:sz w:val="32"/>
          <w:szCs w:val="32"/>
          <w:lang w:val="zh-CN"/>
        </w:rPr>
      </w:pPr>
      <w:bookmarkStart w:id="153" w:name="_Toc25879_WPSOffice_Level2"/>
      <w:r>
        <w:rPr>
          <w:rFonts w:hint="eastAsia" w:ascii="黑体" w:hAnsi="黑体" w:eastAsia="黑体" w:cs="黑体"/>
          <w:b w:val="0"/>
          <w:bCs/>
          <w:sz w:val="32"/>
          <w:szCs w:val="32"/>
          <w:lang w:val="zh-CN"/>
        </w:rPr>
        <w:t>强化多样生态文明宣教</w:t>
      </w:r>
      <w:bookmarkEnd w:id="153"/>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（一）组织形式多样宣传活动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办好节能宣传周、城市节水宣传周、首都全民义务植树日、低碳日、生态日、“六五”环境日、国际生物多样性日等公益活动，</w:t>
      </w:r>
      <w:r>
        <w:rPr>
          <w:rFonts w:ascii="仿宋_GB2312" w:hAnsi="仿宋_GB2312" w:eastAsia="仿宋_GB2312" w:cs="仿宋_GB2312"/>
          <w:bCs/>
          <w:sz w:val="32"/>
          <w:szCs w:val="32"/>
          <w:lang w:val="zh-CN"/>
        </w:rPr>
        <w:t>积极动员社会参与</w:t>
      </w:r>
      <w:r>
        <w:rPr>
          <w:rFonts w:hint="eastAsia" w:ascii="仿宋_GB2312" w:hAnsi="仿宋_GB2312" w:eastAsia="仿宋_GB2312" w:cs="仿宋_GB2312"/>
          <w:bCs/>
          <w:sz w:val="32"/>
          <w:szCs w:val="32"/>
          <w:lang w:val="zh-CN"/>
        </w:rPr>
        <w:t>。强化企业环境主体责任意识，组织推广高效低碳绿色产品、低碳技术的宣传活动，利用碳普惠等形式，引导市民逐步形成绿色低碳的生活方式和消费理念，培养绿色消费习惯。加强农村生态科普知识宣传力度，提高村民爱绿、护绿的生态环境保护意识。举办各类文化活动，宣传节能节水、减污降碳、生物多样性保护等生态文明建设理念，扩大生态文化宣传覆盖面。</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（二）组织丰富多样教育活动</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发挥新闻舆论在传播社会主义核心价值观的主渠道作用，推进区属主流媒体传播平台建设，完善弘扬生态文明价值的现代传播教育体系。依托传播平台，</w:t>
      </w:r>
      <w:r>
        <w:rPr>
          <w:rFonts w:ascii="仿宋_GB2312" w:hAnsi="仿宋_GB2312" w:eastAsia="仿宋_GB2312" w:cs="仿宋_GB2312"/>
          <w:bCs/>
          <w:sz w:val="32"/>
          <w:szCs w:val="32"/>
          <w:lang w:val="zh-CN"/>
        </w:rPr>
        <w:t>广泛开展</w:t>
      </w:r>
      <w:r>
        <w:rPr>
          <w:rFonts w:hint="eastAsia" w:ascii="仿宋_GB2312" w:hAnsi="仿宋_GB2312" w:eastAsia="仿宋_GB2312" w:cs="仿宋_GB2312"/>
          <w:bCs/>
          <w:sz w:val="32"/>
          <w:szCs w:val="32"/>
          <w:lang w:val="zh-CN"/>
        </w:rPr>
        <w:t>生态文明宣传教育活动和群众性主题活动。依托自然生态资源和文化资源，组织开展形式多样、丰富生动的生态体验教育活动。推动环保设施向公众开放，组织社会公众走进环保设施开放单位。</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（三）倡导各类绿色生活实践</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持续推进环境保护宣传教育进社区（村）、进学校、进家庭、进企业、进机关。推进垃圾分类工作有序开展，引导居民自主源头分类，提升公众环保意识到环保行为的转化率。</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大绿色消费宣传，开展内容广泛、形式多样、生动活泼的节能、节水宣传教育活动。扩大居民家庭“节水改造”规模。在机关、学校、医院、宾馆、商场等公共场所开展节水宣传活动，鼓励单位和家庭购买使用节能节水家电器具。继续推广高效节能电机、节能环保汽车、高效照明产品等节能产品。</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大绿色出行宣传力度，充分利用电视、网络、广播、报纸等多种渠道，开展绿色出行、文明出行和安全出行宣传教育活动，提高居民对绿色出行理念的认识水平，在社会各界达成选择公共交通、自行车和步行等绿色方式出行的共识。坚持公共交通优先，促进地面公交与轨道交通协调发展，</w:t>
      </w:r>
      <w:r>
        <w:rPr>
          <w:rFonts w:ascii="仿宋_GB2312" w:hAnsi="仿宋_GB2312" w:eastAsia="仿宋_GB2312" w:cs="仿宋_GB2312"/>
          <w:bCs/>
          <w:sz w:val="32"/>
          <w:szCs w:val="32"/>
          <w:lang w:val="zh-CN"/>
        </w:rPr>
        <w:t>推进潮白河、温榆河、浅山生态带地区滨河、沿山慢行绿道建设</w:t>
      </w:r>
      <w:r>
        <w:rPr>
          <w:rFonts w:hint="eastAsia" w:ascii="仿宋_GB2312" w:hAnsi="仿宋_GB2312" w:eastAsia="仿宋_GB2312" w:cs="仿宋_GB2312"/>
          <w:bCs/>
          <w:sz w:val="32"/>
          <w:szCs w:val="32"/>
          <w:lang w:val="zh-CN"/>
        </w:rPr>
        <w:t>，构建分类、连续的步行和自行车网络系统，营造更为安全、舒适、宜人的绿色出行环境。</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推进绿色建筑发展。新建民用建筑全面</w:t>
      </w:r>
      <w:r>
        <w:rPr>
          <w:rFonts w:ascii="仿宋_GB2312" w:hAnsi="仿宋_GB2312" w:eastAsia="仿宋_GB2312" w:cs="仿宋_GB2312"/>
          <w:bCs/>
          <w:sz w:val="32"/>
          <w:szCs w:val="32"/>
          <w:lang w:val="zh-CN"/>
        </w:rPr>
        <w:t>落实强制性绿色建筑标准。优先发展地</w:t>
      </w:r>
      <w:r>
        <w:rPr>
          <w:rFonts w:hint="eastAsia" w:ascii="仿宋_GB2312" w:hAnsi="仿宋_GB2312" w:eastAsia="仿宋_GB2312" w:cs="仿宋_GB2312"/>
          <w:bCs/>
          <w:sz w:val="32"/>
          <w:szCs w:val="32"/>
          <w:lang w:val="zh-CN"/>
        </w:rPr>
        <w:t>埋管地源热泵系统等可再生能源供热方式。全面推行供热计量收费，同步推进农村住房墙体节能改造。全面推广建筑分布式光伏发电。加强公共建筑节能管理，推广绿色建筑材料使用，发展绿色建筑，逐步开展综合能耗限额管理。实施办公楼空调系统、照明、数据中心节能改造，做好节约型公共机构示范单位及能效领跑者创建工作。实施公共机构能耗定额标准，推行公共机构合同能源管理。</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加强政府绿色采购</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以国家发展改革委和财政部颁布的《节能产品政府采购实施意见》、《环境标志产品政府采购实施意见》以及北京市发布的绿色采购要求为准则，结合顺义区实际情况，全面落实绿色产品采购政策。</w:t>
      </w:r>
      <w:r>
        <w:rPr>
          <w:rFonts w:hint="eastAsia" w:ascii="仿宋_GB2312" w:hAnsi="仿宋_GB2312" w:eastAsia="仿宋_GB2312" w:cs="仿宋_GB2312"/>
          <w:bCs/>
          <w:sz w:val="32"/>
          <w:szCs w:val="32"/>
          <w:lang w:val="zh-CN"/>
        </w:rPr>
        <w:t>积极推行绿色办公，提高办公设备和资产使用效率，鼓励纸张双面打印，积极推行无纸化办公。</w:t>
      </w:r>
    </w:p>
    <w:p>
      <w:pPr>
        <w:pStyle w:val="3"/>
        <w:numPr>
          <w:ilvl w:val="0"/>
          <w:numId w:val="6"/>
        </w:numPr>
        <w:spacing w:before="0" w:after="0" w:line="560" w:lineRule="exact"/>
        <w:ind w:left="0" w:firstLine="640" w:firstLineChars="200"/>
        <w:jc w:val="left"/>
        <w:rPr>
          <w:rFonts w:ascii="黑体" w:hAnsi="黑体" w:eastAsia="黑体" w:cs="黑体"/>
          <w:b w:val="0"/>
          <w:bCs/>
          <w:sz w:val="32"/>
          <w:szCs w:val="32"/>
          <w:lang w:val="zh-CN"/>
        </w:rPr>
      </w:pPr>
      <w:bookmarkStart w:id="154" w:name="_Toc24986_WPSOffice_Level2"/>
      <w:r>
        <w:rPr>
          <w:rFonts w:hint="eastAsia" w:ascii="黑体" w:hAnsi="黑体" w:eastAsia="黑体" w:cs="黑体"/>
          <w:b w:val="0"/>
          <w:bCs/>
          <w:sz w:val="32"/>
          <w:szCs w:val="32"/>
          <w:lang w:val="zh-CN"/>
        </w:rPr>
        <w:t>引导全民共建生态文明</w:t>
      </w:r>
      <w:bookmarkEnd w:id="154"/>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ascii="楷体_GB2312" w:hAnsi="楷体_GB2312" w:eastAsia="楷体_GB2312" w:cs="楷体_GB2312"/>
          <w:b w:val="0"/>
          <w:bCs w:val="0"/>
          <w:sz w:val="32"/>
          <w:szCs w:val="32"/>
          <w:lang w:eastAsia="zh-CN"/>
        </w:rPr>
        <w:t>开展绿色生活创建行动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推进节约型机关、绿色家庭、绿色学校、绿色社区、绿色出行等创建行动，践行绿色生活方式，推广简约适度、绿色低碳、文明健康的生活理念和生活方式。创建一批文明村镇、文明单位、文明校园、文明家庭。</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（二）发挥社会组织引导作用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发挥各类社会团体作用，依托工会、共青团、妇联等群团组织积极作用，动员广大职工、青年、妇女积极参与到生态文明建设中。发挥行业协会、商会桥梁纽带作用，畅通不同利益群体与相关责任主体的沟通渠道。加强对环保社会组织的管理和指导，扩大环保志愿者队伍，支持鼓励环保志愿者开展各类环保活动。</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（三）提升</w:t>
      </w:r>
      <w:r>
        <w:rPr>
          <w:rFonts w:ascii="楷体_GB2312" w:hAnsi="楷体_GB2312" w:eastAsia="楷体_GB2312" w:cs="楷体_GB2312"/>
          <w:b w:val="0"/>
          <w:bCs w:val="0"/>
          <w:sz w:val="32"/>
          <w:szCs w:val="32"/>
          <w:lang w:eastAsia="zh-CN"/>
        </w:rPr>
        <w:t>全民</w:t>
      </w:r>
      <w:r>
        <w:rPr>
          <w:rFonts w:hint="eastAsia" w:ascii="楷体_GB2312" w:hAnsi="楷体_GB2312" w:eastAsia="楷体_GB2312" w:cs="楷体_GB2312"/>
          <w:b w:val="0"/>
          <w:bCs w:val="0"/>
          <w:sz w:val="32"/>
          <w:szCs w:val="32"/>
          <w:lang w:eastAsia="zh-CN"/>
        </w:rPr>
        <w:t>广泛</w:t>
      </w:r>
      <w:r>
        <w:rPr>
          <w:rFonts w:ascii="楷体_GB2312" w:hAnsi="楷体_GB2312" w:eastAsia="楷体_GB2312" w:cs="楷体_GB2312"/>
          <w:b w:val="0"/>
          <w:bCs w:val="0"/>
          <w:sz w:val="32"/>
          <w:szCs w:val="32"/>
          <w:lang w:eastAsia="zh-CN"/>
        </w:rPr>
        <w:t>参与</w:t>
      </w:r>
      <w:r>
        <w:rPr>
          <w:rFonts w:hint="eastAsia" w:ascii="楷体_GB2312" w:hAnsi="楷体_GB2312" w:eastAsia="楷体_GB2312" w:cs="楷体_GB2312"/>
          <w:b w:val="0"/>
          <w:bCs w:val="0"/>
          <w:sz w:val="32"/>
          <w:szCs w:val="32"/>
          <w:lang w:eastAsia="zh-CN"/>
        </w:rPr>
        <w:t>意识</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贯彻落实《北京市“美丽中国，我是行动者”提升公民生态文明意识行动计划（</w:t>
      </w:r>
      <w:r>
        <w:rPr>
          <w:rFonts w:ascii="仿宋_GB2312" w:hAnsi="仿宋_GB2312" w:eastAsia="仿宋_GB2312" w:cs="仿宋_GB2312"/>
          <w:bCs/>
          <w:sz w:val="32"/>
          <w:szCs w:val="32"/>
          <w:lang w:val="zh-CN"/>
        </w:rPr>
        <w:t>2021-2025）实施方案》</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广泛传播生态价值理念，积极宣传习近平生态文明思想</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加大环境教育基地、城市基础环保处理设施向公众开放力度，创作贴近群众、贴近实际、贴近生活的生态文明产品。</w:t>
      </w:r>
      <w:r>
        <w:rPr>
          <w:rFonts w:hint="eastAsia" w:ascii="仿宋_GB2312" w:hAnsi="仿宋_GB2312" w:eastAsia="仿宋_GB2312" w:cs="仿宋_GB2312"/>
          <w:bCs/>
          <w:sz w:val="32"/>
          <w:szCs w:val="32"/>
          <w:lang w:val="zh-CN"/>
        </w:rPr>
        <w:t>组建</w:t>
      </w:r>
      <w:r>
        <w:rPr>
          <w:rFonts w:ascii="仿宋_GB2312" w:hAnsi="仿宋_GB2312" w:eastAsia="仿宋_GB2312" w:cs="仿宋_GB2312"/>
          <w:bCs/>
          <w:sz w:val="32"/>
          <w:szCs w:val="32"/>
          <w:lang w:val="zh-CN"/>
        </w:rPr>
        <w:t>生态环境志愿服务队伍，定期开展志愿服务；组织、鼓励</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支持大中小学生参与课外生态环境保护实践活</w:t>
      </w:r>
      <w:r>
        <w:rPr>
          <w:rFonts w:hint="eastAsia" w:ascii="仿宋_GB2312" w:hAnsi="仿宋_GB2312" w:eastAsia="仿宋_GB2312" w:cs="仿宋_GB2312"/>
          <w:bCs/>
          <w:sz w:val="32"/>
          <w:szCs w:val="32"/>
          <w:lang w:val="zh-CN"/>
        </w:rPr>
        <w:t>动</w:t>
      </w:r>
      <w:bookmarkEnd w:id="152"/>
      <w:r>
        <w:rPr>
          <w:rFonts w:hint="eastAsia" w:ascii="仿宋_GB2312" w:hAnsi="仿宋_GB2312" w:eastAsia="仿宋_GB2312" w:cs="仿宋_GB2312"/>
          <w:bCs/>
          <w:sz w:val="32"/>
          <w:szCs w:val="32"/>
          <w:lang w:val="zh-CN"/>
        </w:rPr>
        <w:t>。</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jc w:val="center"/>
              <w:rPr>
                <w:rFonts w:ascii="仿宋" w:hAnsi="仿宋" w:eastAsia="仿宋" w:cs="Times New Roman"/>
                <w:b/>
                <w:bCs/>
                <w:sz w:val="28"/>
                <w:szCs w:val="28"/>
              </w:rPr>
            </w:pPr>
            <w:r>
              <w:rPr>
                <w:rFonts w:hint="eastAsia" w:ascii="仿宋" w:hAnsi="仿宋" w:eastAsia="仿宋" w:cs="Times New Roman"/>
                <w:b/>
                <w:bCs/>
                <w:sz w:val="28"/>
                <w:szCs w:val="28"/>
              </w:rPr>
              <w:t>生态文化领域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发力点：</w:t>
            </w:r>
            <w:r>
              <w:rPr>
                <w:rFonts w:hint="eastAsia" w:ascii="仿宋" w:hAnsi="仿宋" w:eastAsia="仿宋" w:cs="Times New Roman"/>
                <w:sz w:val="28"/>
                <w:szCs w:val="28"/>
              </w:rPr>
              <w:t>加强大运河（潮白河）文化保护传承和发挥北京天竺综合保税区功能和政策优势统筹对外文化交流与文化贸易，挖掘潮白河历史文化资源、建设公共文化服务示范区、打造高品质文旅品牌活动、推进高水平文化贸易发展，统筹历史文化、公共文化和生态文化，在传承历史文化的基础上推进生态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强化措施：</w:t>
            </w:r>
            <w:r>
              <w:rPr>
                <w:rFonts w:hint="eastAsia" w:ascii="仿宋" w:hAnsi="仿宋" w:eastAsia="仿宋" w:cs="Times New Roman"/>
                <w:sz w:val="28"/>
                <w:szCs w:val="28"/>
              </w:rPr>
              <w:t>在传承历史文化的基础上统筹推进历史文化、公共文化和生态文化，挖掘潮白河历史文化资源、推进建设公共文化服务示范区、打造高品质文旅品牌活动、推进高水平文化贸易发展，推进历史文化、公共文化、生态文化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b/>
                <w:bCs/>
                <w:sz w:val="28"/>
                <w:szCs w:val="28"/>
              </w:rPr>
            </w:pPr>
            <w:r>
              <w:rPr>
                <w:rFonts w:hint="eastAsia" w:ascii="仿宋" w:hAnsi="仿宋" w:eastAsia="仿宋" w:cs="Times New Roman"/>
                <w:b/>
                <w:bCs/>
                <w:sz w:val="28"/>
                <w:szCs w:val="28"/>
              </w:rPr>
              <w:t>重点任务：</w:t>
            </w:r>
          </w:p>
          <w:p>
            <w:pPr>
              <w:spacing w:after="114"/>
              <w:rPr>
                <w:rFonts w:ascii="仿宋" w:hAnsi="仿宋" w:eastAsia="仿宋" w:cs="Times New Roman"/>
                <w:sz w:val="28"/>
                <w:szCs w:val="28"/>
              </w:rPr>
            </w:pPr>
            <w:r>
              <w:rPr>
                <w:rFonts w:hint="eastAsia" w:ascii="仿宋" w:hAnsi="仿宋" w:eastAsia="仿宋" w:cs="Times New Roman"/>
                <w:sz w:val="28"/>
                <w:szCs w:val="28"/>
              </w:rPr>
              <w:t>（1）推进大运河文化带（潮白河文化带）建设</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深挖大运河文化内涵，实施大运河（潮白河）文化保护传承利用规划，整理“碎片化”资料逐步还原潮白河文化风貌，发展顺义区蓝绿交织的生态文化、厚重自强的农耕文化、多元交融的古道古城文化、传承创新的民俗文化和京味浓郁的酒文化，以“潮白河”为主题深耕细作原创文艺精品。</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）推进区级综合文化中心规划建设</w:t>
            </w:r>
          </w:p>
          <w:p>
            <w:pPr>
              <w:spacing w:after="114"/>
              <w:ind w:firstLine="600" w:firstLineChars="200"/>
              <w:rPr>
                <w:rFonts w:ascii="仿宋" w:hAnsi="仿宋" w:eastAsia="仿宋" w:cs="仿宋_GB2312"/>
                <w:bCs/>
                <w:sz w:val="30"/>
                <w:szCs w:val="30"/>
                <w:lang w:val="zh-CN"/>
              </w:rPr>
            </w:pPr>
            <w:r>
              <w:rPr>
                <w:rFonts w:hint="eastAsia" w:ascii="仿宋" w:hAnsi="仿宋" w:eastAsia="仿宋" w:cs="仿宋_GB2312"/>
                <w:bCs/>
                <w:sz w:val="30"/>
                <w:szCs w:val="30"/>
                <w:lang w:val="zh-CN"/>
              </w:rPr>
              <w:t>依托</w:t>
            </w:r>
            <w:r>
              <w:rPr>
                <w:rFonts w:hint="eastAsia" w:ascii="仿宋" w:hAnsi="仿宋" w:eastAsia="仿宋" w:cs="Times New Roman"/>
                <w:sz w:val="28"/>
                <w:szCs w:val="28"/>
              </w:rPr>
              <w:t>公共文化服务示范区建设，加快马坡、后沙峪等区级综合文化中心规划建设，合理延长公共文化设施开放时间，深化全民阅读活动，支持实体书店多业态发展，不断丰富群众精神文化生活。</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）着力塑造区域文旅品牌</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实施《顺义区促进文化和旅游业发展扶持办法》政策，支持文旅商品研发，加强“顺意好礼”</w:t>
            </w:r>
            <w:r>
              <w:rPr>
                <w:rFonts w:ascii="仿宋" w:hAnsi="仿宋" w:eastAsia="仿宋" w:cs="Times New Roman"/>
                <w:sz w:val="28"/>
                <w:szCs w:val="28"/>
              </w:rPr>
              <w:t>IP品牌建设</w:t>
            </w:r>
            <w:r>
              <w:rPr>
                <w:rFonts w:hint="eastAsia" w:ascii="仿宋" w:hAnsi="仿宋" w:eastAsia="仿宋" w:cs="Times New Roman"/>
                <w:sz w:val="28"/>
                <w:szCs w:val="28"/>
              </w:rPr>
              <w:t>，深挖“张堪文化”等历史事迹和农耕文化内涵，塑造区域文化品牌强</w:t>
            </w:r>
            <w:r>
              <w:rPr>
                <w:rFonts w:ascii="仿宋" w:hAnsi="仿宋" w:eastAsia="仿宋" w:cs="Times New Roman"/>
                <w:sz w:val="28"/>
                <w:szCs w:val="28"/>
              </w:rPr>
              <w:t>IP</w:t>
            </w:r>
            <w:r>
              <w:rPr>
                <w:rFonts w:hint="eastAsia" w:ascii="仿宋" w:hAnsi="仿宋" w:eastAsia="仿宋" w:cs="Times New Roman"/>
                <w:sz w:val="28"/>
                <w:szCs w:val="28"/>
              </w:rPr>
              <w:t>，持续举办舞彩浅山旅游登山文化节、樱桃采摘旅游文化节等品牌节庆活动。</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）推进高水平文化贸易发展</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依托国家对外文化贸易基地建设，围绕文化旅游、科技、知识产权等领域梳理形成《北京市顺义区支持国家对外文化贸易基地（北京）若干政策措施》，全面支持文化贸易类企业发展。</w:t>
            </w:r>
          </w:p>
          <w:p>
            <w:pPr>
              <w:spacing w:after="114"/>
              <w:rPr>
                <w:rFonts w:ascii="仿宋" w:hAnsi="仿宋" w:eastAsia="仿宋" w:cs="仿宋_GB2312"/>
                <w:bCs/>
                <w:sz w:val="30"/>
                <w:szCs w:val="30"/>
                <w:lang w:val="zh-CN"/>
              </w:rPr>
            </w:pPr>
            <w:r>
              <w:rPr>
                <w:rFonts w:hint="eastAsia" w:ascii="仿宋" w:hAnsi="仿宋" w:eastAsia="仿宋" w:cs="仿宋_GB2312"/>
                <w:bCs/>
                <w:sz w:val="28"/>
                <w:szCs w:val="28"/>
                <w:lang w:val="zh-CN"/>
              </w:rPr>
              <w:t>（5）加强慢行设施建设助力绿色出行</w:t>
            </w:r>
          </w:p>
          <w:p>
            <w:pPr>
              <w:spacing w:after="114"/>
              <w:ind w:firstLine="560" w:firstLineChars="200"/>
              <w:rPr>
                <w:rFonts w:ascii="仿宋" w:hAnsi="仿宋" w:eastAsia="仿宋" w:cs="Times New Roman"/>
                <w:sz w:val="28"/>
                <w:szCs w:val="28"/>
              </w:rPr>
            </w:pPr>
            <w:r>
              <w:rPr>
                <w:rFonts w:ascii="仿宋" w:hAnsi="仿宋" w:eastAsia="仿宋" w:cs="仿宋_GB2312"/>
                <w:bCs/>
                <w:sz w:val="28"/>
                <w:szCs w:val="28"/>
                <w:lang w:val="zh-CN"/>
              </w:rPr>
              <w:t>建设顺于路、通顺路自行车廊道，</w:t>
            </w:r>
            <w:r>
              <w:rPr>
                <w:rFonts w:hint="eastAsia" w:ascii="仿宋" w:hAnsi="仿宋" w:eastAsia="仿宋" w:cs="仿宋_GB2312"/>
                <w:bCs/>
                <w:sz w:val="28"/>
                <w:szCs w:val="28"/>
                <w:lang w:val="zh-CN"/>
              </w:rPr>
              <w:t>优化公共交通与步行和自行车进行接驳换乘的设施条件，</w:t>
            </w:r>
            <w:r>
              <w:rPr>
                <w:rFonts w:ascii="仿宋" w:hAnsi="仿宋" w:eastAsia="仿宋" w:cs="仿宋_GB2312"/>
                <w:bCs/>
                <w:sz w:val="28"/>
                <w:szCs w:val="28"/>
                <w:lang w:val="zh-CN"/>
              </w:rPr>
              <w:t>完善城市轨道交通站点沿线慢行交通网络，加速</w:t>
            </w:r>
            <w:r>
              <w:rPr>
                <w:rFonts w:hint="eastAsia" w:ascii="仿宋" w:hAnsi="仿宋" w:eastAsia="仿宋" w:cs="仿宋_GB2312"/>
                <w:bCs/>
                <w:sz w:val="28"/>
                <w:szCs w:val="28"/>
                <w:lang w:val="zh-CN"/>
              </w:rPr>
              <w:t>城市</w:t>
            </w:r>
            <w:r>
              <w:rPr>
                <w:rFonts w:ascii="仿宋" w:hAnsi="仿宋" w:eastAsia="仿宋" w:cs="仿宋_GB2312"/>
                <w:bCs/>
                <w:sz w:val="28"/>
                <w:szCs w:val="28"/>
                <w:lang w:val="zh-CN"/>
              </w:rPr>
              <w:t>慢行交通系统连片、成网。</w:t>
            </w:r>
          </w:p>
        </w:tc>
      </w:tr>
    </w:tbl>
    <w:p>
      <w:pPr>
        <w:adjustRightInd w:val="0"/>
        <w:snapToGrid w:val="0"/>
        <w:spacing w:line="540" w:lineRule="exact"/>
        <w:contextualSpacing/>
        <w:rPr>
          <w:rFonts w:ascii="仿宋" w:hAnsi="仿宋" w:eastAsia="仿宋" w:cs="仿宋_GB2312"/>
          <w:bCs/>
          <w:sz w:val="30"/>
          <w:szCs w:val="30"/>
          <w:lang w:val="zh-CN"/>
        </w:rPr>
      </w:pPr>
    </w:p>
    <w:p>
      <w:pPr>
        <w:rPr>
          <w:rFonts w:ascii="仿宋" w:hAnsi="仿宋" w:eastAsia="仿宋"/>
        </w:rPr>
        <w:sectPr>
          <w:pgSz w:w="11906" w:h="16838"/>
          <w:pgMar w:top="1440" w:right="1800" w:bottom="1440" w:left="1800" w:header="851" w:footer="992" w:gutter="0"/>
          <w:cols w:space="425" w:num="1"/>
          <w:docGrid w:type="lines" w:linePitch="381" w:charSpace="0"/>
        </w:sectPr>
      </w:pPr>
    </w:p>
    <w:p>
      <w:pPr>
        <w:pStyle w:val="2"/>
        <w:rPr>
          <w:rFonts w:hint="eastAsia" w:ascii="方正小标宋简体" w:hAnsi="方正小标宋简体" w:cs="方正小标宋简体"/>
          <w:b w:val="0"/>
          <w:bCs w:val="0"/>
          <w:sz w:val="44"/>
          <w:szCs w:val="52"/>
        </w:rPr>
      </w:pPr>
      <w:bookmarkStart w:id="155" w:name="_Toc4953_WPSOffice_Level1"/>
      <w:r>
        <w:rPr>
          <w:rFonts w:hint="eastAsia" w:ascii="方正小标宋简体" w:hAnsi="方正小标宋简体" w:cs="方正小标宋简体"/>
          <w:b w:val="0"/>
          <w:bCs w:val="0"/>
          <w:sz w:val="44"/>
          <w:szCs w:val="52"/>
        </w:rPr>
        <w:t>第七章 建设生态文明制度体系现代化引领区</w:t>
      </w:r>
      <w:bookmarkEnd w:id="155"/>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深入贯彻落实《关于构建现代环境治理体系的指导意见》《关于深化生态保护补偿制度改革的意见》《关于加强生态环境分区管控的意见》等国家和北京市生态文明制度体系建设有关政策要求，坚持和完善顺义区生态文明制度体系，筑牢夯实制度根基，立足顺义区资源环境禀赋探索生态文明体制机制创新，实行最严格的生态环境保护制度，完善水生态环境区域补偿机制，推进生态环境分区管控成果落地生效，探索生态系统调节服务价值（</w:t>
      </w:r>
      <w:r>
        <w:rPr>
          <w:rFonts w:ascii="仿宋_GB2312" w:hAnsi="仿宋_GB2312" w:eastAsia="仿宋_GB2312" w:cs="仿宋_GB2312"/>
          <w:bCs/>
          <w:sz w:val="32"/>
          <w:szCs w:val="32"/>
          <w:lang w:val="zh-CN"/>
        </w:rPr>
        <w:t>GEP-R）核算</w:t>
      </w:r>
      <w:r>
        <w:rPr>
          <w:rFonts w:hint="eastAsia" w:ascii="仿宋_GB2312" w:hAnsi="仿宋_GB2312" w:eastAsia="仿宋_GB2312" w:cs="仿宋_GB2312"/>
          <w:bCs/>
          <w:sz w:val="32"/>
          <w:szCs w:val="32"/>
          <w:lang w:val="zh-CN"/>
        </w:rPr>
        <w:t>，建设生态文明制度体系现代化引领区</w:t>
      </w:r>
      <w:r>
        <w:rPr>
          <w:rFonts w:ascii="仿宋_GB2312" w:hAnsi="仿宋_GB2312" w:eastAsia="仿宋_GB2312" w:cs="仿宋_GB2312"/>
          <w:bCs/>
          <w:sz w:val="32"/>
          <w:szCs w:val="32"/>
          <w:lang w:val="zh-CN"/>
        </w:rPr>
        <w:t>。</w:t>
      </w:r>
    </w:p>
    <w:p>
      <w:pPr>
        <w:pStyle w:val="3"/>
        <w:numPr>
          <w:ilvl w:val="0"/>
          <w:numId w:val="7"/>
        </w:numPr>
        <w:spacing w:before="0" w:after="0" w:line="560" w:lineRule="exact"/>
        <w:ind w:left="440" w:firstLine="640" w:firstLineChars="200"/>
        <w:jc w:val="left"/>
        <w:rPr>
          <w:rFonts w:ascii="黑体" w:hAnsi="黑体" w:eastAsia="黑体" w:cs="黑体"/>
          <w:b w:val="0"/>
          <w:bCs/>
          <w:sz w:val="32"/>
          <w:szCs w:val="32"/>
          <w:lang w:val="zh-CN"/>
        </w:rPr>
      </w:pPr>
      <w:bookmarkStart w:id="156" w:name="_Toc10188_WPSOffice_Level2"/>
      <w:r>
        <w:rPr>
          <w:rFonts w:hint="eastAsia" w:ascii="黑体" w:hAnsi="黑体" w:eastAsia="黑体" w:cs="黑体"/>
          <w:b w:val="0"/>
          <w:bCs/>
          <w:sz w:val="32"/>
          <w:szCs w:val="32"/>
          <w:lang w:val="zh-CN"/>
        </w:rPr>
        <w:t>健全现代环境治理体系</w:t>
      </w:r>
      <w:bookmarkEnd w:id="156"/>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（一）深化生态保护补偿制度改革</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进一步推进顺义区生态保护补偿制度建设。严格落实国家和北京市关于深化生态保护补偿制度改革的重要精神及政策文件，健全以生态环境要素为实施对象的分类补偿制度，围绕生态文明建设总体目标，采取财政转移支付或市场交易等方式，对生态保护者因履行生态保护责任所增加的支出和付出的成本，予以适当补偿的激励性制度安排，发挥生态保护补偿的政策导向作用，加快生态文明体系建设。</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完善水生态环境区域补偿机制。制定实施顺义区水生态区域补偿办法，保障生态水流、增加流动性，加大对劣</w:t>
      </w:r>
      <w:r>
        <w:rPr>
          <w:rFonts w:ascii="仿宋_GB2312" w:hAnsi="仿宋_GB2312" w:eastAsia="仿宋_GB2312" w:cs="仿宋_GB2312"/>
          <w:bCs/>
          <w:sz w:val="32"/>
          <w:szCs w:val="32"/>
          <w:lang w:val="zh-CN"/>
        </w:rPr>
        <w:t>V类水体扣缴力度，建立双向补偿机制，促进生境生物多样性，以经济政策推动实现水流流动、水环境洁净、水生态健康</w:t>
      </w:r>
      <w:r>
        <w:rPr>
          <w:rFonts w:hint="eastAsia" w:ascii="仿宋_GB2312" w:hAnsi="仿宋_GB2312" w:eastAsia="仿宋_GB2312" w:cs="仿宋_GB2312"/>
          <w:bCs/>
          <w:sz w:val="32"/>
          <w:szCs w:val="32"/>
          <w:lang w:val="zh-CN"/>
        </w:rPr>
        <w:t>。</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ascii="楷体_GB2312" w:hAnsi="楷体_GB2312" w:eastAsia="楷体_GB2312" w:cs="楷体_GB2312"/>
          <w:b w:val="0"/>
          <w:bCs w:val="0"/>
          <w:sz w:val="32"/>
          <w:lang w:eastAsia="zh-CN"/>
        </w:rPr>
        <w:t>健全</w:t>
      </w:r>
      <w:r>
        <w:rPr>
          <w:rFonts w:hint="eastAsia" w:ascii="楷体_GB2312" w:hAnsi="楷体_GB2312" w:eastAsia="楷体_GB2312" w:cs="楷体_GB2312"/>
          <w:b w:val="0"/>
          <w:bCs w:val="0"/>
          <w:sz w:val="32"/>
          <w:lang w:eastAsia="zh-CN"/>
        </w:rPr>
        <w:t>环境治理企业</w:t>
      </w:r>
      <w:r>
        <w:rPr>
          <w:rFonts w:ascii="楷体_GB2312" w:hAnsi="楷体_GB2312" w:eastAsia="楷体_GB2312" w:cs="楷体_GB2312"/>
          <w:b w:val="0"/>
          <w:bCs w:val="0"/>
          <w:sz w:val="32"/>
          <w:lang w:eastAsia="zh-CN"/>
        </w:rPr>
        <w:t>责任体系</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依法实行排污许可管理制度，加强依法持证排污、按证排污管理，按照国家和市级要求完成排污许可证的核发、登记工作。做好环评、总量、统计、执法等相关制度与排污许可制度的联动，充分发挥环境影响评价源头预防作用。进一步完善排污许可证后监管制度，对顺义区已发排污许可证的企业开展证后监管和登记管理企业抽查工作，严查企业无证和不按证排污等违法行为。</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完善服务机制，引导企业退出污染产能、转型升级、节能减排</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落实绿色生产的制度和政策导向，</w:t>
      </w:r>
      <w:r>
        <w:rPr>
          <w:rFonts w:hint="eastAsia" w:ascii="仿宋_GB2312" w:hAnsi="仿宋_GB2312" w:eastAsia="仿宋_GB2312" w:cs="仿宋_GB2312"/>
          <w:bCs/>
          <w:sz w:val="32"/>
          <w:szCs w:val="32"/>
          <w:lang w:val="zh-CN"/>
        </w:rPr>
        <w:t>并</w:t>
      </w:r>
      <w:r>
        <w:rPr>
          <w:rFonts w:ascii="仿宋_GB2312" w:hAnsi="仿宋_GB2312" w:eastAsia="仿宋_GB2312" w:cs="仿宋_GB2312"/>
          <w:bCs/>
          <w:sz w:val="32"/>
          <w:szCs w:val="32"/>
          <w:lang w:val="zh-CN"/>
        </w:rPr>
        <w:t>督促国有企业带头落实，引导民营企业等其他主体参与，推动“高精尖”产业发展，推动新能源和可再生能源规模化利用。</w:t>
      </w:r>
      <w:r>
        <w:rPr>
          <w:rFonts w:hint="eastAsia" w:ascii="仿宋_GB2312" w:hAnsi="仿宋_GB2312" w:eastAsia="仿宋_GB2312" w:cs="仿宋_GB2312"/>
          <w:bCs/>
          <w:sz w:val="32"/>
          <w:szCs w:val="32"/>
          <w:lang w:val="zh-CN"/>
        </w:rPr>
        <w:t>严格监督企业落实污染治理责任，提高治污减排水平。重点排污企业要安装使用监测设备并确保正常运行，坚决杜绝治理效果和监测数据造假。规范引导重点排污单位通过企业网站等途径公开环境治理信息，鼓励排污单位通过设立企业开放日、建设教育体验场所等形式，向社会公众开放。</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（三）健全环境治理全民行动体系</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深化“接诉即办”机制，开展社会多元化监督。坚持民有所呼、我有所应，完善公众监督和举报反馈机制，畅通环保监督渠道。针对市民诉求强烈的餐饮油烟、噪声、异味等污染源加大执法处罚力度，努力降低投诉率，提高解决率和满意率，进一步向“未诉先办”延伸。充分发挥新闻媒体的舆论监督作用，及时准确报道环境治理进展、曝光环境违法行为和生态环境破坏问题。发挥各类社会团体的作用，依托工会、共青团、妇联等群团组织，调动广大职工、青年、妇女积极参与环境治理，发挥环保志愿者、巾帼志愿队伍作用，加强环境治理的科普教育、社科教育。</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（四）推进环境治理信用体系建设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北京市有关要求，推进区级政府和公职人员的环境治理政务失信记录机制建设，并依法依规逐步公开；推进企业环保信用等级评价制度建设，动态评价重点排污单位的环保信用，依法依规公开，并实施差别化监管。</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（五）推进环境治理市场体系建设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按照市级部门要求，落实告知承诺制审批、环评审批“正面清单”等改革任务</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有效提高项目审批效率，将“事前、事中、事后”监管工作落到实处。</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创新环境治理模式。在餐饮、汽修、工业园区等领域，以第三方机构治理为突破口，将市场机制引入环境污染治理领域，探索实施规划、监测、治理的一体化服务模式，有效提高环境污染治理效率，降低治污成本。</w:t>
      </w:r>
    </w:p>
    <w:p>
      <w:pPr>
        <w:pStyle w:val="3"/>
        <w:numPr>
          <w:ilvl w:val="0"/>
          <w:numId w:val="7"/>
        </w:numPr>
        <w:spacing w:before="0" w:after="0" w:line="560" w:lineRule="exact"/>
        <w:ind w:left="0" w:firstLine="640" w:firstLineChars="200"/>
        <w:jc w:val="left"/>
        <w:rPr>
          <w:rFonts w:ascii="黑体" w:hAnsi="黑体" w:eastAsia="黑体" w:cs="黑体"/>
          <w:b w:val="0"/>
          <w:bCs/>
          <w:sz w:val="32"/>
          <w:szCs w:val="32"/>
          <w:lang w:val="zh-CN"/>
        </w:rPr>
      </w:pPr>
      <w:bookmarkStart w:id="157" w:name="_Toc19315_WPSOffice_Level2"/>
      <w:r>
        <w:rPr>
          <w:rFonts w:hint="eastAsia" w:ascii="黑体" w:hAnsi="黑体" w:eastAsia="黑体" w:cs="黑体"/>
          <w:b w:val="0"/>
          <w:bCs/>
          <w:sz w:val="32"/>
          <w:szCs w:val="32"/>
          <w:lang w:val="zh-CN"/>
        </w:rPr>
        <w:t>深化生态环境监管体系</w:t>
      </w:r>
      <w:bookmarkEnd w:id="157"/>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（一）完善</w:t>
      </w:r>
      <w:bookmarkStart w:id="158" w:name="_Hlk164031345"/>
      <w:r>
        <w:rPr>
          <w:rFonts w:hint="eastAsia" w:ascii="楷体_GB2312" w:hAnsi="楷体_GB2312" w:eastAsia="楷体_GB2312" w:cs="楷体_GB2312"/>
          <w:b w:val="0"/>
          <w:bCs w:val="0"/>
          <w:sz w:val="32"/>
          <w:szCs w:val="32"/>
          <w:lang w:eastAsia="zh-CN"/>
        </w:rPr>
        <w:t>生态环境监测网络</w:t>
      </w:r>
      <w:bookmarkEnd w:id="158"/>
      <w:r>
        <w:rPr>
          <w:rFonts w:hint="eastAsia" w:ascii="楷体_GB2312" w:hAnsi="楷体_GB2312" w:eastAsia="楷体_GB2312" w:cs="楷体_GB2312"/>
          <w:b w:val="0"/>
          <w:bCs w:val="0"/>
          <w:sz w:val="32"/>
          <w:szCs w:val="32"/>
          <w:lang w:eastAsia="zh-CN"/>
        </w:rPr>
        <w:t>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建立生态环境部门统一管理、相关部门共同开展的生态环境监测格局。优化顺义区水、土、大气等生态环境质量监测点位，实现对环境质量、生态状况监测的全覆盖。</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提高生物多样性监测能力；提升大气环境综合监测能力，建立覆盖街道和重点企业的</w:t>
      </w:r>
      <w:r>
        <w:rPr>
          <w:rFonts w:ascii="仿宋_GB2312" w:hAnsi="仿宋_GB2312" w:eastAsia="仿宋_GB2312" w:cs="仿宋_GB2312"/>
          <w:bCs/>
          <w:sz w:val="32"/>
          <w:szCs w:val="32"/>
          <w:lang w:val="zh-CN"/>
        </w:rPr>
        <w:t>VOCs</w:t>
      </w:r>
      <w:r>
        <w:rPr>
          <w:rFonts w:hint="eastAsia" w:ascii="仿宋_GB2312" w:hAnsi="仿宋_GB2312" w:eastAsia="仿宋_GB2312" w:cs="仿宋_GB2312"/>
          <w:bCs/>
          <w:sz w:val="32"/>
          <w:szCs w:val="32"/>
          <w:lang w:val="zh-CN"/>
        </w:rPr>
        <w:t>监测网络，提升温室气体监测能力；健全水环境监测体系，建成覆盖重要河湖、重点考核断面的监测网络；建设涵盖重点污染源、饮用水水源保护区在内的地下水环境质量评价监测体系；优化整合土壤环境监测网络，加强学校、医院等土壤环境敏感区监测；优化辐射、噪声监测网络。开展“点、线、面”结合的移动源污染监测技术体系研究，逐步构建“点面结合、地空一体”的移动源污染立体监测技术体系。</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（二）强化执法司法保障机制建设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生态环境保护督察工作机制，坚持问题导向，抓好督察问题整改。深化生态环境保护综合执法，统一行使生态环境保护和各类污染排放执法职责，深入推进生态环境执法标准化建设，依法查处环境违法行为。推动环保行政执法与刑事司法的高效衔接，强化生态环境领域司法协作，形成打击生态环境资源犯罪的司法合力。</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按照“损者担责”原则，推进落实生态环境损害赔偿制度。巩固区域联合监管、联动执法等机制，着力解决交界处和共同关注的环境违法问题，确保区域内生态环境安全。落实“双随机、一公开”“正面清单”等制度，公平、有效、透明地进行事中事后监管，确保环境执法公平、规范、有效开展。</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（三）落实</w:t>
      </w:r>
      <w:r>
        <w:rPr>
          <w:rFonts w:ascii="楷体_GB2312" w:hAnsi="楷体_GB2312" w:eastAsia="楷体_GB2312" w:cs="楷体_GB2312"/>
          <w:b w:val="0"/>
          <w:bCs w:val="0"/>
          <w:sz w:val="32"/>
          <w:szCs w:val="32"/>
          <w:lang w:eastAsia="zh-CN"/>
        </w:rPr>
        <w:t>生态环境分区管控</w:t>
      </w:r>
      <w:r>
        <w:rPr>
          <w:rFonts w:hint="eastAsia" w:ascii="楷体_GB2312" w:hAnsi="楷体_GB2312" w:eastAsia="楷体_GB2312" w:cs="楷体_GB2312"/>
          <w:b w:val="0"/>
          <w:bCs w:val="0"/>
          <w:sz w:val="32"/>
          <w:szCs w:val="32"/>
          <w:lang w:eastAsia="zh-CN"/>
        </w:rPr>
        <w:t>制度</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进生态环境分区管控（“三线一单”）制度在顺义区的细化落地，构建科学有序的生产、生活、生态空间，建立健全覆盖顺义全区的分区域环境管控体系，配合市级部门调整更新“三线一单”成果，推动“三线一单”成果与生态环境管理深度融合，为规划编制、项目环境准入、执法监管等提供技术支撑和决策支持。</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（四）推进环境综合信息系统建设</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推动包括污染源、环境质量及应急系统综合信息管理在内的环境信息共享平台建设，完善环境监管综合信息系统。充分利用信息共享平台数据，通过先进、科学的分析方法，挖掘各类环境数据潜在价值，构建环境数据间关联分析，提升监测数据综合分析应用能力。</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（五）健全温室气体排放管理制度</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健全重点行业企业温室气体排放基础统计报表制度，完善涵盖能源活动、工业生产过程、农业、土地利用变化和林业、废弃物处理五大领域的温室气体排放基础统计体系，编制排放清单，严格控制碳排放总量和强度，大力推广碳排放强度低、污染物排放少的先进技术和经验，鼓励支持基础较好的行业、企业率先探索开展减污降碳试点示范。鼓励开展碳中和相关技术的研究，围绕节能环保、清洁生产、清洁能源等领域开展绿色低碳技术开发；落实碳排放权交易市场有关要求，组织相关企业开展碳排放报告、核查、履约等工作，做好与国家及北京市碳排放权交易市场对接等工作。</w:t>
      </w:r>
    </w:p>
    <w:p>
      <w:pPr>
        <w:pStyle w:val="3"/>
        <w:numPr>
          <w:ilvl w:val="0"/>
          <w:numId w:val="7"/>
        </w:numPr>
        <w:spacing w:before="0" w:after="0" w:line="560" w:lineRule="exact"/>
        <w:ind w:left="0" w:firstLine="640" w:firstLineChars="200"/>
        <w:jc w:val="left"/>
        <w:rPr>
          <w:rFonts w:ascii="黑体" w:hAnsi="黑体" w:eastAsia="黑体" w:cs="黑体"/>
          <w:b w:val="0"/>
          <w:bCs/>
          <w:sz w:val="32"/>
          <w:szCs w:val="32"/>
          <w:lang w:val="zh-CN"/>
        </w:rPr>
      </w:pPr>
      <w:bookmarkStart w:id="159" w:name="_Toc16760_WPSOffice_Level2"/>
      <w:r>
        <w:rPr>
          <w:rFonts w:hint="eastAsia" w:ascii="黑体" w:hAnsi="黑体" w:eastAsia="黑体" w:cs="黑体"/>
          <w:b w:val="0"/>
          <w:bCs/>
          <w:sz w:val="32"/>
          <w:szCs w:val="32"/>
          <w:lang w:val="zh-CN"/>
        </w:rPr>
        <w:t>推进生态文明机制创新</w:t>
      </w:r>
      <w:bookmarkEnd w:id="159"/>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（一）共建共管潮白河流域治理机制</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探索与密云、通州、朝阳等区共建共管潮白河流域治理机制，推进潮白河、温榆河等跨界河流的联动治理。强化生态保护成效与资金分配挂钩的激励约束机制，推行区域管理和流域管理相结合的属地断面水生态补偿机制，继续落实水环境区域考核办法和水环境镇街跨界断面补偿金核算细则，夯实属地水环境治理责任。</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（二）探索生态产品的价值实现机制</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依托顺义区生态资源禀赋和生态服务功能调节特点，落实《北京市建立健全生态产品价值实现机制的实施方案》，配合市级部门做好顺义区的生态系统调节服务价值（</w:t>
      </w:r>
      <w:r>
        <w:rPr>
          <w:rFonts w:ascii="仿宋_GB2312" w:hAnsi="仿宋_GB2312" w:eastAsia="仿宋_GB2312" w:cs="仿宋_GB2312"/>
          <w:bCs/>
          <w:sz w:val="32"/>
          <w:szCs w:val="32"/>
          <w:lang w:val="zh-CN"/>
        </w:rPr>
        <w:t>GEP-R）核算工作，</w:t>
      </w:r>
      <w:r>
        <w:rPr>
          <w:rFonts w:hint="eastAsia" w:ascii="仿宋_GB2312" w:hAnsi="仿宋_GB2312" w:eastAsia="仿宋_GB2312" w:cs="仿宋_GB2312"/>
          <w:bCs/>
          <w:sz w:val="32"/>
          <w:szCs w:val="32"/>
          <w:lang w:val="zh-CN"/>
        </w:rPr>
        <w:t>开展顺义区</w:t>
      </w:r>
      <w:r>
        <w:rPr>
          <w:rFonts w:ascii="仿宋_GB2312" w:hAnsi="仿宋_GB2312" w:eastAsia="仿宋_GB2312" w:cs="仿宋_GB2312"/>
          <w:bCs/>
          <w:sz w:val="32"/>
          <w:szCs w:val="32"/>
          <w:lang w:val="zh-CN"/>
        </w:rPr>
        <w:t>GEP-R核算结果的应用研究</w:t>
      </w:r>
      <w:r>
        <w:rPr>
          <w:rFonts w:hint="eastAsia" w:ascii="仿宋_GB2312" w:hAnsi="仿宋_GB2312" w:eastAsia="仿宋_GB2312" w:cs="仿宋_GB2312"/>
          <w:bCs/>
          <w:sz w:val="32"/>
          <w:szCs w:val="32"/>
          <w:lang w:val="zh-CN"/>
        </w:rPr>
        <w:t>和考核奖励实践探索，调动街道、镇政府探索生态产品价值实现的主观能动性，积极探索生态产品价值实现路径。</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（三）推进环境科技创新及成果应用</w:t>
      </w:r>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加快推广先进适用的科技成果，在清洁生产、生态环境保护、资源综合利用、生态产业等方面，积极引进和推广应用各类新技术、新工艺、新产品。推进环境科技创新，发展技术先导型、资源节约型、环境保护型的产业和产品，加速科研成果的生产力转化。完善生态环境动态监测网络，实现信息资源共享和监测资料综合集成。</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（四）健全资源节约与高效利用制度</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落实自然资源资产产权与用途管制制度，明晰各类国土空间开发、利用、保护边界，推进顺义区内山、水、林、田等自然生态要素统一确权登记，明确各类自然资源产权主体权利。</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全面贯彻《北京市进一步强化节能实施方案》，切实落实属地责任，严格落实区、重点用能单位能耗“三级双控”目标责任制，细化明确年度节能降耗目标，强化能耗强度约束性指标管理。采取完善能源“双控”激励约束机制、大力开展能源节约和能效提升、实施重点领域节能管理等有力措施，严控化石能源消费总量，确保完成年度节能目标。</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全面贯彻《北京市节水行动实施方案》，落实最严格的水资源管理制度。严格落实用水总量、用水效率和水功能区限制纳污三条红线管控，逐步将三条红线控制指标逐级细化分解至镇（街道）、重要用水对象（用水大户）、主要河流，并进一步细化到村，发挥水资源的约束引导作用。</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贯彻落实国家最严格的土地管理制度和节约集约用地制度要求，完善顺义区土地节约集约利用工作机制。实行产业用地弹性出让制度，探索使用方式更灵活的产业用地配套政策，优化用地兼容性，更好适应产业转型升级需要。盘活用好批而未用的闲置土地，探索存量土地盘活利用收益分配政策和税收政策，激发实施主体再开发的内在动力。</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（五）健全“三长”联巡联动工作机制</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全面落实北京市“</w:t>
      </w:r>
      <w:r>
        <w:rPr>
          <w:rFonts w:ascii="仿宋_GB2312" w:hAnsi="仿宋_GB2312" w:eastAsia="仿宋_GB2312" w:cs="仿宋_GB2312"/>
          <w:bCs/>
          <w:sz w:val="32"/>
          <w:szCs w:val="32"/>
          <w:lang w:val="zh-CN"/>
        </w:rPr>
        <w:t>河长制</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工作</w:t>
      </w:r>
      <w:r>
        <w:rPr>
          <w:rFonts w:hint="eastAsia" w:ascii="仿宋_GB2312" w:hAnsi="仿宋_GB2312" w:eastAsia="仿宋_GB2312" w:cs="仿宋_GB2312"/>
          <w:bCs/>
          <w:sz w:val="32"/>
          <w:szCs w:val="32"/>
          <w:lang w:val="zh-CN"/>
        </w:rPr>
        <w:t>要求</w:t>
      </w:r>
      <w:r>
        <w:rPr>
          <w:rFonts w:ascii="仿宋_GB2312" w:hAnsi="仿宋_GB2312" w:eastAsia="仿宋_GB2312" w:cs="仿宋_GB2312"/>
          <w:bCs/>
          <w:sz w:val="32"/>
          <w:szCs w:val="32"/>
          <w:lang w:val="zh-CN"/>
        </w:rPr>
        <w:t>，健全以“河长制”为统领的涵盖</w:t>
      </w:r>
      <w:r>
        <w:rPr>
          <w:rFonts w:hint="eastAsia" w:ascii="仿宋_GB2312" w:hAnsi="仿宋_GB2312" w:eastAsia="仿宋_GB2312" w:cs="仿宋_GB2312"/>
          <w:bCs/>
          <w:sz w:val="32"/>
          <w:szCs w:val="32"/>
          <w:lang w:val="zh-CN"/>
        </w:rPr>
        <w:t>各类水体的治水管水体系完善联巡联动工作机制，明确各镇街年度河长制治水任务清单。针对河道、小微水体等水域存在的问题，采取对各级河长和相关单位通报、办理河长制问题移交单、针对重点任务督办等方式，深入开展历史遗留涉河建设问题清理整治工作。</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组织落实《顺义区关于全面建立林长制的实施方案》，全面运行区、镇（街道）、村（社区）三级林长制责任体系，设立林长制公示牌，完善督查考核制度。</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组织落实《顺义区全面推行“田长制”实施方案》，有序推进农田优化、保护、建设、利用和管理。构建“区、镇（街）、村”三级责任体系，明确各级田长名单及责任区域。加快建立村级农田管护队伍，明确村级田管员和管护责任区。</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以“一图三落”为基础整合基层力量，健全河长、田长、林长“三长联动，一巡三查”工作机制。明确公示网格员、工作职责、责任区域、管护目标、监督电话等信息，建立“三级”沟通机制和进度周报机制，实现信息共享、业务协同和互联互通。</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jc w:val="center"/>
              <w:rPr>
                <w:rFonts w:ascii="仿宋" w:hAnsi="仿宋" w:eastAsia="仿宋" w:cs="Times New Roman"/>
                <w:b/>
                <w:bCs/>
                <w:sz w:val="28"/>
                <w:szCs w:val="28"/>
              </w:rPr>
            </w:pPr>
            <w:r>
              <w:rPr>
                <w:rFonts w:hint="eastAsia" w:ascii="仿宋" w:hAnsi="仿宋" w:eastAsia="仿宋" w:cs="Times New Roman"/>
                <w:b/>
                <w:bCs/>
                <w:sz w:val="28"/>
                <w:szCs w:val="28"/>
              </w:rPr>
              <w:t>生态文明制度领域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发力点：</w:t>
            </w:r>
            <w:r>
              <w:rPr>
                <w:rFonts w:hint="eastAsia" w:ascii="仿宋" w:hAnsi="仿宋" w:eastAsia="仿宋" w:cs="Times New Roman"/>
                <w:sz w:val="28"/>
                <w:szCs w:val="28"/>
              </w:rPr>
              <w:t>坚持和完善生态文明制度体系，落实国家和北京市生态文明制度体系建设政策要求，筑牢夯实制度根基，立足顺义区资源环境禀赋探索生态文明体制机制创新。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sz w:val="28"/>
                <w:szCs w:val="28"/>
              </w:rPr>
            </w:pPr>
            <w:r>
              <w:rPr>
                <w:rFonts w:hint="eastAsia" w:ascii="仿宋" w:hAnsi="仿宋" w:eastAsia="仿宋" w:cs="Times New Roman"/>
                <w:b/>
                <w:bCs/>
                <w:sz w:val="28"/>
                <w:szCs w:val="28"/>
              </w:rPr>
              <w:t>强化措施：</w:t>
            </w:r>
            <w:r>
              <w:rPr>
                <w:rFonts w:hint="eastAsia" w:ascii="仿宋" w:hAnsi="仿宋" w:eastAsia="仿宋" w:cs="Times New Roman"/>
                <w:sz w:val="28"/>
                <w:szCs w:val="28"/>
              </w:rPr>
              <w:t>实行最严格的生态环境保护制度，完善水生态环境区域补偿机制，推进生态环境分区管控成果落地生效，探索生态系统调节服务价值（GEP</w:t>
            </w:r>
            <w:r>
              <w:rPr>
                <w:rFonts w:ascii="仿宋" w:hAnsi="仿宋" w:eastAsia="仿宋" w:cs="Times New Roman"/>
                <w:sz w:val="28"/>
                <w:szCs w:val="28"/>
              </w:rPr>
              <w:t>-</w:t>
            </w:r>
            <w:r>
              <w:rPr>
                <w:rFonts w:hint="eastAsia" w:ascii="仿宋" w:hAnsi="仿宋" w:eastAsia="仿宋" w:cs="Times New Roman"/>
                <w:sz w:val="28"/>
                <w:szCs w:val="28"/>
              </w:rPr>
              <w:t>R）核算。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114"/>
              <w:rPr>
                <w:rFonts w:ascii="仿宋" w:hAnsi="仿宋" w:eastAsia="仿宋" w:cs="Times New Roman"/>
                <w:b/>
                <w:bCs/>
                <w:sz w:val="28"/>
                <w:szCs w:val="28"/>
              </w:rPr>
            </w:pPr>
            <w:r>
              <w:rPr>
                <w:rFonts w:hint="eastAsia" w:ascii="仿宋" w:hAnsi="仿宋" w:eastAsia="仿宋" w:cs="Times New Roman"/>
                <w:b/>
                <w:bCs/>
                <w:sz w:val="28"/>
                <w:szCs w:val="28"/>
              </w:rPr>
              <w:t>重点任务：</w:t>
            </w:r>
          </w:p>
          <w:p>
            <w:pPr>
              <w:spacing w:after="114"/>
              <w:rPr>
                <w:rFonts w:ascii="仿宋" w:hAnsi="仿宋" w:eastAsia="仿宋" w:cs="Times New Roman"/>
                <w:sz w:val="28"/>
                <w:szCs w:val="28"/>
              </w:rPr>
            </w:pPr>
            <w:r>
              <w:rPr>
                <w:rFonts w:hint="eastAsia" w:ascii="仿宋" w:hAnsi="仿宋" w:eastAsia="仿宋" w:cs="Times New Roman"/>
                <w:sz w:val="28"/>
                <w:szCs w:val="28"/>
              </w:rPr>
              <w:t>（1）完善水生态环境区域补偿机制</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制定实施顺义区水生态区域补偿办法，保障生态水流、增加流动性，加大对劣</w:t>
            </w:r>
            <w:r>
              <w:rPr>
                <w:rFonts w:ascii="仿宋" w:hAnsi="仿宋" w:eastAsia="仿宋" w:cs="Times New Roman"/>
                <w:sz w:val="28"/>
                <w:szCs w:val="28"/>
              </w:rPr>
              <w:t>V类水体扣缴力度，建立双向补偿机制，促进生境生物多样性，以经济政策推动实现水流流动、水环境洁净、水生态健康</w:t>
            </w:r>
            <w:r>
              <w:rPr>
                <w:rFonts w:hint="eastAsia" w:ascii="仿宋" w:hAnsi="仿宋" w:eastAsia="仿宋" w:cs="Times New Roman"/>
                <w:sz w:val="28"/>
                <w:szCs w:val="28"/>
              </w:rPr>
              <w:t>。</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）推动“三线一单”分区管控落地应用</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严格落实生态环境分区管控要求，建立健全成果信息共享、更新调整、跟踪评估、监督考核等机制，推动“三线一单”（生态保护红线、环境质量底线、资源利用上线、生态环境准入清单）生态环境分区管控成果在政策制定、环境准入、园区管理、执法监管中均能得到有效应用。</w:t>
            </w:r>
          </w:p>
          <w:p>
            <w:pPr>
              <w:spacing w:after="114"/>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）探索建立生态产品价值实现机制</w:t>
            </w:r>
          </w:p>
          <w:p>
            <w:pPr>
              <w:spacing w:after="114"/>
              <w:ind w:firstLine="560" w:firstLineChars="200"/>
              <w:rPr>
                <w:rFonts w:ascii="仿宋" w:hAnsi="仿宋" w:eastAsia="仿宋" w:cs="Times New Roman"/>
                <w:sz w:val="28"/>
                <w:szCs w:val="28"/>
              </w:rPr>
            </w:pPr>
            <w:r>
              <w:rPr>
                <w:rFonts w:hint="eastAsia" w:ascii="仿宋" w:hAnsi="仿宋" w:eastAsia="仿宋" w:cs="Times New Roman"/>
                <w:sz w:val="28"/>
                <w:szCs w:val="28"/>
              </w:rPr>
              <w:t>落实《北京市建立健全生态产品价值实现机制的实施方案》，配合市级部门做好顺义区的生态系统调节服务价值（</w:t>
            </w:r>
            <w:r>
              <w:rPr>
                <w:rFonts w:ascii="仿宋" w:hAnsi="仿宋" w:eastAsia="仿宋" w:cs="Times New Roman"/>
                <w:sz w:val="28"/>
                <w:szCs w:val="28"/>
              </w:rPr>
              <w:t>GEP-R）核算工作，研究GEP-R核算结果的应用</w:t>
            </w:r>
            <w:r>
              <w:rPr>
                <w:rFonts w:hint="eastAsia" w:ascii="仿宋" w:hAnsi="仿宋" w:eastAsia="仿宋" w:cs="Times New Roman"/>
                <w:sz w:val="28"/>
                <w:szCs w:val="28"/>
              </w:rPr>
              <w:t>。</w:t>
            </w:r>
          </w:p>
        </w:tc>
      </w:tr>
    </w:tbl>
    <w:p>
      <w:pPr>
        <w:adjustRightInd w:val="0"/>
        <w:snapToGrid w:val="0"/>
        <w:spacing w:line="20" w:lineRule="exact"/>
        <w:ind w:firstLine="600" w:firstLineChars="200"/>
        <w:contextualSpacing/>
        <w:rPr>
          <w:rFonts w:ascii="仿宋" w:hAnsi="仿宋" w:eastAsia="仿宋" w:cs="仿宋_GB2312"/>
          <w:bCs/>
          <w:sz w:val="30"/>
          <w:szCs w:val="30"/>
        </w:rPr>
      </w:pPr>
    </w:p>
    <w:p>
      <w:pPr>
        <w:pStyle w:val="2"/>
        <w:sectPr>
          <w:pgSz w:w="11906" w:h="16838"/>
          <w:pgMar w:top="1440" w:right="1800" w:bottom="1440" w:left="1800" w:header="851" w:footer="283" w:gutter="0"/>
          <w:cols w:space="425" w:num="1"/>
          <w:docGrid w:type="lines" w:linePitch="381" w:charSpace="0"/>
        </w:sectPr>
      </w:pPr>
      <w:bookmarkStart w:id="160" w:name="_Toc136794681"/>
    </w:p>
    <w:bookmarkEnd w:id="160"/>
    <w:p>
      <w:pPr>
        <w:pStyle w:val="2"/>
        <w:rPr>
          <w:rFonts w:hint="eastAsia" w:ascii="方正小标宋简体" w:hAnsi="方正小标宋简体" w:cs="方正小标宋简体"/>
          <w:b w:val="0"/>
          <w:bCs w:val="0"/>
          <w:sz w:val="44"/>
          <w:szCs w:val="52"/>
        </w:rPr>
      </w:pPr>
      <w:bookmarkStart w:id="161" w:name="_Toc136794708"/>
      <w:bookmarkStart w:id="162" w:name="_Toc8494_WPSOffice_Level1"/>
      <w:r>
        <w:rPr>
          <w:rFonts w:hint="eastAsia" w:ascii="方正小标宋简体" w:hAnsi="方正小标宋简体" w:cs="方正小标宋简体"/>
          <w:b w:val="0"/>
          <w:bCs w:val="0"/>
          <w:sz w:val="44"/>
          <w:szCs w:val="52"/>
        </w:rPr>
        <w:t>第八章 重点工程</w:t>
      </w:r>
      <w:bookmarkEnd w:id="161"/>
      <w:r>
        <w:rPr>
          <w:rFonts w:hint="eastAsia" w:ascii="方正小标宋简体" w:hAnsi="方正小标宋简体" w:cs="方正小标宋简体"/>
          <w:b w:val="0"/>
          <w:bCs w:val="0"/>
          <w:sz w:val="44"/>
          <w:szCs w:val="52"/>
        </w:rPr>
        <w:t>与效益分析</w:t>
      </w:r>
      <w:bookmarkEnd w:id="162"/>
    </w:p>
    <w:p>
      <w:pPr>
        <w:pStyle w:val="3"/>
        <w:numPr>
          <w:ilvl w:val="0"/>
          <w:numId w:val="8"/>
        </w:numPr>
        <w:spacing w:before="0" w:after="0" w:line="560" w:lineRule="exact"/>
        <w:ind w:left="0" w:firstLine="640" w:firstLineChars="200"/>
        <w:jc w:val="left"/>
        <w:rPr>
          <w:rFonts w:ascii="黑体" w:hAnsi="黑体" w:eastAsia="黑体" w:cs="黑体"/>
          <w:b w:val="0"/>
          <w:bCs/>
          <w:sz w:val="32"/>
          <w:szCs w:val="32"/>
          <w:lang w:val="zh-CN"/>
        </w:rPr>
      </w:pPr>
      <w:bookmarkStart w:id="163" w:name="_Toc136794709"/>
      <w:bookmarkStart w:id="164" w:name="_Toc12656_WPSOffice_Level2"/>
      <w:bookmarkStart w:id="165" w:name="_Hlk105145866"/>
      <w:r>
        <w:rPr>
          <w:rFonts w:hint="eastAsia" w:ascii="黑体" w:hAnsi="黑体" w:eastAsia="黑体" w:cs="黑体"/>
          <w:b w:val="0"/>
          <w:bCs/>
          <w:sz w:val="32"/>
          <w:szCs w:val="32"/>
          <w:lang w:val="zh-CN"/>
        </w:rPr>
        <w:t>重点</w:t>
      </w:r>
      <w:r>
        <w:rPr>
          <w:rFonts w:ascii="黑体" w:hAnsi="黑体" w:eastAsia="黑体" w:cs="黑体"/>
          <w:b w:val="0"/>
          <w:bCs/>
          <w:sz w:val="32"/>
          <w:szCs w:val="32"/>
          <w:lang w:val="zh-CN"/>
        </w:rPr>
        <w:t>工程</w:t>
      </w:r>
      <w:bookmarkEnd w:id="163"/>
      <w:bookmarkEnd w:id="164"/>
    </w:p>
    <w:bookmarkEnd w:id="165"/>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根据顺义区经济社会发展水平和“十四五”期间相关规划的重点工程，结合本次生态文明建设规划主要任务和各项建设指标巩固提升需求，设置生态安全、生态经济、生态文化、生态文明制四个领域</w:t>
      </w:r>
      <w:r>
        <w:rPr>
          <w:rFonts w:ascii="仿宋_GB2312" w:hAnsi="仿宋_GB2312" w:eastAsia="仿宋_GB2312" w:cs="仿宋_GB2312"/>
          <w:bCs/>
          <w:sz w:val="32"/>
          <w:szCs w:val="32"/>
          <w:lang w:val="zh-CN"/>
        </w:rPr>
        <w:t>30项重点工程，总投资211757.6822万元，各项重点工程的主要内容、实施地点、责任部门、实施年限、投资规模等内容见附表1。</w:t>
      </w:r>
    </w:p>
    <w:p>
      <w:pPr>
        <w:pStyle w:val="3"/>
        <w:numPr>
          <w:ilvl w:val="0"/>
          <w:numId w:val="8"/>
        </w:numPr>
        <w:spacing w:before="0" w:after="0" w:line="560" w:lineRule="exact"/>
        <w:ind w:left="0" w:firstLine="640" w:firstLineChars="200"/>
        <w:jc w:val="left"/>
        <w:rPr>
          <w:rFonts w:ascii="黑体" w:hAnsi="黑体" w:eastAsia="黑体" w:cs="黑体"/>
          <w:b w:val="0"/>
          <w:bCs/>
          <w:sz w:val="32"/>
          <w:szCs w:val="32"/>
          <w:lang w:val="zh-CN"/>
        </w:rPr>
      </w:pPr>
      <w:bookmarkStart w:id="166" w:name="_Toc19620_WPSOffice_Level2"/>
      <w:bookmarkStart w:id="167" w:name="_Toc136794710"/>
      <w:bookmarkStart w:id="168" w:name="_Toc136702498"/>
      <w:r>
        <w:rPr>
          <w:rFonts w:hint="eastAsia" w:ascii="黑体" w:hAnsi="黑体" w:eastAsia="黑体" w:cs="黑体"/>
          <w:b w:val="0"/>
          <w:bCs/>
          <w:sz w:val="32"/>
          <w:szCs w:val="32"/>
          <w:lang w:val="zh-CN"/>
        </w:rPr>
        <w:t>效益分析</w:t>
      </w:r>
      <w:bookmarkEnd w:id="166"/>
      <w:bookmarkEnd w:id="167"/>
      <w:bookmarkEnd w:id="168"/>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ascii="楷体_GB2312" w:hAnsi="楷体_GB2312" w:eastAsia="楷体_GB2312" w:cs="楷体_GB2312"/>
          <w:b w:val="0"/>
          <w:bCs w:val="0"/>
          <w:sz w:val="32"/>
          <w:szCs w:val="32"/>
          <w:lang w:eastAsia="zh-CN"/>
        </w:rPr>
        <w:t>生态</w:t>
      </w:r>
      <w:r>
        <w:rPr>
          <w:rFonts w:hint="eastAsia" w:ascii="楷体_GB2312" w:hAnsi="楷体_GB2312" w:eastAsia="楷体_GB2312" w:cs="楷体_GB2312"/>
          <w:b w:val="0"/>
          <w:bCs w:val="0"/>
          <w:sz w:val="32"/>
          <w:szCs w:val="32"/>
          <w:lang w:eastAsia="zh-CN"/>
        </w:rPr>
        <w:t>环境</w:t>
      </w:r>
      <w:r>
        <w:rPr>
          <w:rFonts w:ascii="楷体_GB2312" w:hAnsi="楷体_GB2312" w:eastAsia="楷体_GB2312" w:cs="楷体_GB2312"/>
          <w:b w:val="0"/>
          <w:bCs w:val="0"/>
          <w:sz w:val="32"/>
          <w:szCs w:val="32"/>
          <w:lang w:eastAsia="zh-CN"/>
        </w:rPr>
        <w:t>效益</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通过</w:t>
      </w:r>
      <w:r>
        <w:rPr>
          <w:rFonts w:hint="eastAsia" w:ascii="仿宋_GB2312" w:hAnsi="仿宋_GB2312" w:eastAsia="仿宋_GB2312" w:cs="仿宋_GB2312"/>
          <w:bCs/>
          <w:sz w:val="32"/>
          <w:szCs w:val="32"/>
          <w:lang w:val="zh-CN"/>
        </w:rPr>
        <w:t>生态空间、生态安全等领域规划任务和</w:t>
      </w:r>
      <w:r>
        <w:rPr>
          <w:rFonts w:ascii="仿宋_GB2312" w:hAnsi="仿宋_GB2312" w:eastAsia="仿宋_GB2312" w:cs="仿宋_GB2312"/>
          <w:bCs/>
          <w:sz w:val="32"/>
          <w:szCs w:val="32"/>
          <w:lang w:val="zh-CN"/>
        </w:rPr>
        <w:t>重点</w:t>
      </w:r>
      <w:r>
        <w:rPr>
          <w:rFonts w:hint="eastAsia" w:ascii="仿宋_GB2312" w:hAnsi="仿宋_GB2312" w:eastAsia="仿宋_GB2312" w:cs="仿宋_GB2312"/>
          <w:bCs/>
          <w:sz w:val="32"/>
          <w:szCs w:val="32"/>
          <w:lang w:val="zh-CN"/>
        </w:rPr>
        <w:t>工程的</w:t>
      </w:r>
      <w:r>
        <w:rPr>
          <w:rFonts w:ascii="仿宋_GB2312" w:hAnsi="仿宋_GB2312" w:eastAsia="仿宋_GB2312" w:cs="仿宋_GB2312"/>
          <w:bCs/>
          <w:sz w:val="32"/>
          <w:szCs w:val="32"/>
          <w:lang w:val="zh-CN"/>
        </w:rPr>
        <w:t>实施，</w:t>
      </w:r>
      <w:r>
        <w:rPr>
          <w:rFonts w:hint="eastAsia" w:ascii="仿宋_GB2312" w:hAnsi="仿宋_GB2312" w:eastAsia="仿宋_GB2312" w:cs="仿宋_GB2312"/>
          <w:bCs/>
          <w:sz w:val="32"/>
          <w:szCs w:val="32"/>
          <w:lang w:val="zh-CN"/>
        </w:rPr>
        <w:t>补齐生态环境保护短板，顺义区绿色</w:t>
      </w:r>
      <w:r>
        <w:rPr>
          <w:rFonts w:ascii="仿宋_GB2312" w:hAnsi="仿宋_GB2312" w:eastAsia="仿宋_GB2312" w:cs="仿宋_GB2312"/>
          <w:bCs/>
          <w:sz w:val="32"/>
          <w:szCs w:val="32"/>
          <w:lang w:val="zh-CN"/>
        </w:rPr>
        <w:t>生态空间进一步优化</w:t>
      </w:r>
      <w:r>
        <w:rPr>
          <w:rFonts w:hint="eastAsia" w:ascii="仿宋_GB2312" w:hAnsi="仿宋_GB2312" w:eastAsia="仿宋_GB2312" w:cs="仿宋_GB2312"/>
          <w:bCs/>
          <w:sz w:val="32"/>
          <w:szCs w:val="32"/>
          <w:lang w:val="zh-CN"/>
        </w:rPr>
        <w:t>扩大，生物多样性本底调查助力强化生物多样性保护，</w:t>
      </w:r>
      <w:r>
        <w:rPr>
          <w:rFonts w:ascii="仿宋_GB2312" w:hAnsi="仿宋_GB2312" w:eastAsia="仿宋_GB2312" w:cs="仿宋_GB2312"/>
          <w:bCs/>
          <w:sz w:val="32"/>
          <w:szCs w:val="32"/>
          <w:lang w:val="zh-CN"/>
        </w:rPr>
        <w:t>城市生态系统</w:t>
      </w:r>
      <w:r>
        <w:rPr>
          <w:rFonts w:hint="eastAsia" w:ascii="仿宋_GB2312" w:hAnsi="仿宋_GB2312" w:eastAsia="仿宋_GB2312" w:cs="仿宋_GB2312"/>
          <w:bCs/>
          <w:sz w:val="32"/>
          <w:szCs w:val="32"/>
          <w:lang w:val="zh-CN"/>
        </w:rPr>
        <w:t>服务功能稳步</w:t>
      </w:r>
      <w:r>
        <w:rPr>
          <w:rFonts w:ascii="仿宋_GB2312" w:hAnsi="仿宋_GB2312" w:eastAsia="仿宋_GB2312" w:cs="仿宋_GB2312"/>
          <w:bCs/>
          <w:sz w:val="32"/>
          <w:szCs w:val="32"/>
          <w:lang w:val="zh-CN"/>
        </w:rPr>
        <w:t>提升，</w:t>
      </w:r>
      <w:r>
        <w:rPr>
          <w:rFonts w:hint="eastAsia" w:ascii="仿宋_GB2312" w:hAnsi="仿宋_GB2312" w:eastAsia="仿宋_GB2312" w:cs="仿宋_GB2312"/>
          <w:bCs/>
          <w:sz w:val="32"/>
          <w:szCs w:val="32"/>
          <w:lang w:val="zh-CN"/>
        </w:rPr>
        <w:t>优良天数比例、</w:t>
      </w:r>
      <w:r>
        <w:rPr>
          <w:rFonts w:ascii="仿宋_GB2312" w:hAnsi="仿宋_GB2312" w:eastAsia="仿宋_GB2312" w:cs="仿宋_GB2312"/>
          <w:bCs/>
          <w:sz w:val="32"/>
          <w:szCs w:val="32"/>
          <w:lang w:val="zh-CN"/>
        </w:rPr>
        <w:t>PM</w:t>
      </w:r>
      <w:r>
        <w:rPr>
          <w:rFonts w:ascii="仿宋_GB2312" w:hAnsi="仿宋_GB2312" w:eastAsia="仿宋_GB2312" w:cs="仿宋_GB2312"/>
          <w:bCs/>
          <w:sz w:val="32"/>
          <w:szCs w:val="32"/>
          <w:vertAlign w:val="subscript"/>
          <w:lang w:val="zh-CN"/>
        </w:rPr>
        <w:t>2.5</w:t>
      </w:r>
      <w:r>
        <w:rPr>
          <w:rFonts w:hint="eastAsia" w:ascii="仿宋_GB2312" w:hAnsi="仿宋_GB2312" w:eastAsia="仿宋_GB2312" w:cs="仿宋_GB2312"/>
          <w:bCs/>
          <w:sz w:val="32"/>
          <w:szCs w:val="32"/>
          <w:lang w:val="zh-CN"/>
        </w:rPr>
        <w:t>年均浓度、地表水优良率、生态环境质量指数等指标持续</w:t>
      </w:r>
      <w:r>
        <w:rPr>
          <w:rFonts w:ascii="仿宋_GB2312" w:hAnsi="仿宋_GB2312" w:eastAsia="仿宋_GB2312" w:cs="仿宋_GB2312"/>
          <w:bCs/>
          <w:sz w:val="32"/>
          <w:szCs w:val="32"/>
          <w:lang w:val="zh-CN"/>
        </w:rPr>
        <w:t>改善</w:t>
      </w:r>
      <w:r>
        <w:rPr>
          <w:rFonts w:hint="eastAsia" w:ascii="仿宋_GB2312" w:hAnsi="仿宋_GB2312" w:eastAsia="仿宋_GB2312" w:cs="仿宋_GB2312"/>
          <w:bCs/>
          <w:sz w:val="32"/>
          <w:szCs w:val="32"/>
          <w:lang w:val="zh-CN"/>
        </w:rPr>
        <w:t>，应对气候变化能力显著增强，推进减污降碳协同增效，</w:t>
      </w:r>
      <w:r>
        <w:rPr>
          <w:rFonts w:ascii="仿宋_GB2312" w:hAnsi="仿宋_GB2312" w:eastAsia="仿宋_GB2312" w:cs="仿宋_GB2312"/>
          <w:bCs/>
          <w:sz w:val="32"/>
          <w:szCs w:val="32"/>
          <w:lang w:val="zh-CN"/>
        </w:rPr>
        <w:fldChar w:fldCharType="begin"/>
      </w:r>
      <w:r>
        <w:rPr>
          <w:rFonts w:ascii="仿宋_GB2312" w:hAnsi="仿宋_GB2312" w:eastAsia="仿宋_GB2312" w:cs="仿宋_GB2312"/>
          <w:bCs/>
          <w:sz w:val="32"/>
          <w:szCs w:val="32"/>
          <w:lang w:val="zh-CN"/>
        </w:rPr>
        <w:instrText xml:space="preserve"> HYPERLINK "https://www.baidu.com/link?url=uNBaqOLQMsVjeeO2vykqLsdLvb1uVnOnyeFJPv7GjaAMZSwYCJ9GZsULZNEVQrBbAMApM0WH4X1ACSqKxINDRXnrBtV9SzpTdteJ_dMbNuV05peuYq-gecIN29mJj_j_FjCKWeZ8_Uu415JsgxaXU52DzqegivyAH9iQ4pcBtveATBXewPOGnOVHx4Ls7eCXsFXnhR8Rmz1EY3-x_QncrrCyPwZB5lEwgPe_Qs0V5FEqwjUrd3_8CCk6SMyT7s4QLAwKEBRorFB7KPBdCdu7ba&amp;wd=&amp;eqid=9b1950c3006e16f5000000036581c50e" \t "_blank" </w:instrText>
      </w:r>
      <w:r>
        <w:rPr>
          <w:rFonts w:ascii="仿宋_GB2312" w:hAnsi="仿宋_GB2312" w:eastAsia="仿宋_GB2312" w:cs="仿宋_GB2312"/>
          <w:bCs/>
          <w:sz w:val="32"/>
          <w:szCs w:val="32"/>
          <w:lang w:val="zh-CN"/>
        </w:rPr>
        <w:fldChar w:fldCharType="separate"/>
      </w:r>
      <w:r>
        <w:rPr>
          <w:rFonts w:ascii="仿宋_GB2312" w:hAnsi="仿宋_GB2312" w:eastAsia="仿宋_GB2312" w:cs="仿宋_GB2312"/>
          <w:bCs/>
          <w:sz w:val="32"/>
          <w:szCs w:val="32"/>
          <w:lang w:val="zh-CN"/>
        </w:rPr>
        <w:t>不断夯实绿色发展根基</w:t>
      </w:r>
      <w:r>
        <w:rPr>
          <w:rFonts w:ascii="仿宋_GB2312" w:hAnsi="仿宋_GB2312" w:eastAsia="仿宋_GB2312" w:cs="仿宋_GB2312"/>
          <w:bCs/>
          <w:sz w:val="32"/>
          <w:szCs w:val="32"/>
          <w:lang w:val="zh-CN"/>
        </w:rPr>
        <w:fldChar w:fldCharType="end"/>
      </w:r>
      <w:r>
        <w:rPr>
          <w:rFonts w:hint="eastAsia" w:ascii="仿宋_GB2312" w:hAnsi="仿宋_GB2312" w:eastAsia="仿宋_GB2312" w:cs="仿宋_GB2312"/>
          <w:bCs/>
          <w:sz w:val="32"/>
          <w:szCs w:val="32"/>
          <w:lang w:val="zh-CN"/>
        </w:rPr>
        <w:t>，为建设首都社会主义现代化平原新城铺就生态环境靓丽底色</w:t>
      </w:r>
      <w:r>
        <w:rPr>
          <w:rFonts w:ascii="仿宋_GB2312" w:hAnsi="仿宋_GB2312" w:eastAsia="仿宋_GB2312" w:cs="仿宋_GB2312"/>
          <w:bCs/>
          <w:sz w:val="32"/>
          <w:szCs w:val="32"/>
          <w:lang w:val="zh-CN"/>
        </w:rPr>
        <w:t>。</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ascii="楷体_GB2312" w:hAnsi="楷体_GB2312" w:eastAsia="楷体_GB2312" w:cs="楷体_GB2312"/>
          <w:b w:val="0"/>
          <w:bCs w:val="0"/>
          <w:sz w:val="32"/>
          <w:szCs w:val="32"/>
          <w:lang w:eastAsia="zh-CN"/>
        </w:rPr>
        <w:t>经济效益</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通过</w:t>
      </w:r>
      <w:r>
        <w:rPr>
          <w:rFonts w:hint="eastAsia" w:ascii="仿宋_GB2312" w:hAnsi="仿宋_GB2312" w:eastAsia="仿宋_GB2312" w:cs="仿宋_GB2312"/>
          <w:bCs/>
          <w:sz w:val="32"/>
          <w:szCs w:val="32"/>
          <w:lang w:val="zh-CN"/>
        </w:rPr>
        <w:t>生态经济、生态文化等领域规划任务和</w:t>
      </w:r>
      <w:r>
        <w:rPr>
          <w:rFonts w:ascii="仿宋_GB2312" w:hAnsi="仿宋_GB2312" w:eastAsia="仿宋_GB2312" w:cs="仿宋_GB2312"/>
          <w:bCs/>
          <w:sz w:val="32"/>
          <w:szCs w:val="32"/>
          <w:lang w:val="zh-CN"/>
        </w:rPr>
        <w:t>重点</w:t>
      </w:r>
      <w:r>
        <w:rPr>
          <w:rFonts w:hint="eastAsia" w:ascii="仿宋_GB2312" w:hAnsi="仿宋_GB2312" w:eastAsia="仿宋_GB2312" w:cs="仿宋_GB2312"/>
          <w:bCs/>
          <w:sz w:val="32"/>
          <w:szCs w:val="32"/>
          <w:lang w:val="zh-CN"/>
        </w:rPr>
        <w:t>工程的</w:t>
      </w:r>
      <w:r>
        <w:rPr>
          <w:rFonts w:ascii="仿宋_GB2312" w:hAnsi="仿宋_GB2312" w:eastAsia="仿宋_GB2312" w:cs="仿宋_GB2312"/>
          <w:bCs/>
          <w:sz w:val="32"/>
          <w:szCs w:val="32"/>
          <w:lang w:val="zh-CN"/>
        </w:rPr>
        <w:t>实施，</w:t>
      </w:r>
      <w:r>
        <w:rPr>
          <w:rFonts w:hint="eastAsia" w:ascii="仿宋_GB2312" w:hAnsi="仿宋_GB2312" w:eastAsia="仿宋_GB2312" w:cs="仿宋_GB2312"/>
          <w:bCs/>
          <w:sz w:val="32"/>
          <w:szCs w:val="32"/>
          <w:lang w:val="zh-CN"/>
        </w:rPr>
        <w:t>结合高品质生态环境支撑高质量发展，调整优化产业结构和能源结构，推进“</w:t>
      </w:r>
      <w:r>
        <w:rPr>
          <w:rFonts w:ascii="仿宋_GB2312" w:hAnsi="仿宋_GB2312" w:eastAsia="仿宋_GB2312" w:cs="仿宋_GB2312"/>
          <w:bCs/>
          <w:sz w:val="32"/>
          <w:szCs w:val="32"/>
          <w:lang w:val="zh-CN"/>
        </w:rPr>
        <w:t>3+4+1”高精尖产业体系全面构建，推动能源资源</w:t>
      </w:r>
      <w:r>
        <w:rPr>
          <w:rFonts w:hint="eastAsia" w:ascii="仿宋_GB2312" w:hAnsi="仿宋_GB2312" w:eastAsia="仿宋_GB2312" w:cs="仿宋_GB2312"/>
          <w:bCs/>
          <w:sz w:val="32"/>
          <w:szCs w:val="32"/>
          <w:lang w:val="zh-CN"/>
        </w:rPr>
        <w:t>节约高效利用，推进能源、产业、建筑、交通等重点领域绿色低碳发展，促进顺义区经济发展全面绿色转型，推动</w:t>
      </w:r>
      <w:r>
        <w:rPr>
          <w:rFonts w:ascii="仿宋_GB2312" w:hAnsi="仿宋_GB2312" w:eastAsia="仿宋_GB2312" w:cs="仿宋_GB2312"/>
          <w:bCs/>
          <w:sz w:val="32"/>
          <w:szCs w:val="32"/>
          <w:lang w:val="zh-CN"/>
        </w:rPr>
        <w:t>产业生态化</w:t>
      </w:r>
      <w:r>
        <w:rPr>
          <w:rFonts w:hint="eastAsia" w:ascii="仿宋_GB2312" w:hAnsi="仿宋_GB2312" w:eastAsia="仿宋_GB2312" w:cs="仿宋_GB2312"/>
          <w:bCs/>
          <w:sz w:val="32"/>
          <w:szCs w:val="32"/>
          <w:lang w:val="zh-CN"/>
        </w:rPr>
        <w:t>、</w:t>
      </w:r>
      <w:r>
        <w:rPr>
          <w:rFonts w:ascii="仿宋_GB2312" w:hAnsi="仿宋_GB2312" w:eastAsia="仿宋_GB2312" w:cs="仿宋_GB2312"/>
          <w:bCs/>
          <w:sz w:val="32"/>
          <w:szCs w:val="32"/>
          <w:lang w:val="zh-CN"/>
        </w:rPr>
        <w:t>生态产业化</w:t>
      </w:r>
      <w:r>
        <w:rPr>
          <w:rFonts w:hint="eastAsia" w:ascii="仿宋_GB2312" w:hAnsi="仿宋_GB2312" w:eastAsia="仿宋_GB2312" w:cs="仿宋_GB2312"/>
          <w:bCs/>
          <w:sz w:val="32"/>
          <w:szCs w:val="32"/>
          <w:lang w:val="zh-CN"/>
        </w:rPr>
        <w:t>建设</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实现</w:t>
      </w:r>
      <w:r>
        <w:rPr>
          <w:rFonts w:ascii="仿宋_GB2312" w:hAnsi="仿宋_GB2312" w:eastAsia="仿宋_GB2312" w:cs="仿宋_GB2312"/>
          <w:bCs/>
          <w:sz w:val="32"/>
          <w:szCs w:val="32"/>
          <w:lang w:val="zh-CN"/>
        </w:rPr>
        <w:t>健康</w:t>
      </w:r>
      <w:r>
        <w:rPr>
          <w:rFonts w:hint="eastAsia" w:ascii="仿宋_GB2312" w:hAnsi="仿宋_GB2312" w:eastAsia="仿宋_GB2312" w:cs="仿宋_GB2312"/>
          <w:bCs/>
          <w:sz w:val="32"/>
          <w:szCs w:val="32"/>
          <w:lang w:val="zh-CN"/>
        </w:rPr>
        <w:t>、高质量、可持续</w:t>
      </w:r>
      <w:r>
        <w:rPr>
          <w:rFonts w:ascii="仿宋_GB2312" w:hAnsi="仿宋_GB2312" w:eastAsia="仿宋_GB2312" w:cs="仿宋_GB2312"/>
          <w:bCs/>
          <w:sz w:val="32"/>
          <w:szCs w:val="32"/>
          <w:lang w:val="zh-CN"/>
        </w:rPr>
        <w:t>发展</w:t>
      </w:r>
      <w:r>
        <w:rPr>
          <w:rFonts w:hint="eastAsia" w:ascii="仿宋_GB2312" w:hAnsi="仿宋_GB2312" w:eastAsia="仿宋_GB2312" w:cs="仿宋_GB2312"/>
          <w:bCs/>
          <w:sz w:val="32"/>
          <w:szCs w:val="32"/>
          <w:lang w:val="zh-CN"/>
        </w:rPr>
        <w:t>的经济效益</w:t>
      </w:r>
      <w:r>
        <w:rPr>
          <w:rFonts w:ascii="仿宋_GB2312" w:hAnsi="仿宋_GB2312" w:eastAsia="仿宋_GB2312" w:cs="仿宋_GB2312"/>
          <w:bCs/>
          <w:sz w:val="32"/>
          <w:szCs w:val="32"/>
          <w:lang w:val="zh-CN"/>
        </w:rPr>
        <w:t>。</w:t>
      </w:r>
    </w:p>
    <w:p>
      <w:pPr>
        <w:pStyle w:val="4"/>
        <w:keepNext w:val="0"/>
        <w:keepLines w:val="0"/>
        <w:spacing w:before="0"/>
        <w:ind w:firstLine="640"/>
        <w:contextualSpacing w:val="0"/>
        <w:rPr>
          <w:rFonts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w:t>
      </w:r>
      <w:r>
        <w:rPr>
          <w:rFonts w:ascii="楷体_GB2312" w:hAnsi="楷体_GB2312" w:eastAsia="楷体_GB2312" w:cs="楷体_GB2312"/>
          <w:b w:val="0"/>
          <w:bCs w:val="0"/>
          <w:sz w:val="32"/>
          <w:szCs w:val="32"/>
          <w:lang w:eastAsia="zh-CN"/>
        </w:rPr>
        <w:t>社会效益</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通过</w:t>
      </w:r>
      <w:r>
        <w:rPr>
          <w:rFonts w:hint="eastAsia" w:ascii="仿宋_GB2312" w:hAnsi="仿宋_GB2312" w:eastAsia="仿宋_GB2312" w:cs="仿宋_GB2312"/>
          <w:bCs/>
          <w:sz w:val="32"/>
          <w:szCs w:val="32"/>
          <w:lang w:val="zh-CN"/>
        </w:rPr>
        <w:t>生态生活、生态文化等领域规划任务和</w:t>
      </w:r>
      <w:r>
        <w:rPr>
          <w:rFonts w:ascii="仿宋_GB2312" w:hAnsi="仿宋_GB2312" w:eastAsia="仿宋_GB2312" w:cs="仿宋_GB2312"/>
          <w:bCs/>
          <w:sz w:val="32"/>
          <w:szCs w:val="32"/>
          <w:lang w:val="zh-CN"/>
        </w:rPr>
        <w:t>重点</w:t>
      </w:r>
      <w:r>
        <w:rPr>
          <w:rFonts w:hint="eastAsia" w:ascii="仿宋_GB2312" w:hAnsi="仿宋_GB2312" w:eastAsia="仿宋_GB2312" w:cs="仿宋_GB2312"/>
          <w:bCs/>
          <w:sz w:val="32"/>
          <w:szCs w:val="32"/>
          <w:lang w:val="zh-CN"/>
        </w:rPr>
        <w:t>工程的</w:t>
      </w:r>
      <w:r>
        <w:rPr>
          <w:rFonts w:ascii="仿宋_GB2312" w:hAnsi="仿宋_GB2312" w:eastAsia="仿宋_GB2312" w:cs="仿宋_GB2312"/>
          <w:bCs/>
          <w:sz w:val="32"/>
          <w:szCs w:val="32"/>
          <w:lang w:val="zh-CN"/>
        </w:rPr>
        <w:t>实施，</w:t>
      </w:r>
      <w:r>
        <w:rPr>
          <w:rFonts w:hint="eastAsia" w:ascii="仿宋_GB2312" w:hAnsi="仿宋_GB2312" w:eastAsia="仿宋_GB2312" w:cs="仿宋_GB2312"/>
          <w:bCs/>
          <w:sz w:val="32"/>
          <w:szCs w:val="32"/>
          <w:lang w:val="zh-CN"/>
        </w:rPr>
        <w:t>结合</w:t>
      </w:r>
      <w:r>
        <w:rPr>
          <w:rFonts w:ascii="仿宋_GB2312" w:hAnsi="仿宋_GB2312" w:eastAsia="仿宋_GB2312" w:cs="仿宋_GB2312"/>
          <w:bCs/>
          <w:sz w:val="32"/>
          <w:szCs w:val="32"/>
          <w:lang w:val="zh-CN"/>
        </w:rPr>
        <w:t>良好生态环境是最普惠的民生福祉</w:t>
      </w:r>
      <w:r>
        <w:rPr>
          <w:rFonts w:hint="eastAsia" w:ascii="仿宋_GB2312" w:hAnsi="仿宋_GB2312" w:eastAsia="仿宋_GB2312" w:cs="仿宋_GB2312"/>
          <w:bCs/>
          <w:sz w:val="32"/>
          <w:szCs w:val="32"/>
          <w:lang w:val="zh-CN"/>
        </w:rPr>
        <w:t>，生活污水和生活垃圾等环保基础设施建设不断完善，</w:t>
      </w:r>
      <w:r>
        <w:rPr>
          <w:rFonts w:ascii="仿宋_GB2312" w:hAnsi="仿宋_GB2312" w:eastAsia="仿宋_GB2312" w:cs="仿宋_GB2312"/>
          <w:bCs/>
          <w:sz w:val="32"/>
          <w:szCs w:val="32"/>
          <w:lang w:val="zh-CN"/>
        </w:rPr>
        <w:t>城市精细化管理水平不断提升，城市人居环境更加优美，城市生活更加</w:t>
      </w:r>
      <w:r>
        <w:rPr>
          <w:rFonts w:hint="eastAsia" w:ascii="仿宋_GB2312" w:hAnsi="仿宋_GB2312" w:eastAsia="仿宋_GB2312" w:cs="仿宋_GB2312"/>
          <w:bCs/>
          <w:sz w:val="32"/>
          <w:szCs w:val="32"/>
          <w:lang w:val="zh-CN"/>
        </w:rPr>
        <w:t>和谐</w:t>
      </w:r>
      <w:r>
        <w:rPr>
          <w:rFonts w:ascii="仿宋_GB2312" w:hAnsi="仿宋_GB2312" w:eastAsia="仿宋_GB2312" w:cs="仿宋_GB2312"/>
          <w:bCs/>
          <w:sz w:val="32"/>
          <w:szCs w:val="32"/>
          <w:lang w:val="zh-CN"/>
        </w:rPr>
        <w:t>宜居，</w:t>
      </w:r>
      <w:r>
        <w:rPr>
          <w:rFonts w:hint="eastAsia" w:ascii="仿宋_GB2312" w:hAnsi="仿宋_GB2312" w:eastAsia="仿宋_GB2312" w:cs="仿宋_GB2312"/>
          <w:bCs/>
          <w:sz w:val="32"/>
          <w:szCs w:val="32"/>
          <w:lang w:val="zh-CN"/>
        </w:rPr>
        <w:t>社会</w:t>
      </w:r>
      <w:r>
        <w:rPr>
          <w:rFonts w:ascii="仿宋_GB2312" w:hAnsi="仿宋_GB2312" w:eastAsia="仿宋_GB2312" w:cs="仿宋_GB2312"/>
          <w:bCs/>
          <w:sz w:val="32"/>
          <w:szCs w:val="32"/>
          <w:lang w:val="zh-CN"/>
        </w:rPr>
        <w:t>公众</w:t>
      </w:r>
      <w:r>
        <w:rPr>
          <w:rFonts w:hint="eastAsia" w:ascii="仿宋_GB2312" w:hAnsi="仿宋_GB2312" w:eastAsia="仿宋_GB2312" w:cs="仿宋_GB2312"/>
          <w:bCs/>
          <w:sz w:val="32"/>
          <w:szCs w:val="32"/>
          <w:lang w:val="zh-CN"/>
        </w:rPr>
        <w:t>生态文明意识有力提升</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推进节水型社会和</w:t>
      </w:r>
      <w:r>
        <w:rPr>
          <w:rFonts w:ascii="仿宋_GB2312" w:hAnsi="仿宋_GB2312" w:eastAsia="仿宋_GB2312" w:cs="仿宋_GB2312"/>
          <w:bCs/>
          <w:sz w:val="32"/>
          <w:szCs w:val="32"/>
          <w:lang w:val="zh-CN"/>
        </w:rPr>
        <w:t>环境友好型社会的发展转型，</w:t>
      </w:r>
      <w:r>
        <w:rPr>
          <w:rFonts w:hint="eastAsia" w:ascii="仿宋_GB2312" w:hAnsi="仿宋_GB2312" w:eastAsia="仿宋_GB2312" w:cs="仿宋_GB2312"/>
          <w:bCs/>
          <w:sz w:val="32"/>
          <w:szCs w:val="32"/>
          <w:lang w:val="zh-CN"/>
        </w:rPr>
        <w:t>践行简约适度、低碳环保的绿色消费生活方式，人民群众幸福感、获得感、安全感明显提升。</w:t>
      </w:r>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sectPr>
          <w:pgSz w:w="11906" w:h="16838"/>
          <w:pgMar w:top="1440" w:right="1800" w:bottom="1440" w:left="1800" w:header="851" w:footer="992" w:gutter="0"/>
          <w:cols w:space="425" w:num="1"/>
          <w:docGrid w:type="lines" w:linePitch="381" w:charSpace="0"/>
        </w:sectPr>
      </w:pPr>
    </w:p>
    <w:p>
      <w:pPr>
        <w:pStyle w:val="2"/>
        <w:rPr>
          <w:b w:val="0"/>
          <w:bCs w:val="0"/>
          <w:sz w:val="44"/>
          <w:szCs w:val="52"/>
        </w:rPr>
      </w:pPr>
      <w:bookmarkStart w:id="169" w:name="_Toc29174_WPSOffice_Level1"/>
      <w:bookmarkStart w:id="170" w:name="_Toc136794711"/>
      <w:r>
        <w:rPr>
          <w:b w:val="0"/>
          <w:bCs w:val="0"/>
          <w:sz w:val="44"/>
          <w:szCs w:val="52"/>
        </w:rPr>
        <w:t>第</w:t>
      </w:r>
      <w:r>
        <w:rPr>
          <w:rFonts w:hint="eastAsia"/>
          <w:b w:val="0"/>
          <w:bCs w:val="0"/>
          <w:sz w:val="44"/>
          <w:szCs w:val="52"/>
        </w:rPr>
        <w:t>九</w:t>
      </w:r>
      <w:r>
        <w:rPr>
          <w:b w:val="0"/>
          <w:bCs w:val="0"/>
          <w:sz w:val="44"/>
          <w:szCs w:val="52"/>
        </w:rPr>
        <w:t>章 保障措施</w:t>
      </w:r>
      <w:bookmarkEnd w:id="169"/>
      <w:bookmarkEnd w:id="170"/>
    </w:p>
    <w:p>
      <w:pPr>
        <w:pStyle w:val="3"/>
        <w:numPr>
          <w:ilvl w:val="0"/>
          <w:numId w:val="9"/>
        </w:numPr>
        <w:spacing w:before="0" w:after="0" w:line="560" w:lineRule="exact"/>
        <w:ind w:left="0" w:firstLine="640" w:firstLineChars="200"/>
        <w:jc w:val="left"/>
        <w:rPr>
          <w:rFonts w:ascii="黑体" w:hAnsi="黑体" w:eastAsia="黑体" w:cs="黑体"/>
          <w:b w:val="0"/>
          <w:bCs/>
          <w:sz w:val="32"/>
          <w:szCs w:val="32"/>
          <w:lang w:val="zh-CN"/>
        </w:rPr>
      </w:pPr>
      <w:bookmarkStart w:id="171" w:name="_Toc22050_WPSOffice_Level2"/>
      <w:bookmarkStart w:id="172" w:name="_Hlk154324775"/>
      <w:r>
        <w:rPr>
          <w:rFonts w:ascii="黑体" w:hAnsi="黑体" w:eastAsia="黑体" w:cs="黑体"/>
          <w:b w:val="0"/>
          <w:bCs/>
          <w:sz w:val="32"/>
          <w:szCs w:val="32"/>
          <w:lang w:val="zh-CN"/>
        </w:rPr>
        <w:t>加强组织领导</w:t>
      </w:r>
      <w:bookmarkEnd w:id="171"/>
    </w:p>
    <w:p>
      <w:pPr>
        <w:adjustRightInd w:val="0"/>
        <w:snapToGrid w:val="0"/>
        <w:spacing w:line="560" w:lineRule="exact"/>
        <w:ind w:firstLine="640" w:firstLineChars="200"/>
        <w:contextualSpacing/>
        <w:rPr>
          <w:rFonts w:ascii="仿宋" w:hAnsi="仿宋" w:eastAsia="仿宋" w:cs="仿宋_GB2312"/>
          <w:bCs/>
          <w:sz w:val="30"/>
          <w:szCs w:val="30"/>
          <w:lang w:val="zh-CN"/>
        </w:rPr>
      </w:pPr>
      <w:r>
        <w:rPr>
          <w:rFonts w:hint="eastAsia" w:ascii="仿宋_GB2312" w:hAnsi="仿宋_GB2312" w:eastAsia="仿宋_GB2312" w:cs="仿宋_GB2312"/>
          <w:bCs/>
          <w:sz w:val="32"/>
          <w:szCs w:val="32"/>
          <w:lang w:val="zh-CN"/>
        </w:rPr>
        <w:t>按照生态环境部和北京市关于创建“生态文明建设示范区”的工作要求，成立生态文明建设示范区创建工作领导小组，切实加强对本规划实施工作的组织领导。加强该领导小组下设办公室的组织协调，推进落实生态文明建设示范区各项创建工作，建立健全生态文明建设的长效管理机制，把生态文明建设目标任务切实分解到各相关职能部门和镇街。</w:t>
      </w:r>
    </w:p>
    <w:p>
      <w:pPr>
        <w:pStyle w:val="3"/>
        <w:numPr>
          <w:ilvl w:val="0"/>
          <w:numId w:val="9"/>
        </w:numPr>
        <w:spacing w:before="0" w:after="0" w:line="560" w:lineRule="exact"/>
        <w:ind w:left="0" w:firstLine="640" w:firstLineChars="200"/>
        <w:jc w:val="left"/>
        <w:rPr>
          <w:rFonts w:ascii="黑体" w:hAnsi="黑体" w:eastAsia="黑体" w:cs="黑体"/>
          <w:b w:val="0"/>
          <w:bCs/>
          <w:sz w:val="32"/>
          <w:szCs w:val="32"/>
          <w:lang w:val="zh-CN"/>
        </w:rPr>
      </w:pPr>
      <w:bookmarkStart w:id="173" w:name="_Toc4871_WPSOffice_Level2"/>
      <w:r>
        <w:rPr>
          <w:rFonts w:hint="eastAsia" w:ascii="黑体" w:hAnsi="黑体" w:eastAsia="黑体" w:cs="黑体"/>
          <w:b w:val="0"/>
          <w:bCs/>
          <w:sz w:val="32"/>
          <w:szCs w:val="32"/>
          <w:lang w:val="zh-CN"/>
        </w:rPr>
        <w:t>严格</w:t>
      </w:r>
      <w:r>
        <w:rPr>
          <w:rFonts w:ascii="黑体" w:hAnsi="黑体" w:eastAsia="黑体" w:cs="黑体"/>
          <w:b w:val="0"/>
          <w:bCs/>
          <w:sz w:val="32"/>
          <w:szCs w:val="32"/>
          <w:lang w:val="zh-CN"/>
        </w:rPr>
        <w:t>监督考核</w:t>
      </w:r>
      <w:bookmarkEnd w:id="173"/>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落实《北京市顺义区创建国家生态文明建设示范区工作方案》，将生态文明建设示范区创建工作纳入污染防治攻坚战行动计划，制定规划实施的年度工作计划，并进行严格的监督考核，建立健全生态文明建设监督考核机制，区</w:t>
      </w:r>
      <w:r>
        <w:rPr>
          <w:rFonts w:hint="eastAsia" w:ascii="仿宋_GB2312" w:hAnsi="仿宋_GB2312" w:eastAsia="仿宋_GB2312" w:cs="仿宋_GB2312"/>
          <w:bCs/>
          <w:sz w:val="32"/>
          <w:szCs w:val="32"/>
        </w:rPr>
        <w:t xml:space="preserve"> 创建工作</w:t>
      </w:r>
      <w:r>
        <w:rPr>
          <w:rFonts w:hint="eastAsia" w:ascii="仿宋_GB2312" w:hAnsi="仿宋_GB2312" w:eastAsia="仿宋_GB2312" w:cs="仿宋_GB2312"/>
          <w:bCs/>
          <w:sz w:val="32"/>
          <w:szCs w:val="32"/>
          <w:lang w:val="zh-CN"/>
        </w:rPr>
        <w:t>领导小组办公室对规划实施情况定期开展督促检查。</w:t>
      </w:r>
    </w:p>
    <w:p>
      <w:pPr>
        <w:pStyle w:val="3"/>
        <w:numPr>
          <w:ilvl w:val="0"/>
          <w:numId w:val="9"/>
        </w:numPr>
        <w:spacing w:before="0" w:after="0" w:line="560" w:lineRule="exact"/>
        <w:ind w:left="0" w:firstLine="640" w:firstLineChars="200"/>
        <w:jc w:val="left"/>
        <w:rPr>
          <w:rFonts w:ascii="黑体" w:hAnsi="黑体" w:eastAsia="黑体" w:cs="黑体"/>
          <w:b w:val="0"/>
          <w:bCs/>
          <w:sz w:val="32"/>
          <w:szCs w:val="32"/>
          <w:lang w:val="zh-CN"/>
        </w:rPr>
      </w:pPr>
      <w:bookmarkStart w:id="174" w:name="_Toc20522_WPSOffice_Level2"/>
      <w:r>
        <w:rPr>
          <w:rFonts w:hint="eastAsia" w:ascii="黑体" w:hAnsi="黑体" w:eastAsia="黑体" w:cs="黑体"/>
          <w:b w:val="0"/>
          <w:bCs/>
          <w:sz w:val="32"/>
          <w:szCs w:val="32"/>
          <w:lang w:val="zh-CN"/>
        </w:rPr>
        <w:t>统筹资金支持</w:t>
      </w:r>
      <w:bookmarkEnd w:id="174"/>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完善市区两级财政资金投入机制，强化资金统筹，把生态环境保护建设等项目资金纳入年度财政预算，优先保障生态文明领域重大项目支出，污染治理、生态修复、绿色低碳转型等项目争取市重点项目专项资金。建立多元化融资渠道，发挥市场机制配置资源的基础性作用，引导和鼓励社会资金投入生态文明领域建设。</w:t>
      </w:r>
    </w:p>
    <w:p>
      <w:pPr>
        <w:pStyle w:val="3"/>
        <w:numPr>
          <w:ilvl w:val="0"/>
          <w:numId w:val="9"/>
        </w:numPr>
        <w:spacing w:before="0" w:after="0" w:line="560" w:lineRule="exact"/>
        <w:ind w:left="0" w:firstLine="640" w:firstLineChars="200"/>
        <w:jc w:val="left"/>
        <w:rPr>
          <w:rFonts w:ascii="黑体" w:hAnsi="黑体" w:eastAsia="黑体" w:cs="黑体"/>
          <w:b w:val="0"/>
          <w:bCs/>
          <w:sz w:val="32"/>
          <w:szCs w:val="32"/>
          <w:lang w:val="zh-CN"/>
        </w:rPr>
      </w:pPr>
      <w:bookmarkStart w:id="175" w:name="_Toc32124_WPSOffice_Level2"/>
      <w:r>
        <w:rPr>
          <w:rFonts w:hint="eastAsia" w:ascii="黑体" w:hAnsi="黑体" w:eastAsia="黑体" w:cs="黑体"/>
          <w:b w:val="0"/>
          <w:bCs/>
          <w:sz w:val="32"/>
          <w:szCs w:val="32"/>
          <w:lang w:val="zh-CN"/>
        </w:rPr>
        <w:t>强化科技支撑</w:t>
      </w:r>
      <w:bookmarkEnd w:id="175"/>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大对高新科技人才和生态环境高端人才的引进力度，加强与高校、科研机构间的合作力度，鼓励支持绿色低碳、清洁生产、生态循环等节能环保低碳技术研发和推广应用，引导企业采用各类节能环保低碳新技术、新工艺和新产品。加大环保业务知识技能培训，重点针对环境监测、检查及执法人员，开展多种形式的技术业务培训。</w:t>
      </w:r>
    </w:p>
    <w:p>
      <w:pPr>
        <w:pStyle w:val="3"/>
        <w:numPr>
          <w:ilvl w:val="0"/>
          <w:numId w:val="9"/>
        </w:numPr>
        <w:spacing w:before="0" w:after="0" w:line="560" w:lineRule="exact"/>
        <w:ind w:left="0" w:firstLine="640" w:firstLineChars="200"/>
        <w:jc w:val="left"/>
        <w:rPr>
          <w:rFonts w:ascii="黑体" w:hAnsi="黑体" w:eastAsia="黑体" w:cs="黑体"/>
          <w:b w:val="0"/>
          <w:bCs/>
          <w:sz w:val="32"/>
          <w:szCs w:val="32"/>
          <w:lang w:val="zh-CN"/>
        </w:rPr>
      </w:pPr>
      <w:bookmarkStart w:id="176" w:name="_Toc18122_WPSOffice_Level2"/>
      <w:r>
        <w:rPr>
          <w:rFonts w:hint="eastAsia" w:ascii="黑体" w:hAnsi="黑体" w:eastAsia="黑体" w:cs="黑体"/>
          <w:b w:val="0"/>
          <w:bCs/>
          <w:sz w:val="32"/>
          <w:szCs w:val="32"/>
          <w:lang w:val="zh-CN"/>
        </w:rPr>
        <w:t>加大宣传教育</w:t>
      </w:r>
      <w:bookmarkEnd w:id="176"/>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充分利用电视、广播、报刊、微博、微信公众号等媒体平台，开展形式多样的宣传教育，增强公众对生态文明建设的认知、认可和认同，营造全社会共同参与和支持生态文明建设的良好氛围，让生态文明理念深入人心。</w:t>
      </w:r>
      <w:bookmarkEnd w:id="172"/>
    </w:p>
    <w:p>
      <w:pPr>
        <w:adjustRightInd w:val="0"/>
        <w:snapToGrid w:val="0"/>
        <w:spacing w:line="560" w:lineRule="exact"/>
        <w:ind w:firstLine="640" w:firstLineChars="200"/>
        <w:contextualSpacing/>
        <w:rPr>
          <w:rFonts w:ascii="仿宋_GB2312" w:hAnsi="仿宋_GB2312" w:eastAsia="仿宋_GB2312" w:cs="仿宋_GB2312"/>
          <w:bCs/>
          <w:sz w:val="32"/>
          <w:szCs w:val="32"/>
          <w:lang w:val="zh-CN"/>
        </w:rPr>
        <w:sectPr>
          <w:pgSz w:w="11906" w:h="16838"/>
          <w:pgMar w:top="1440" w:right="1800" w:bottom="1440" w:left="1800" w:header="851" w:footer="283" w:gutter="0"/>
          <w:cols w:space="425" w:num="1"/>
          <w:docGrid w:type="lines" w:linePitch="381" w:charSpace="0"/>
        </w:sectPr>
      </w:pPr>
    </w:p>
    <w:p>
      <w:pPr>
        <w:pStyle w:val="2"/>
      </w:pPr>
      <w:bookmarkStart w:id="177" w:name="_Toc136794717"/>
      <w:bookmarkStart w:id="178" w:name="_Toc23160_WPSOffice_Level1"/>
      <w:r>
        <w:t xml:space="preserve">附表1  </w:t>
      </w:r>
      <w:r>
        <w:rPr>
          <w:rFonts w:hint="eastAsia"/>
        </w:rPr>
        <w:t>顺义</w:t>
      </w:r>
      <w:r>
        <w:t>区生态文明建设重点工程</w:t>
      </w:r>
      <w:bookmarkEnd w:id="177"/>
      <w:bookmarkEnd w:id="178"/>
    </w:p>
    <w:tbl>
      <w:tblPr>
        <w:tblStyle w:val="25"/>
        <w:tblW w:w="14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2007"/>
        <w:gridCol w:w="4514"/>
        <w:gridCol w:w="1139"/>
        <w:gridCol w:w="1134"/>
        <w:gridCol w:w="11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hint="eastAsia" w:ascii="仿宋" w:hAnsi="仿宋" w:eastAsia="仿宋"/>
                <w:b/>
                <w:bCs/>
                <w:kern w:val="0"/>
                <w:szCs w:val="21"/>
              </w:rPr>
              <w:t>建设领域</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ascii="仿宋" w:hAnsi="仿宋" w:eastAsia="仿宋"/>
                <w:b/>
                <w:bCs/>
                <w:kern w:val="0"/>
                <w:szCs w:val="21"/>
              </w:rPr>
              <w:t>序号</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ascii="仿宋" w:hAnsi="仿宋" w:eastAsia="仿宋"/>
                <w:b/>
                <w:bCs/>
                <w:kern w:val="0"/>
                <w:szCs w:val="21"/>
              </w:rPr>
              <w:t>工程名称</w:t>
            </w:r>
          </w:p>
        </w:tc>
        <w:tc>
          <w:tcPr>
            <w:tcW w:w="451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b/>
                <w:bCs/>
                <w:kern w:val="0"/>
                <w:szCs w:val="21"/>
              </w:rPr>
            </w:pPr>
            <w:r>
              <w:rPr>
                <w:rFonts w:ascii="仿宋" w:hAnsi="仿宋" w:eastAsia="仿宋"/>
                <w:b/>
                <w:bCs/>
                <w:kern w:val="0"/>
                <w:szCs w:val="21"/>
              </w:rPr>
              <w:t>主要内容</w:t>
            </w:r>
          </w:p>
        </w:tc>
        <w:tc>
          <w:tcPr>
            <w:tcW w:w="1139"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b/>
                <w:bCs/>
                <w:kern w:val="0"/>
                <w:szCs w:val="21"/>
              </w:rPr>
            </w:pPr>
            <w:r>
              <w:rPr>
                <w:rFonts w:hint="eastAsia" w:ascii="仿宋" w:hAnsi="仿宋" w:eastAsia="仿宋"/>
                <w:b/>
                <w:bCs/>
                <w:kern w:val="0"/>
                <w:szCs w:val="21"/>
              </w:rPr>
              <w:t>实施地点</w:t>
            </w:r>
          </w:p>
        </w:tc>
        <w:tc>
          <w:tcPr>
            <w:tcW w:w="113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b/>
                <w:bCs/>
                <w:kern w:val="0"/>
                <w:szCs w:val="21"/>
              </w:rPr>
            </w:pPr>
            <w:r>
              <w:rPr>
                <w:rFonts w:hint="eastAsia" w:ascii="仿宋" w:hAnsi="仿宋" w:eastAsia="仿宋"/>
                <w:b/>
                <w:bCs/>
                <w:kern w:val="0"/>
                <w:szCs w:val="21"/>
              </w:rPr>
              <w:t>牵头责任部门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hint="eastAsia" w:ascii="仿宋" w:hAnsi="仿宋" w:eastAsia="仿宋"/>
                <w:b/>
                <w:bCs/>
                <w:kern w:val="0"/>
                <w:szCs w:val="21"/>
              </w:rPr>
              <w:t>实施计划起始时间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hint="eastAsia" w:ascii="仿宋" w:hAnsi="仿宋" w:eastAsia="仿宋"/>
                <w:b/>
                <w:bCs/>
                <w:kern w:val="0"/>
                <w:szCs w:val="21"/>
              </w:rPr>
              <w:t>实施计划结束时间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0"/>
                <w:szCs w:val="21"/>
              </w:rPr>
            </w:pPr>
            <w:r>
              <w:rPr>
                <w:rFonts w:ascii="仿宋" w:hAnsi="仿宋" w:eastAsia="仿宋"/>
                <w:b/>
                <w:bCs/>
                <w:kern w:val="0"/>
                <w:szCs w:val="21"/>
              </w:rPr>
              <w:t>投资</w:t>
            </w:r>
            <w:r>
              <w:rPr>
                <w:rFonts w:hint="eastAsia" w:ascii="仿宋" w:hAnsi="仿宋" w:eastAsia="仿宋"/>
                <w:b/>
                <w:bCs/>
                <w:kern w:val="0"/>
                <w:szCs w:val="21"/>
              </w:rPr>
              <w:t>规模</w:t>
            </w:r>
          </w:p>
          <w:p>
            <w:pPr>
              <w:jc w:val="center"/>
              <w:rPr>
                <w:rFonts w:ascii="仿宋" w:hAnsi="仿宋" w:eastAsia="仿宋"/>
                <w:b/>
                <w:bCs/>
                <w:kern w:val="0"/>
                <w:szCs w:val="21"/>
              </w:rPr>
            </w:pPr>
            <w:r>
              <w:rPr>
                <w:rFonts w:ascii="仿宋" w:hAnsi="仿宋" w:eastAsia="仿宋"/>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生态安全</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顺义区大气环境监测分析服务</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利用云计算、物联网、大数据、人工智能以及认知计算等技术，提供监测数据、分析服务、硬件设备等服务产品，为决策提供完整、及时、可靠的决策依据，提升顺义区大气环境精细化管理水平</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年9月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年9月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r>
              <w:rPr>
                <w:rFonts w:ascii="仿宋" w:hAnsi="仿宋" w:eastAsia="仿宋"/>
                <w:kern w:val="0"/>
                <w:szCs w:val="21"/>
              </w:rPr>
              <w:t>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固定式遥感监测系统建设项目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建设通过不透光烟度或林格曼黑度检测方式的固定式遥感监测系统，对上路行驶机动车开展遥感检测，筛查出超标车辆上报市局依法进行处罚</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r>
              <w:rPr>
                <w:rFonts w:ascii="仿宋" w:hAnsi="仿宋" w:eastAsia="仿宋"/>
                <w:kern w:val="0"/>
                <w:szCs w:val="21"/>
              </w:rPr>
              <w:t>8</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w:t>
            </w:r>
            <w:r>
              <w:rPr>
                <w:rFonts w:ascii="仿宋" w:hAnsi="仿宋" w:eastAsia="仿宋"/>
                <w:kern w:val="0"/>
                <w:szCs w:val="21"/>
              </w:rPr>
              <w:t>8</w:t>
            </w:r>
            <w:r>
              <w:rPr>
                <w:rFonts w:hint="eastAsia" w:ascii="仿宋" w:hAnsi="仿宋" w:eastAsia="仿宋"/>
                <w:kern w:val="0"/>
                <w:szCs w:val="21"/>
              </w:rPr>
              <w:t>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217.074621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裸露扬尘源卫星遥感监测服务项目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bookmarkStart w:id="179" w:name="_Hlk160110288"/>
            <w:r>
              <w:rPr>
                <w:rFonts w:hint="eastAsia" w:ascii="仿宋" w:hAnsi="仿宋" w:eastAsia="仿宋"/>
                <w:kern w:val="0"/>
                <w:szCs w:val="21"/>
              </w:rPr>
              <w:t>开展裸露扬尘源动态监测，准确掌握各类裸地的新增、延续、变为非裸地的状态。辅助裸地扬尘污染的监测、督查与考核，指导属地政府对裸露扬尘源开展管控、治理</w:t>
            </w:r>
            <w:bookmarkEnd w:id="179"/>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年1</w:t>
            </w:r>
            <w:r>
              <w:rPr>
                <w:rFonts w:ascii="仿宋" w:hAnsi="仿宋" w:eastAsia="仿宋"/>
                <w:kern w:val="0"/>
                <w:szCs w:val="21"/>
              </w:rPr>
              <w:t>0</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w:t>
            </w:r>
            <w:r>
              <w:rPr>
                <w:rFonts w:ascii="仿宋" w:hAnsi="仿宋" w:eastAsia="仿宋"/>
                <w:kern w:val="0"/>
                <w:szCs w:val="21"/>
              </w:rPr>
              <w:t>10</w:t>
            </w:r>
            <w:r>
              <w:rPr>
                <w:rFonts w:hint="eastAsia" w:ascii="仿宋" w:hAnsi="仿宋" w:eastAsia="仿宋"/>
                <w:kern w:val="0"/>
                <w:szCs w:val="21"/>
              </w:rPr>
              <w:t>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ascii="仿宋" w:hAnsi="仿宋" w:eastAsia="仿宋"/>
                <w:kern w:val="0"/>
                <w:szCs w:val="21"/>
              </w:rPr>
              <w:t>VOCs源解析及走航监测服务项目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通过实施该项目，深入掌握大气</w:t>
            </w:r>
            <w:r>
              <w:rPr>
                <w:rFonts w:ascii="仿宋" w:hAnsi="仿宋" w:eastAsia="仿宋"/>
                <w:kern w:val="0"/>
                <w:szCs w:val="21"/>
              </w:rPr>
              <w:t>VOCs的排放源情况以及来源贡献，确定VOCs污染防治重点行业并对企业提出完善的VOCs防控措施，实现VOCs与臭氧协同控制</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2023年7月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2024年1月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136.38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挥发性有机物能力建设项目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开展挥发性有机物能力建设，满足固定污染源、环境空气、水体、土壤等不同分析场景的需要</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年9月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年9月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6</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道路尘负荷监测服务项目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每月度对各属地、行业管辖道路及不同类型工地（场站）出入口两侧道路进行尘负荷抽测，有针对性加强道路扬尘管控，减少扬尘污染</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年8月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w:t>
            </w:r>
            <w:r>
              <w:rPr>
                <w:rFonts w:hint="eastAsia" w:ascii="仿宋" w:hAnsi="仿宋" w:eastAsia="仿宋"/>
                <w:kern w:val="0"/>
                <w:szCs w:val="21"/>
              </w:rPr>
              <w:t>4年8月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127.8106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7</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顺义区饮用水水源地环境状况评估项目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为保障饮用水安全，对顺义区区级、镇级、农村水源地开展环境状况评估</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每年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每年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r>
              <w:rPr>
                <w:rFonts w:ascii="仿宋" w:hAnsi="仿宋"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8</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顺义区农村饮用水水源地划定项目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为保障饮用水安全，对顺义区农村水源地开展划定工作</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026</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r>
              <w:rPr>
                <w:rFonts w:ascii="仿宋" w:hAnsi="仿宋" w:eastAsia="仿宋"/>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9</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李桥再生水厂及配套管线工程</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再生水处理厂：近期处理规模6000立方米/日。再生水管线：新建再生水管道规格为DN400～DN500毫米，管线全长约1.4千米。污水管线：新建污水管道规格为D900～D1000毫米，管线全长约1.4千米</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李桥镇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区水务局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2024年6月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2024年12月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0</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中关村顺义园新建中水管线工程（二期）</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新建地下式增压泵站一座；再生水管5153.4m</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高丽营镇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区水务局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2023年6月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2024年12月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4706.25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生态补水建设工程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1）温榆河公园补水工程（八干渠）：渠道治理5.3千米，其中渠道疏挖、整治1.2千米，新建渠道1.3千米，原有渠道利用2.8千米；新建跨方氏渠渡槽1座。</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）温榆河公园补水工程：新建取水泵站1座，新建DN1000管线1.29千米。中总干渠补水工程：渠道治理2.46千米，其中渠道衬砌1.26千米，河道疏挖1.2千米</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木林镇、高丽营镇、后沙峪镇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区水务局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2023年12月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2024年6月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龙道河提升工程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对龙道河河道及罗马湖进行治理，长度共</w:t>
            </w:r>
            <w:r>
              <w:rPr>
                <w:rFonts w:ascii="仿宋" w:hAnsi="仿宋" w:eastAsia="仿宋"/>
                <w:kern w:val="0"/>
                <w:szCs w:val="21"/>
              </w:rPr>
              <w:t>5.6</w:t>
            </w:r>
          </w:p>
          <w:p>
            <w:pPr>
              <w:autoSpaceDE w:val="0"/>
              <w:autoSpaceDN w:val="0"/>
              <w:adjustRightInd w:val="0"/>
              <w:rPr>
                <w:rFonts w:ascii="仿宋" w:hAnsi="仿宋" w:eastAsia="仿宋"/>
                <w:kern w:val="0"/>
                <w:szCs w:val="21"/>
              </w:rPr>
            </w:pPr>
            <w:r>
              <w:rPr>
                <w:rFonts w:hint="eastAsia" w:ascii="仿宋" w:hAnsi="仿宋" w:eastAsia="仿宋"/>
                <w:kern w:val="0"/>
                <w:szCs w:val="21"/>
              </w:rPr>
              <w:t>公里，主要包括水利工程、构筑物工程、补水工程、水生态工程、便民配套设施、绿化工程、灌溉工程、管线改移、征地拆迁等。</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顺义区龙道河及罗马湖</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北京市顺义区水务工程建设服务中心</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w:t>
            </w:r>
            <w:r>
              <w:rPr>
                <w:rFonts w:ascii="仿宋" w:hAnsi="仿宋" w:eastAsia="仿宋"/>
                <w:kern w:val="0"/>
                <w:szCs w:val="21"/>
              </w:rPr>
              <w:t>8</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025</w:t>
            </w:r>
            <w:r>
              <w:rPr>
                <w:rFonts w:hint="eastAsia" w:ascii="仿宋" w:hAnsi="仿宋" w:eastAsia="仿宋"/>
                <w:kern w:val="0"/>
                <w:szCs w:val="21"/>
              </w:rPr>
              <w:t>年6月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13</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七分干渠滨水景观提升工程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主要包括水草清除7292平方米，水生植物群落构建总面积约10334平方米，河道清淤4571.17立方米，新建步道3720平方米，绿化面积13636平方米，同步实施电气工程等</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旺泉街道</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区水务局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2023年11月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2024年6月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2354.84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14</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河道隐患消除工程（二期）</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河道岸坡修防护1824米、栏杆倾倒修复278米、路面修复47平方米、新建水簸箕8处、修复水簸箕8处、新建雨水口1处，修复雨水口1处，村支沟改造2处</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张镇、仁和镇、南彩镇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区水务局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2024年3月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2024年6月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5</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森林湿地生态片区建设工程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功能定向提升、生态保育区及湿地生态片区等工程建设</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顺义区森林湿地生态片区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6</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森林资源质量提升工程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平原区森林质量提升、浅山区森林健康经营等工程建设</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顺义区森林片区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7</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顺义区生物多样性调查与评估项目</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在顺义区域内开展生态系统多样性、物种多样性和入侵物种多样性本底调查，按照《区域生物多样性评价标准》等要求，利用调查结果对顺义区生物多样性状况进行分析和评估</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8</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ascii="仿宋" w:hAnsi="仿宋" w:eastAsia="仿宋"/>
                <w:kern w:val="0"/>
                <w:szCs w:val="21"/>
              </w:rPr>
              <w:t>城区绿化增量提质工程</w:t>
            </w:r>
          </w:p>
        </w:tc>
        <w:tc>
          <w:tcPr>
            <w:tcW w:w="4514" w:type="dxa"/>
            <w:tcBorders>
              <w:top w:val="single" w:color="auto" w:sz="4" w:space="0"/>
              <w:left w:val="single" w:color="auto" w:sz="4" w:space="0"/>
              <w:bottom w:val="single" w:color="auto" w:sz="4" w:space="0"/>
              <w:right w:val="single" w:color="auto" w:sz="8" w:space="0"/>
            </w:tcBorders>
          </w:tcPr>
          <w:p>
            <w:pPr>
              <w:autoSpaceDE w:val="0"/>
              <w:autoSpaceDN w:val="0"/>
              <w:adjustRightInd w:val="0"/>
              <w:rPr>
                <w:rFonts w:ascii="仿宋" w:hAnsi="仿宋" w:eastAsia="仿宋"/>
                <w:kern w:val="0"/>
                <w:szCs w:val="21"/>
              </w:rPr>
            </w:pPr>
            <w:r>
              <w:rPr>
                <w:rFonts w:hint="eastAsia" w:ascii="仿宋" w:hAnsi="仿宋" w:eastAsia="仿宋"/>
                <w:kern w:val="0"/>
                <w:szCs w:val="21"/>
              </w:rPr>
              <w:t>公园绿地、城市公园生态保育区、森林社区、林荫街道、绿荫停车场等工程建设和绿地裸土治理</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w:t>
            </w:r>
            <w:r>
              <w:rPr>
                <w:rFonts w:ascii="仿宋" w:hAnsi="仿宋" w:eastAsia="仿宋"/>
                <w:kern w:val="0"/>
                <w:szCs w:val="21"/>
              </w:rPr>
              <w:t>城区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9</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潮白河生态绿轴建设工程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万亩森林、城市生态公园、堤路森林质量提升等工程建设</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顺义区潮白河及其周边</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灰渣填埋场工程</w:t>
            </w:r>
          </w:p>
        </w:tc>
        <w:tc>
          <w:tcPr>
            <w:tcW w:w="4514" w:type="dxa"/>
            <w:tcBorders>
              <w:top w:val="single" w:color="auto" w:sz="4" w:space="0"/>
              <w:left w:val="single" w:color="auto" w:sz="4" w:space="0"/>
              <w:bottom w:val="single" w:color="auto" w:sz="4" w:space="0"/>
              <w:right w:val="single" w:color="auto" w:sz="8" w:space="0"/>
            </w:tcBorders>
            <w:vAlign w:val="center"/>
          </w:tcPr>
          <w:p>
            <w:pPr>
              <w:tabs>
                <w:tab w:val="left" w:pos="2940"/>
              </w:tabs>
              <w:autoSpaceDE w:val="0"/>
              <w:autoSpaceDN w:val="0"/>
              <w:adjustRightInd w:val="0"/>
              <w:rPr>
                <w:rFonts w:ascii="仿宋" w:hAnsi="仿宋" w:eastAsia="仿宋"/>
                <w:kern w:val="0"/>
                <w:szCs w:val="21"/>
              </w:rPr>
            </w:pPr>
            <w:r>
              <w:rPr>
                <w:rFonts w:hint="eastAsia" w:ascii="仿宋" w:hAnsi="仿宋" w:eastAsia="仿宋"/>
                <w:kern w:val="0"/>
                <w:szCs w:val="21"/>
              </w:rPr>
              <w:t>启动顺义区灰渣填埋场项目</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区城管委</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2026</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21</w:t>
            </w:r>
          </w:p>
        </w:tc>
        <w:tc>
          <w:tcPr>
            <w:tcW w:w="2007"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再生资源分拣中心项目</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启动再生资源分拣中心项目</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区城管委</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2026</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2</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建筑垃圾资源化项目</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推进建筑垃圾资源化处置厂前期手续办理工作</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区城管委</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2025</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23</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顺义新城第3</w:t>
            </w:r>
            <w:r>
              <w:rPr>
                <w:rFonts w:ascii="仿宋" w:hAnsi="仿宋" w:eastAsia="仿宋"/>
                <w:kern w:val="0"/>
                <w:szCs w:val="21"/>
              </w:rPr>
              <w:t>0</w:t>
            </w:r>
            <w:r>
              <w:rPr>
                <w:rFonts w:hint="eastAsia" w:ascii="仿宋" w:hAnsi="仿宋" w:eastAsia="仿宋"/>
                <w:kern w:val="0"/>
                <w:szCs w:val="21"/>
              </w:rPr>
              <w:t>街区市政排水系统综合改造工程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工程项目地点位于北小营镇水色时光小区附近，主要建设内容包括雨水工程、污水工程、道路破除及恢复工程、管线保护工程，同步实施给水、移动、燃气、联通、热力、电力等市政管线改移工程</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北小营镇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北小营镇人民政府</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年3月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2024</w:t>
            </w:r>
            <w:r>
              <w:rPr>
                <w:rFonts w:hint="eastAsia" w:ascii="仿宋" w:hAnsi="仿宋" w:eastAsia="仿宋"/>
                <w:kern w:val="0"/>
                <w:szCs w:val="21"/>
              </w:rPr>
              <w:t>年1</w:t>
            </w:r>
            <w:r>
              <w:rPr>
                <w:rFonts w:ascii="仿宋" w:hAnsi="仿宋" w:eastAsia="仿宋"/>
                <w:kern w:val="0"/>
                <w:szCs w:val="21"/>
              </w:rPr>
              <w:t>2</w:t>
            </w:r>
            <w:r>
              <w:rPr>
                <w:rFonts w:hint="eastAsia" w:ascii="仿宋" w:hAnsi="仿宋" w:eastAsia="仿宋"/>
                <w:kern w:val="0"/>
                <w:szCs w:val="21"/>
              </w:rPr>
              <w:t>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9</w:t>
            </w:r>
            <w:r>
              <w:rPr>
                <w:rFonts w:ascii="仿宋" w:hAnsi="仿宋" w:eastAsia="仿宋"/>
                <w:kern w:val="0"/>
                <w:szCs w:val="21"/>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restart"/>
            <w:tcBorders>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生态经济</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中国航发</w:t>
            </w:r>
            <w:r>
              <w:rPr>
                <w:rFonts w:ascii="仿宋" w:hAnsi="仿宋" w:eastAsia="仿宋"/>
                <w:kern w:val="0"/>
                <w:szCs w:val="21"/>
              </w:rPr>
              <w:t>叶片</w:t>
            </w:r>
            <w:r>
              <w:rPr>
                <w:rFonts w:hint="eastAsia" w:ascii="仿宋" w:hAnsi="仿宋" w:eastAsia="仿宋"/>
                <w:kern w:val="0"/>
                <w:szCs w:val="21"/>
              </w:rPr>
              <w:t>示范线建设项目</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ascii="仿宋" w:hAnsi="仿宋" w:eastAsia="仿宋"/>
                <w:kern w:val="0"/>
                <w:szCs w:val="21"/>
              </w:rPr>
              <w:t>建成技术先进、工序完整、布局合理、设备一流、过程稳定的叶片示范线，成为国内先进的叶片批生产技术开发、集成、培训与精确复制平台</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中关村顺义园</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中国航发北京有限公司</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021</w:t>
            </w:r>
            <w:r>
              <w:rPr>
                <w:rFonts w:hint="eastAsia" w:ascii="仿宋" w:hAnsi="仿宋" w:eastAsia="仿宋"/>
                <w:kern w:val="0"/>
                <w:szCs w:val="21"/>
              </w:rPr>
              <w:t>年1</w:t>
            </w:r>
            <w:r>
              <w:rPr>
                <w:rFonts w:ascii="仿宋" w:hAnsi="仿宋" w:eastAsia="仿宋"/>
                <w:kern w:val="0"/>
                <w:szCs w:val="21"/>
              </w:rPr>
              <w:t>2</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2024</w:t>
            </w:r>
            <w:r>
              <w:rPr>
                <w:rFonts w:hint="eastAsia" w:ascii="仿宋" w:hAnsi="仿宋" w:eastAsia="仿宋"/>
                <w:kern w:val="0"/>
                <w:szCs w:val="21"/>
              </w:rPr>
              <w:t>年9月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4</w:t>
            </w:r>
            <w:r>
              <w:rPr>
                <w:rFonts w:ascii="仿宋" w:hAnsi="仿宋" w:eastAsia="仿宋"/>
                <w:kern w:val="0"/>
                <w:szCs w:val="21"/>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5</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先进航</w:t>
            </w:r>
            <w:r>
              <w:rPr>
                <w:rFonts w:ascii="仿宋" w:hAnsi="仿宋" w:eastAsia="仿宋"/>
                <w:kern w:val="0"/>
                <w:szCs w:val="21"/>
              </w:rPr>
              <w:t>空预浸料生产能力提升建设项目</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新建</w:t>
            </w:r>
            <w:r>
              <w:rPr>
                <w:rFonts w:ascii="仿宋" w:hAnsi="仿宋" w:eastAsia="仿宋"/>
                <w:kern w:val="0"/>
                <w:szCs w:val="21"/>
              </w:rPr>
              <w:t>厂房24800平方米，建设预浸料生产、检验试验、信息化、仓储配送等单元，新增胶膜机、复合机、预浸料生产自动化系统、智能存储系统等</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中关村顺义园</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中航复合材料有限责任公司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022</w:t>
            </w:r>
            <w:r>
              <w:rPr>
                <w:rFonts w:hint="eastAsia" w:ascii="仿宋" w:hAnsi="仿宋" w:eastAsia="仿宋"/>
                <w:kern w:val="0"/>
                <w:szCs w:val="21"/>
              </w:rPr>
              <w:t>年</w:t>
            </w:r>
            <w:r>
              <w:rPr>
                <w:rFonts w:ascii="仿宋" w:hAnsi="仿宋" w:eastAsia="仿宋"/>
                <w:kern w:val="0"/>
                <w:szCs w:val="21"/>
              </w:rPr>
              <w:t>3</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2024</w:t>
            </w:r>
            <w:r>
              <w:rPr>
                <w:rFonts w:hint="eastAsia" w:ascii="仿宋" w:hAnsi="仿宋" w:eastAsia="仿宋"/>
                <w:kern w:val="0"/>
                <w:szCs w:val="21"/>
              </w:rPr>
              <w:t>年</w:t>
            </w:r>
            <w:r>
              <w:rPr>
                <w:rFonts w:ascii="仿宋" w:hAnsi="仿宋" w:eastAsia="仿宋"/>
                <w:kern w:val="0"/>
                <w:szCs w:val="21"/>
              </w:rPr>
              <w:t>8</w:t>
            </w:r>
            <w:r>
              <w:rPr>
                <w:rFonts w:hint="eastAsia" w:ascii="仿宋" w:hAnsi="仿宋" w:eastAsia="仿宋"/>
                <w:kern w:val="0"/>
                <w:szCs w:val="21"/>
              </w:rPr>
              <w:t>月</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6</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高丽营镇集中供热工程</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总建筑面积约</w:t>
            </w:r>
            <w:r>
              <w:rPr>
                <w:rFonts w:ascii="仿宋" w:hAnsi="仿宋" w:eastAsia="仿宋"/>
                <w:kern w:val="0"/>
                <w:szCs w:val="21"/>
              </w:rPr>
              <w:t>3998.8平方米，其中锅</w:t>
            </w:r>
            <w:r>
              <w:rPr>
                <w:rFonts w:hint="eastAsia" w:ascii="仿宋" w:hAnsi="仿宋" w:eastAsia="仿宋"/>
                <w:kern w:val="0"/>
                <w:szCs w:val="21"/>
              </w:rPr>
              <w:t>炉房</w:t>
            </w:r>
            <w:r>
              <w:rPr>
                <w:rFonts w:ascii="仿宋" w:hAnsi="仿宋" w:eastAsia="仿宋"/>
                <w:kern w:val="0"/>
                <w:szCs w:val="21"/>
              </w:rPr>
              <w:t>1座，辅助楼1座，燃气设备用房1</w:t>
            </w:r>
            <w:r>
              <w:rPr>
                <w:rFonts w:hint="eastAsia" w:ascii="仿宋" w:hAnsi="仿宋" w:eastAsia="仿宋"/>
                <w:kern w:val="0"/>
                <w:szCs w:val="21"/>
              </w:rPr>
              <w:t>座，地下设置消防水池及泵房</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高丽营镇</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高丽营镇政府</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2022</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2023</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7</w:t>
            </w:r>
            <w:r>
              <w:rPr>
                <w:rFonts w:ascii="仿宋" w:hAnsi="仿宋" w:eastAsia="仿宋"/>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生态文化</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27</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生态科普基地建设</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汉石桥湿地自然教育基地、国际鲜花港生态教育基地、潮白河综合科普教育基地、东郊湿地森林科普科研基地等建设</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8</w:t>
            </w:r>
            <w:r>
              <w:rPr>
                <w:rFonts w:ascii="仿宋" w:hAnsi="仿宋" w:eastAsia="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28</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生态文化活动建设</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生态文化节庆、生态宣传活动、义务植树等项目建设</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生态文明制度</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29</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排污许可证后监管咨询服务项目</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仿宋" w:hAnsi="仿宋" w:eastAsia="仿宋"/>
                <w:kern w:val="0"/>
                <w:szCs w:val="21"/>
              </w:rPr>
            </w:pPr>
            <w:r>
              <w:rPr>
                <w:rFonts w:hint="eastAsia" w:ascii="仿宋" w:hAnsi="仿宋" w:eastAsia="仿宋"/>
                <w:kern w:val="0"/>
                <w:szCs w:val="21"/>
              </w:rPr>
              <w:t>对顺义区已发排污许可证</w:t>
            </w:r>
            <w:r>
              <w:rPr>
                <w:rFonts w:hint="eastAsia" w:ascii="仿宋" w:hAnsi="仿宋" w:eastAsia="仿宋"/>
                <w:kern w:val="0"/>
                <w:szCs w:val="21"/>
                <w:lang w:eastAsia="zh-Hans"/>
              </w:rPr>
              <w:t>的</w:t>
            </w:r>
            <w:r>
              <w:rPr>
                <w:rFonts w:hint="eastAsia" w:ascii="仿宋" w:hAnsi="仿宋" w:eastAsia="仿宋"/>
                <w:kern w:val="0"/>
                <w:szCs w:val="21"/>
              </w:rPr>
              <w:t>企业开展证后监管和登记管理企业抽查工作，进一步完善排污许可证后监管制度，提升企业落实减排意识，辅助执法人员精准执法</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区生态环境局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r>
              <w:rPr>
                <w:rFonts w:ascii="仿宋" w:hAnsi="仿宋" w:eastAsia="仿宋"/>
                <w:kern w:val="0"/>
                <w:szCs w:val="21"/>
              </w:rPr>
              <w:t>7</w:t>
            </w:r>
            <w:r>
              <w:rPr>
                <w:rFonts w:hint="eastAsia" w:ascii="仿宋" w:hAnsi="仿宋" w:eastAsia="仿宋"/>
                <w:kern w:val="0"/>
                <w:szCs w:val="21"/>
              </w:rPr>
              <w:t>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024</w:t>
            </w:r>
            <w:r>
              <w:rPr>
                <w:rFonts w:hint="eastAsia" w:ascii="仿宋" w:hAnsi="仿宋" w:eastAsia="仿宋"/>
                <w:kern w:val="0"/>
                <w:szCs w:val="21"/>
              </w:rPr>
              <w:t>年</w:t>
            </w:r>
            <w:r>
              <w:rPr>
                <w:rFonts w:ascii="仿宋" w:hAnsi="仿宋" w:eastAsia="仿宋"/>
                <w:kern w:val="0"/>
                <w:szCs w:val="21"/>
              </w:rPr>
              <w:t>7</w:t>
            </w:r>
            <w:r>
              <w:rPr>
                <w:rFonts w:hint="eastAsia" w:ascii="仿宋" w:hAnsi="仿宋" w:eastAsia="仿宋"/>
                <w:kern w:val="0"/>
                <w:szCs w:val="21"/>
              </w:rPr>
              <w:t>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Cs w:val="21"/>
              </w:rPr>
            </w:pPr>
            <w:r>
              <w:rPr>
                <w:rFonts w:ascii="仿宋" w:hAnsi="仿宋" w:eastAsia="仿宋"/>
                <w:kern w:val="0"/>
                <w:szCs w:val="21"/>
              </w:rPr>
              <w:t>177.327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0</w:t>
            </w:r>
          </w:p>
        </w:tc>
        <w:tc>
          <w:tcPr>
            <w:tcW w:w="20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Cs w:val="21"/>
              </w:rPr>
            </w:pPr>
            <w:r>
              <w:rPr>
                <w:rFonts w:hint="eastAsia" w:ascii="仿宋" w:hAnsi="仿宋" w:eastAsia="仿宋"/>
                <w:kern w:val="0"/>
                <w:szCs w:val="21"/>
              </w:rPr>
              <w:t>科技支撑与信息化管理能力建设</w:t>
            </w:r>
          </w:p>
        </w:tc>
        <w:tc>
          <w:tcPr>
            <w:tcW w:w="4514"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kern w:val="0"/>
                <w:szCs w:val="21"/>
              </w:rPr>
            </w:pPr>
            <w:r>
              <w:rPr>
                <w:rFonts w:hint="eastAsia" w:ascii="仿宋" w:hAnsi="仿宋" w:eastAsia="仿宋"/>
                <w:kern w:val="0"/>
                <w:szCs w:val="21"/>
              </w:rPr>
              <w:t>林业与城市绿化智慧监测系统、生态旅游资源信息平台等项目</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顺义区</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区园林绿化局牵头</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023</w:t>
            </w:r>
            <w:r>
              <w:rPr>
                <w:rFonts w:hint="eastAsia" w:ascii="仿宋" w:hAnsi="仿宋" w:eastAsia="仿宋"/>
                <w:kern w:val="0"/>
                <w:szCs w:val="21"/>
              </w:rPr>
              <w:t>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2035</w:t>
            </w:r>
            <w:r>
              <w:rPr>
                <w:rFonts w:hint="eastAsia" w:ascii="仿宋" w:hAnsi="仿宋" w:eastAsia="仿宋"/>
                <w:kern w:val="0"/>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合计</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4514"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1139"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1134"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hint="eastAsia" w:ascii="仿宋" w:hAnsi="仿宋" w:eastAsia="仿宋"/>
                <w:kern w:val="0"/>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Cs w:val="21"/>
              </w:rPr>
            </w:pPr>
            <w:r>
              <w:rPr>
                <w:rFonts w:ascii="仿宋" w:hAnsi="仿宋" w:eastAsia="仿宋"/>
                <w:kern w:val="0"/>
                <w:szCs w:val="21"/>
              </w:rPr>
              <w:t>211757.6762</w:t>
            </w:r>
          </w:p>
        </w:tc>
      </w:tr>
    </w:tbl>
    <w:p>
      <w:pPr>
        <w:adjustRightInd w:val="0"/>
        <w:snapToGrid w:val="0"/>
        <w:spacing w:line="80" w:lineRule="exact"/>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415436"/>
    </w:sdtPr>
    <w:sdtContent>
      <w:p>
        <w:pPr>
          <w:pStyle w:val="16"/>
          <w:ind w:firstLine="360"/>
          <w:jc w:val="center"/>
        </w:pPr>
        <w:r>
          <w:fldChar w:fldCharType="begin"/>
        </w:r>
        <w:r>
          <w:instrText xml:space="preserve">PAGE   \* MERGEFORMAT</w:instrText>
        </w:r>
        <w:r>
          <w:fldChar w:fldCharType="separate"/>
        </w:r>
        <w: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t>12</w:t>
    </w:r>
    <w:r>
      <w:fldChar w:fldCharType="end"/>
    </w:r>
  </w:p>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t>18</w:t>
    </w:r>
    <w:r>
      <w:fldChar w:fldCharType="end"/>
    </w:r>
  </w:p>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t>20</w:t>
    </w:r>
    <w:r>
      <w:fldChar w:fldCharType="end"/>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C77"/>
    <w:multiLevelType w:val="multilevel"/>
    <w:tmpl w:val="09732C7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A103826"/>
    <w:multiLevelType w:val="multilevel"/>
    <w:tmpl w:val="0A103826"/>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3297A54"/>
    <w:multiLevelType w:val="multilevel"/>
    <w:tmpl w:val="33297A5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4A56ADE"/>
    <w:multiLevelType w:val="multilevel"/>
    <w:tmpl w:val="34A56ADE"/>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CF878F7"/>
    <w:multiLevelType w:val="multilevel"/>
    <w:tmpl w:val="4CF878F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E56409C"/>
    <w:multiLevelType w:val="multilevel"/>
    <w:tmpl w:val="5E56409C"/>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58559ED"/>
    <w:multiLevelType w:val="multilevel"/>
    <w:tmpl w:val="658559ED"/>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1522B64"/>
    <w:multiLevelType w:val="multilevel"/>
    <w:tmpl w:val="71522B6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2E21F5B"/>
    <w:multiLevelType w:val="multilevel"/>
    <w:tmpl w:val="72E21F5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2"/>
  </w:num>
  <w:num w:numId="3">
    <w:abstractNumId w:val="6"/>
  </w:num>
  <w:num w:numId="4">
    <w:abstractNumId w:val="0"/>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M2YxYmJjZTViZTAzNTYxNjM2ZjA5NmVkMDM3YTYifQ=="/>
  </w:docVars>
  <w:rsids>
    <w:rsidRoot w:val="001E2CFA"/>
    <w:rsid w:val="00000D5F"/>
    <w:rsid w:val="00001A7D"/>
    <w:rsid w:val="00003CF9"/>
    <w:rsid w:val="0000539F"/>
    <w:rsid w:val="00005BBA"/>
    <w:rsid w:val="00007DD9"/>
    <w:rsid w:val="00010C9C"/>
    <w:rsid w:val="00012B11"/>
    <w:rsid w:val="00013260"/>
    <w:rsid w:val="00015144"/>
    <w:rsid w:val="00016BAF"/>
    <w:rsid w:val="00016CA0"/>
    <w:rsid w:val="00017C53"/>
    <w:rsid w:val="00021A17"/>
    <w:rsid w:val="000224B6"/>
    <w:rsid w:val="000236D4"/>
    <w:rsid w:val="00024586"/>
    <w:rsid w:val="00025C72"/>
    <w:rsid w:val="00026660"/>
    <w:rsid w:val="00026848"/>
    <w:rsid w:val="00026A62"/>
    <w:rsid w:val="00026B4A"/>
    <w:rsid w:val="00027B9D"/>
    <w:rsid w:val="00030203"/>
    <w:rsid w:val="00030578"/>
    <w:rsid w:val="00030B76"/>
    <w:rsid w:val="00033ED9"/>
    <w:rsid w:val="000373F5"/>
    <w:rsid w:val="00040BB9"/>
    <w:rsid w:val="00040BDE"/>
    <w:rsid w:val="00042B01"/>
    <w:rsid w:val="00046419"/>
    <w:rsid w:val="000465E5"/>
    <w:rsid w:val="000507F2"/>
    <w:rsid w:val="00051678"/>
    <w:rsid w:val="0005215C"/>
    <w:rsid w:val="00054073"/>
    <w:rsid w:val="00055F4F"/>
    <w:rsid w:val="00057D94"/>
    <w:rsid w:val="0006018B"/>
    <w:rsid w:val="00061498"/>
    <w:rsid w:val="000628B3"/>
    <w:rsid w:val="00064385"/>
    <w:rsid w:val="00065CAC"/>
    <w:rsid w:val="000674F4"/>
    <w:rsid w:val="00067620"/>
    <w:rsid w:val="00067E0F"/>
    <w:rsid w:val="00071FD4"/>
    <w:rsid w:val="00075274"/>
    <w:rsid w:val="00075FD7"/>
    <w:rsid w:val="00076FC8"/>
    <w:rsid w:val="000828E9"/>
    <w:rsid w:val="000843CE"/>
    <w:rsid w:val="0008654D"/>
    <w:rsid w:val="00087D01"/>
    <w:rsid w:val="000902A9"/>
    <w:rsid w:val="00092491"/>
    <w:rsid w:val="00097E45"/>
    <w:rsid w:val="000A3530"/>
    <w:rsid w:val="000A4313"/>
    <w:rsid w:val="000A52CA"/>
    <w:rsid w:val="000A7892"/>
    <w:rsid w:val="000B03DF"/>
    <w:rsid w:val="000B0976"/>
    <w:rsid w:val="000B1A42"/>
    <w:rsid w:val="000B3A11"/>
    <w:rsid w:val="000B42CC"/>
    <w:rsid w:val="000B4F45"/>
    <w:rsid w:val="000B5193"/>
    <w:rsid w:val="000B6222"/>
    <w:rsid w:val="000B700C"/>
    <w:rsid w:val="000B79E0"/>
    <w:rsid w:val="000C0949"/>
    <w:rsid w:val="000C0CF4"/>
    <w:rsid w:val="000C0F7B"/>
    <w:rsid w:val="000C5ADB"/>
    <w:rsid w:val="000D2455"/>
    <w:rsid w:val="000D291A"/>
    <w:rsid w:val="000D3290"/>
    <w:rsid w:val="000D3A5D"/>
    <w:rsid w:val="000D5E93"/>
    <w:rsid w:val="000D6089"/>
    <w:rsid w:val="000D789C"/>
    <w:rsid w:val="000E117F"/>
    <w:rsid w:val="000E2ADF"/>
    <w:rsid w:val="000E39D4"/>
    <w:rsid w:val="000E5570"/>
    <w:rsid w:val="000E6944"/>
    <w:rsid w:val="000F16AE"/>
    <w:rsid w:val="000F2B07"/>
    <w:rsid w:val="000F4895"/>
    <w:rsid w:val="000F5BF1"/>
    <w:rsid w:val="000F7E70"/>
    <w:rsid w:val="000F7F17"/>
    <w:rsid w:val="001004C0"/>
    <w:rsid w:val="00100569"/>
    <w:rsid w:val="00100E37"/>
    <w:rsid w:val="00100FF9"/>
    <w:rsid w:val="00102E87"/>
    <w:rsid w:val="0010429B"/>
    <w:rsid w:val="00104A65"/>
    <w:rsid w:val="00104BE6"/>
    <w:rsid w:val="00106AD9"/>
    <w:rsid w:val="00107040"/>
    <w:rsid w:val="00111F36"/>
    <w:rsid w:val="0011232D"/>
    <w:rsid w:val="001123B7"/>
    <w:rsid w:val="0011292E"/>
    <w:rsid w:val="001150E7"/>
    <w:rsid w:val="00115136"/>
    <w:rsid w:val="00115150"/>
    <w:rsid w:val="001164F2"/>
    <w:rsid w:val="00116B77"/>
    <w:rsid w:val="00122302"/>
    <w:rsid w:val="00122D02"/>
    <w:rsid w:val="00123338"/>
    <w:rsid w:val="00123395"/>
    <w:rsid w:val="001241A2"/>
    <w:rsid w:val="00130552"/>
    <w:rsid w:val="001326B0"/>
    <w:rsid w:val="00134E6B"/>
    <w:rsid w:val="0013524F"/>
    <w:rsid w:val="001376C5"/>
    <w:rsid w:val="00141DC1"/>
    <w:rsid w:val="001460A7"/>
    <w:rsid w:val="00146BC2"/>
    <w:rsid w:val="0014739A"/>
    <w:rsid w:val="00156D7D"/>
    <w:rsid w:val="001614E3"/>
    <w:rsid w:val="001616BF"/>
    <w:rsid w:val="0016474A"/>
    <w:rsid w:val="00170D1C"/>
    <w:rsid w:val="00171145"/>
    <w:rsid w:val="00175F1A"/>
    <w:rsid w:val="001776B0"/>
    <w:rsid w:val="001807BA"/>
    <w:rsid w:val="00181133"/>
    <w:rsid w:val="001828CE"/>
    <w:rsid w:val="00182CAA"/>
    <w:rsid w:val="001838FE"/>
    <w:rsid w:val="00184F5D"/>
    <w:rsid w:val="001858DA"/>
    <w:rsid w:val="00187F0F"/>
    <w:rsid w:val="00194027"/>
    <w:rsid w:val="0019499F"/>
    <w:rsid w:val="00194D59"/>
    <w:rsid w:val="0019648F"/>
    <w:rsid w:val="00196676"/>
    <w:rsid w:val="001967FE"/>
    <w:rsid w:val="001A0B89"/>
    <w:rsid w:val="001A30BE"/>
    <w:rsid w:val="001A4403"/>
    <w:rsid w:val="001A4F84"/>
    <w:rsid w:val="001A5AD3"/>
    <w:rsid w:val="001B0315"/>
    <w:rsid w:val="001B17F0"/>
    <w:rsid w:val="001B60B3"/>
    <w:rsid w:val="001C0174"/>
    <w:rsid w:val="001C16E7"/>
    <w:rsid w:val="001C2189"/>
    <w:rsid w:val="001C4A7E"/>
    <w:rsid w:val="001C6971"/>
    <w:rsid w:val="001D24C5"/>
    <w:rsid w:val="001D2E69"/>
    <w:rsid w:val="001D51E6"/>
    <w:rsid w:val="001E0E41"/>
    <w:rsid w:val="001E160E"/>
    <w:rsid w:val="001E2CFA"/>
    <w:rsid w:val="001E69AB"/>
    <w:rsid w:val="001E6E1A"/>
    <w:rsid w:val="001E7171"/>
    <w:rsid w:val="001F0181"/>
    <w:rsid w:val="001F2296"/>
    <w:rsid w:val="001F2333"/>
    <w:rsid w:val="001F45AC"/>
    <w:rsid w:val="001F5B86"/>
    <w:rsid w:val="001F770B"/>
    <w:rsid w:val="00201081"/>
    <w:rsid w:val="00201507"/>
    <w:rsid w:val="002020BD"/>
    <w:rsid w:val="00203638"/>
    <w:rsid w:val="002064E2"/>
    <w:rsid w:val="0021026A"/>
    <w:rsid w:val="00213081"/>
    <w:rsid w:val="00217475"/>
    <w:rsid w:val="00217D61"/>
    <w:rsid w:val="00217FCA"/>
    <w:rsid w:val="00220981"/>
    <w:rsid w:val="0022772B"/>
    <w:rsid w:val="00227CCC"/>
    <w:rsid w:val="0023062B"/>
    <w:rsid w:val="00230656"/>
    <w:rsid w:val="002342C8"/>
    <w:rsid w:val="002358DE"/>
    <w:rsid w:val="00241D8B"/>
    <w:rsid w:val="00242E8F"/>
    <w:rsid w:val="00243F19"/>
    <w:rsid w:val="00243F64"/>
    <w:rsid w:val="002444A4"/>
    <w:rsid w:val="00244FC5"/>
    <w:rsid w:val="0024790C"/>
    <w:rsid w:val="00250099"/>
    <w:rsid w:val="00254F76"/>
    <w:rsid w:val="00255A45"/>
    <w:rsid w:val="00256E5E"/>
    <w:rsid w:val="00260AFC"/>
    <w:rsid w:val="0026124A"/>
    <w:rsid w:val="00261671"/>
    <w:rsid w:val="00261FC4"/>
    <w:rsid w:val="002620C2"/>
    <w:rsid w:val="00263167"/>
    <w:rsid w:val="002636C8"/>
    <w:rsid w:val="00265024"/>
    <w:rsid w:val="00270ACE"/>
    <w:rsid w:val="0027118A"/>
    <w:rsid w:val="00272709"/>
    <w:rsid w:val="0027270D"/>
    <w:rsid w:val="00274F88"/>
    <w:rsid w:val="00275A38"/>
    <w:rsid w:val="00275B2F"/>
    <w:rsid w:val="00280B9B"/>
    <w:rsid w:val="00283A95"/>
    <w:rsid w:val="00296048"/>
    <w:rsid w:val="002967AE"/>
    <w:rsid w:val="002976F4"/>
    <w:rsid w:val="00297BBA"/>
    <w:rsid w:val="002A1791"/>
    <w:rsid w:val="002A21BD"/>
    <w:rsid w:val="002A2937"/>
    <w:rsid w:val="002A374B"/>
    <w:rsid w:val="002A3FAF"/>
    <w:rsid w:val="002A454C"/>
    <w:rsid w:val="002A6E66"/>
    <w:rsid w:val="002B0527"/>
    <w:rsid w:val="002B0F1D"/>
    <w:rsid w:val="002B1359"/>
    <w:rsid w:val="002B5290"/>
    <w:rsid w:val="002B6DE8"/>
    <w:rsid w:val="002B7E86"/>
    <w:rsid w:val="002C08B5"/>
    <w:rsid w:val="002C25C0"/>
    <w:rsid w:val="002C2C1F"/>
    <w:rsid w:val="002C7347"/>
    <w:rsid w:val="002C7BFA"/>
    <w:rsid w:val="002D1F2E"/>
    <w:rsid w:val="002D472B"/>
    <w:rsid w:val="002D510F"/>
    <w:rsid w:val="002D651F"/>
    <w:rsid w:val="002D7A1D"/>
    <w:rsid w:val="002D7CA7"/>
    <w:rsid w:val="002E0973"/>
    <w:rsid w:val="002E0CF8"/>
    <w:rsid w:val="002E0F41"/>
    <w:rsid w:val="002E16E9"/>
    <w:rsid w:val="002E2960"/>
    <w:rsid w:val="002E2E88"/>
    <w:rsid w:val="002E3E6E"/>
    <w:rsid w:val="002E43BA"/>
    <w:rsid w:val="002E5098"/>
    <w:rsid w:val="002E6215"/>
    <w:rsid w:val="002E6347"/>
    <w:rsid w:val="002E6F4D"/>
    <w:rsid w:val="002F075C"/>
    <w:rsid w:val="002F0F27"/>
    <w:rsid w:val="002F29BF"/>
    <w:rsid w:val="002F5E54"/>
    <w:rsid w:val="002F6305"/>
    <w:rsid w:val="00300235"/>
    <w:rsid w:val="003022E0"/>
    <w:rsid w:val="003025FD"/>
    <w:rsid w:val="003046E6"/>
    <w:rsid w:val="0030493A"/>
    <w:rsid w:val="00306185"/>
    <w:rsid w:val="0030683A"/>
    <w:rsid w:val="00306AEE"/>
    <w:rsid w:val="00307D2D"/>
    <w:rsid w:val="0031029E"/>
    <w:rsid w:val="00311C74"/>
    <w:rsid w:val="003128D1"/>
    <w:rsid w:val="0031381B"/>
    <w:rsid w:val="00313D95"/>
    <w:rsid w:val="00315C68"/>
    <w:rsid w:val="00317EFD"/>
    <w:rsid w:val="00322B01"/>
    <w:rsid w:val="00323273"/>
    <w:rsid w:val="0032449D"/>
    <w:rsid w:val="00324FD1"/>
    <w:rsid w:val="00325AD5"/>
    <w:rsid w:val="003271AB"/>
    <w:rsid w:val="0033170B"/>
    <w:rsid w:val="00331E38"/>
    <w:rsid w:val="00332628"/>
    <w:rsid w:val="00332BBD"/>
    <w:rsid w:val="00335CFB"/>
    <w:rsid w:val="00336A95"/>
    <w:rsid w:val="00336ABB"/>
    <w:rsid w:val="00336CBC"/>
    <w:rsid w:val="003422F1"/>
    <w:rsid w:val="00344A08"/>
    <w:rsid w:val="00346EE3"/>
    <w:rsid w:val="003474F1"/>
    <w:rsid w:val="00352DD5"/>
    <w:rsid w:val="0035343B"/>
    <w:rsid w:val="00354855"/>
    <w:rsid w:val="00360F83"/>
    <w:rsid w:val="00361843"/>
    <w:rsid w:val="0036277C"/>
    <w:rsid w:val="003640E8"/>
    <w:rsid w:val="00364583"/>
    <w:rsid w:val="00364FF7"/>
    <w:rsid w:val="00366448"/>
    <w:rsid w:val="00366B9B"/>
    <w:rsid w:val="00367AD3"/>
    <w:rsid w:val="00370440"/>
    <w:rsid w:val="00374064"/>
    <w:rsid w:val="003743FA"/>
    <w:rsid w:val="0037448A"/>
    <w:rsid w:val="00374CE0"/>
    <w:rsid w:val="00375227"/>
    <w:rsid w:val="003768F1"/>
    <w:rsid w:val="00380357"/>
    <w:rsid w:val="00385397"/>
    <w:rsid w:val="003853AA"/>
    <w:rsid w:val="00385724"/>
    <w:rsid w:val="00390176"/>
    <w:rsid w:val="003917D0"/>
    <w:rsid w:val="00392770"/>
    <w:rsid w:val="00392B29"/>
    <w:rsid w:val="00395409"/>
    <w:rsid w:val="00396050"/>
    <w:rsid w:val="00397AEF"/>
    <w:rsid w:val="003A3D3A"/>
    <w:rsid w:val="003A4A7A"/>
    <w:rsid w:val="003A4C24"/>
    <w:rsid w:val="003A5222"/>
    <w:rsid w:val="003A56A2"/>
    <w:rsid w:val="003A7270"/>
    <w:rsid w:val="003B0454"/>
    <w:rsid w:val="003B0B56"/>
    <w:rsid w:val="003B45D7"/>
    <w:rsid w:val="003B6565"/>
    <w:rsid w:val="003C00CF"/>
    <w:rsid w:val="003C1C11"/>
    <w:rsid w:val="003C3A80"/>
    <w:rsid w:val="003C6266"/>
    <w:rsid w:val="003C62BF"/>
    <w:rsid w:val="003C63DC"/>
    <w:rsid w:val="003C7FC3"/>
    <w:rsid w:val="003D0589"/>
    <w:rsid w:val="003D3311"/>
    <w:rsid w:val="003D69E5"/>
    <w:rsid w:val="003D6A6F"/>
    <w:rsid w:val="003D6B7E"/>
    <w:rsid w:val="003D6C92"/>
    <w:rsid w:val="003E0FED"/>
    <w:rsid w:val="003E2BCF"/>
    <w:rsid w:val="003E3199"/>
    <w:rsid w:val="003E37B7"/>
    <w:rsid w:val="003E501D"/>
    <w:rsid w:val="003E5F79"/>
    <w:rsid w:val="003E6C93"/>
    <w:rsid w:val="003F05B3"/>
    <w:rsid w:val="003F13A5"/>
    <w:rsid w:val="003F2239"/>
    <w:rsid w:val="003F5749"/>
    <w:rsid w:val="003F5B8C"/>
    <w:rsid w:val="003F6ED3"/>
    <w:rsid w:val="003F79A0"/>
    <w:rsid w:val="00400657"/>
    <w:rsid w:val="00402A49"/>
    <w:rsid w:val="00402FB7"/>
    <w:rsid w:val="00403F24"/>
    <w:rsid w:val="00404CFB"/>
    <w:rsid w:val="004055C0"/>
    <w:rsid w:val="00407FC7"/>
    <w:rsid w:val="00410BD3"/>
    <w:rsid w:val="00410CA2"/>
    <w:rsid w:val="00411E9F"/>
    <w:rsid w:val="00420D99"/>
    <w:rsid w:val="00424EFA"/>
    <w:rsid w:val="00426D06"/>
    <w:rsid w:val="00431A5F"/>
    <w:rsid w:val="0043306F"/>
    <w:rsid w:val="00433291"/>
    <w:rsid w:val="00434724"/>
    <w:rsid w:val="00435B55"/>
    <w:rsid w:val="00437154"/>
    <w:rsid w:val="004400D3"/>
    <w:rsid w:val="0044048F"/>
    <w:rsid w:val="00441573"/>
    <w:rsid w:val="00447625"/>
    <w:rsid w:val="00453BB4"/>
    <w:rsid w:val="00453E39"/>
    <w:rsid w:val="004541F5"/>
    <w:rsid w:val="0045431E"/>
    <w:rsid w:val="00454AC3"/>
    <w:rsid w:val="00454E51"/>
    <w:rsid w:val="004552A3"/>
    <w:rsid w:val="004562C7"/>
    <w:rsid w:val="004606A8"/>
    <w:rsid w:val="00461460"/>
    <w:rsid w:val="0046170A"/>
    <w:rsid w:val="00461A7F"/>
    <w:rsid w:val="00464DC7"/>
    <w:rsid w:val="004658DE"/>
    <w:rsid w:val="00466671"/>
    <w:rsid w:val="00466C93"/>
    <w:rsid w:val="004672D9"/>
    <w:rsid w:val="00467C07"/>
    <w:rsid w:val="0047025F"/>
    <w:rsid w:val="004706C7"/>
    <w:rsid w:val="00470FA2"/>
    <w:rsid w:val="0047170B"/>
    <w:rsid w:val="00471E3F"/>
    <w:rsid w:val="00475FB2"/>
    <w:rsid w:val="0047662A"/>
    <w:rsid w:val="00481BC9"/>
    <w:rsid w:val="004840C4"/>
    <w:rsid w:val="00485185"/>
    <w:rsid w:val="004861D8"/>
    <w:rsid w:val="004867F6"/>
    <w:rsid w:val="00490F8C"/>
    <w:rsid w:val="004919BD"/>
    <w:rsid w:val="00492DB1"/>
    <w:rsid w:val="004940A0"/>
    <w:rsid w:val="00494208"/>
    <w:rsid w:val="00496356"/>
    <w:rsid w:val="00496F46"/>
    <w:rsid w:val="00497C7D"/>
    <w:rsid w:val="004A0894"/>
    <w:rsid w:val="004A0E78"/>
    <w:rsid w:val="004A1212"/>
    <w:rsid w:val="004A151C"/>
    <w:rsid w:val="004A1A47"/>
    <w:rsid w:val="004A1EBB"/>
    <w:rsid w:val="004A5564"/>
    <w:rsid w:val="004B1FCC"/>
    <w:rsid w:val="004B54D6"/>
    <w:rsid w:val="004B55EC"/>
    <w:rsid w:val="004B6958"/>
    <w:rsid w:val="004B731A"/>
    <w:rsid w:val="004C052C"/>
    <w:rsid w:val="004C19DF"/>
    <w:rsid w:val="004C2F72"/>
    <w:rsid w:val="004C4E6B"/>
    <w:rsid w:val="004D09A8"/>
    <w:rsid w:val="004D2FED"/>
    <w:rsid w:val="004D56FC"/>
    <w:rsid w:val="004D5DDE"/>
    <w:rsid w:val="004D64D6"/>
    <w:rsid w:val="004E088E"/>
    <w:rsid w:val="004E0BD8"/>
    <w:rsid w:val="004E153B"/>
    <w:rsid w:val="004E16D0"/>
    <w:rsid w:val="004E3611"/>
    <w:rsid w:val="004E6AFF"/>
    <w:rsid w:val="004F0820"/>
    <w:rsid w:val="004F2918"/>
    <w:rsid w:val="004F520A"/>
    <w:rsid w:val="004F5F8D"/>
    <w:rsid w:val="004F70BC"/>
    <w:rsid w:val="004F797A"/>
    <w:rsid w:val="004F7FDC"/>
    <w:rsid w:val="00500834"/>
    <w:rsid w:val="00500B85"/>
    <w:rsid w:val="00503AEC"/>
    <w:rsid w:val="00503F8E"/>
    <w:rsid w:val="00504B9C"/>
    <w:rsid w:val="00505BAC"/>
    <w:rsid w:val="00506ADE"/>
    <w:rsid w:val="0051155C"/>
    <w:rsid w:val="0051179A"/>
    <w:rsid w:val="00512B24"/>
    <w:rsid w:val="00513A39"/>
    <w:rsid w:val="00514C2E"/>
    <w:rsid w:val="005179BC"/>
    <w:rsid w:val="00517D6B"/>
    <w:rsid w:val="005207B5"/>
    <w:rsid w:val="00522234"/>
    <w:rsid w:val="00522623"/>
    <w:rsid w:val="00522AE9"/>
    <w:rsid w:val="00522E8C"/>
    <w:rsid w:val="00523D23"/>
    <w:rsid w:val="00524008"/>
    <w:rsid w:val="00524990"/>
    <w:rsid w:val="00524F37"/>
    <w:rsid w:val="00525399"/>
    <w:rsid w:val="00525915"/>
    <w:rsid w:val="00526B11"/>
    <w:rsid w:val="005310C7"/>
    <w:rsid w:val="00531260"/>
    <w:rsid w:val="0053496B"/>
    <w:rsid w:val="00535A7A"/>
    <w:rsid w:val="00540B0B"/>
    <w:rsid w:val="0054137E"/>
    <w:rsid w:val="00542BEC"/>
    <w:rsid w:val="0054333A"/>
    <w:rsid w:val="0054360E"/>
    <w:rsid w:val="005450E6"/>
    <w:rsid w:val="005468C7"/>
    <w:rsid w:val="00550DA9"/>
    <w:rsid w:val="005513B8"/>
    <w:rsid w:val="005517AF"/>
    <w:rsid w:val="00560C85"/>
    <w:rsid w:val="00561207"/>
    <w:rsid w:val="0056304D"/>
    <w:rsid w:val="00563331"/>
    <w:rsid w:val="005644D0"/>
    <w:rsid w:val="00567E2B"/>
    <w:rsid w:val="005717F6"/>
    <w:rsid w:val="00571CB6"/>
    <w:rsid w:val="00572000"/>
    <w:rsid w:val="005724AE"/>
    <w:rsid w:val="005729AB"/>
    <w:rsid w:val="00572E68"/>
    <w:rsid w:val="005805AF"/>
    <w:rsid w:val="00582423"/>
    <w:rsid w:val="00584C00"/>
    <w:rsid w:val="005900DE"/>
    <w:rsid w:val="00590376"/>
    <w:rsid w:val="00590590"/>
    <w:rsid w:val="0059073F"/>
    <w:rsid w:val="00590C16"/>
    <w:rsid w:val="00593313"/>
    <w:rsid w:val="00593DE2"/>
    <w:rsid w:val="00593EA3"/>
    <w:rsid w:val="005945EA"/>
    <w:rsid w:val="00595A4B"/>
    <w:rsid w:val="00597E28"/>
    <w:rsid w:val="005A0A9C"/>
    <w:rsid w:val="005A181C"/>
    <w:rsid w:val="005A220E"/>
    <w:rsid w:val="005A2A6C"/>
    <w:rsid w:val="005A2C32"/>
    <w:rsid w:val="005A5CB8"/>
    <w:rsid w:val="005A6538"/>
    <w:rsid w:val="005A7F3A"/>
    <w:rsid w:val="005B05B2"/>
    <w:rsid w:val="005B175B"/>
    <w:rsid w:val="005B3366"/>
    <w:rsid w:val="005B3EEF"/>
    <w:rsid w:val="005B5B1D"/>
    <w:rsid w:val="005B6D45"/>
    <w:rsid w:val="005B738F"/>
    <w:rsid w:val="005C01FF"/>
    <w:rsid w:val="005C31BF"/>
    <w:rsid w:val="005C36EC"/>
    <w:rsid w:val="005C42F1"/>
    <w:rsid w:val="005C6A72"/>
    <w:rsid w:val="005C6B2E"/>
    <w:rsid w:val="005C7589"/>
    <w:rsid w:val="005D19E2"/>
    <w:rsid w:val="005D23A5"/>
    <w:rsid w:val="005D3E7D"/>
    <w:rsid w:val="005D4633"/>
    <w:rsid w:val="005D5B21"/>
    <w:rsid w:val="005D73EB"/>
    <w:rsid w:val="005E2490"/>
    <w:rsid w:val="005E2ACB"/>
    <w:rsid w:val="005E4343"/>
    <w:rsid w:val="005E7077"/>
    <w:rsid w:val="005E7C2E"/>
    <w:rsid w:val="005E7FDA"/>
    <w:rsid w:val="005F26F0"/>
    <w:rsid w:val="005F3274"/>
    <w:rsid w:val="005F374B"/>
    <w:rsid w:val="005F4E40"/>
    <w:rsid w:val="005F73D1"/>
    <w:rsid w:val="005F7B4B"/>
    <w:rsid w:val="00603127"/>
    <w:rsid w:val="006046B2"/>
    <w:rsid w:val="00604924"/>
    <w:rsid w:val="00605643"/>
    <w:rsid w:val="00607A4E"/>
    <w:rsid w:val="0061177E"/>
    <w:rsid w:val="006118FF"/>
    <w:rsid w:val="00611F9D"/>
    <w:rsid w:val="006149DB"/>
    <w:rsid w:val="006207F9"/>
    <w:rsid w:val="0062236A"/>
    <w:rsid w:val="006243BF"/>
    <w:rsid w:val="00624CFF"/>
    <w:rsid w:val="00627CB8"/>
    <w:rsid w:val="00631CB1"/>
    <w:rsid w:val="00632396"/>
    <w:rsid w:val="00636081"/>
    <w:rsid w:val="0063699B"/>
    <w:rsid w:val="00636EC5"/>
    <w:rsid w:val="00637076"/>
    <w:rsid w:val="006374CC"/>
    <w:rsid w:val="006422C1"/>
    <w:rsid w:val="00642A2D"/>
    <w:rsid w:val="00642E4D"/>
    <w:rsid w:val="00645642"/>
    <w:rsid w:val="0065235B"/>
    <w:rsid w:val="0065368A"/>
    <w:rsid w:val="00655666"/>
    <w:rsid w:val="00655F16"/>
    <w:rsid w:val="00656CEE"/>
    <w:rsid w:val="00660BA7"/>
    <w:rsid w:val="00660DD2"/>
    <w:rsid w:val="00660DE5"/>
    <w:rsid w:val="00664397"/>
    <w:rsid w:val="00664489"/>
    <w:rsid w:val="0066661B"/>
    <w:rsid w:val="00667067"/>
    <w:rsid w:val="00670F5B"/>
    <w:rsid w:val="0067171B"/>
    <w:rsid w:val="006719A1"/>
    <w:rsid w:val="006730A2"/>
    <w:rsid w:val="00673B19"/>
    <w:rsid w:val="0067417D"/>
    <w:rsid w:val="00674B6B"/>
    <w:rsid w:val="00676907"/>
    <w:rsid w:val="006800FF"/>
    <w:rsid w:val="00680D50"/>
    <w:rsid w:val="00682648"/>
    <w:rsid w:val="0068302C"/>
    <w:rsid w:val="00683D39"/>
    <w:rsid w:val="00683FB8"/>
    <w:rsid w:val="006861F8"/>
    <w:rsid w:val="006910ED"/>
    <w:rsid w:val="00691CA5"/>
    <w:rsid w:val="006945E5"/>
    <w:rsid w:val="00694701"/>
    <w:rsid w:val="00696A1F"/>
    <w:rsid w:val="006A0C37"/>
    <w:rsid w:val="006A1955"/>
    <w:rsid w:val="006A1B9E"/>
    <w:rsid w:val="006A2D5C"/>
    <w:rsid w:val="006A2E28"/>
    <w:rsid w:val="006A66C2"/>
    <w:rsid w:val="006A6C89"/>
    <w:rsid w:val="006B1D1D"/>
    <w:rsid w:val="006B27F9"/>
    <w:rsid w:val="006B2C21"/>
    <w:rsid w:val="006B2F2A"/>
    <w:rsid w:val="006B4005"/>
    <w:rsid w:val="006B40D2"/>
    <w:rsid w:val="006B45AF"/>
    <w:rsid w:val="006B51BC"/>
    <w:rsid w:val="006B5AEA"/>
    <w:rsid w:val="006C0198"/>
    <w:rsid w:val="006C3762"/>
    <w:rsid w:val="006C3879"/>
    <w:rsid w:val="006C3A52"/>
    <w:rsid w:val="006C638C"/>
    <w:rsid w:val="006D1008"/>
    <w:rsid w:val="006D11D5"/>
    <w:rsid w:val="006D3448"/>
    <w:rsid w:val="006D6002"/>
    <w:rsid w:val="006E29CA"/>
    <w:rsid w:val="006E4F17"/>
    <w:rsid w:val="006F07C5"/>
    <w:rsid w:val="006F0C91"/>
    <w:rsid w:val="006F26C9"/>
    <w:rsid w:val="006F582E"/>
    <w:rsid w:val="006F7EF8"/>
    <w:rsid w:val="007011B1"/>
    <w:rsid w:val="007021AF"/>
    <w:rsid w:val="007022C5"/>
    <w:rsid w:val="0070503A"/>
    <w:rsid w:val="007077C1"/>
    <w:rsid w:val="00711792"/>
    <w:rsid w:val="00711F6E"/>
    <w:rsid w:val="00712755"/>
    <w:rsid w:val="00715BA1"/>
    <w:rsid w:val="00716227"/>
    <w:rsid w:val="00717D80"/>
    <w:rsid w:val="00721F1C"/>
    <w:rsid w:val="00722A1B"/>
    <w:rsid w:val="00726DA1"/>
    <w:rsid w:val="00727DD5"/>
    <w:rsid w:val="00731004"/>
    <w:rsid w:val="00731A79"/>
    <w:rsid w:val="00732DF6"/>
    <w:rsid w:val="007345A8"/>
    <w:rsid w:val="00741A9F"/>
    <w:rsid w:val="00744426"/>
    <w:rsid w:val="00745867"/>
    <w:rsid w:val="0074602C"/>
    <w:rsid w:val="0074653A"/>
    <w:rsid w:val="00747477"/>
    <w:rsid w:val="007519F8"/>
    <w:rsid w:val="00751B4B"/>
    <w:rsid w:val="00751F77"/>
    <w:rsid w:val="0075358A"/>
    <w:rsid w:val="00754001"/>
    <w:rsid w:val="007543D0"/>
    <w:rsid w:val="00754BB6"/>
    <w:rsid w:val="00755D59"/>
    <w:rsid w:val="00757548"/>
    <w:rsid w:val="0076046F"/>
    <w:rsid w:val="00765B30"/>
    <w:rsid w:val="00765C9E"/>
    <w:rsid w:val="00772010"/>
    <w:rsid w:val="0077475B"/>
    <w:rsid w:val="00776D2A"/>
    <w:rsid w:val="00776E03"/>
    <w:rsid w:val="00781692"/>
    <w:rsid w:val="00782E9E"/>
    <w:rsid w:val="007838A0"/>
    <w:rsid w:val="00784FE6"/>
    <w:rsid w:val="007860F1"/>
    <w:rsid w:val="00786CBD"/>
    <w:rsid w:val="0079007E"/>
    <w:rsid w:val="00792358"/>
    <w:rsid w:val="0079488B"/>
    <w:rsid w:val="007961C2"/>
    <w:rsid w:val="007965FF"/>
    <w:rsid w:val="007966BA"/>
    <w:rsid w:val="007A0633"/>
    <w:rsid w:val="007A2021"/>
    <w:rsid w:val="007A38A1"/>
    <w:rsid w:val="007A3E14"/>
    <w:rsid w:val="007A4390"/>
    <w:rsid w:val="007A5548"/>
    <w:rsid w:val="007A6539"/>
    <w:rsid w:val="007A6956"/>
    <w:rsid w:val="007A6E0D"/>
    <w:rsid w:val="007B375D"/>
    <w:rsid w:val="007B4A83"/>
    <w:rsid w:val="007B50ED"/>
    <w:rsid w:val="007B63A5"/>
    <w:rsid w:val="007B6F92"/>
    <w:rsid w:val="007B6FEC"/>
    <w:rsid w:val="007C1DD7"/>
    <w:rsid w:val="007C52C6"/>
    <w:rsid w:val="007D0FDF"/>
    <w:rsid w:val="007D1423"/>
    <w:rsid w:val="007D43A0"/>
    <w:rsid w:val="007D5B4D"/>
    <w:rsid w:val="007D5E03"/>
    <w:rsid w:val="007D6763"/>
    <w:rsid w:val="007E30B9"/>
    <w:rsid w:val="007E5DBC"/>
    <w:rsid w:val="007E6FDA"/>
    <w:rsid w:val="007F18BF"/>
    <w:rsid w:val="007F1F42"/>
    <w:rsid w:val="007F2A58"/>
    <w:rsid w:val="007F4EB2"/>
    <w:rsid w:val="007F6CE8"/>
    <w:rsid w:val="007F7F02"/>
    <w:rsid w:val="007F7F7F"/>
    <w:rsid w:val="008012E7"/>
    <w:rsid w:val="008026B5"/>
    <w:rsid w:val="00804ADB"/>
    <w:rsid w:val="00810AC4"/>
    <w:rsid w:val="0081217A"/>
    <w:rsid w:val="0081241A"/>
    <w:rsid w:val="00814111"/>
    <w:rsid w:val="00815F8A"/>
    <w:rsid w:val="00815FB2"/>
    <w:rsid w:val="008161CD"/>
    <w:rsid w:val="0081620E"/>
    <w:rsid w:val="00816C27"/>
    <w:rsid w:val="00820300"/>
    <w:rsid w:val="0082261B"/>
    <w:rsid w:val="0082734B"/>
    <w:rsid w:val="008300D8"/>
    <w:rsid w:val="0083176C"/>
    <w:rsid w:val="00833B29"/>
    <w:rsid w:val="0083420C"/>
    <w:rsid w:val="00834396"/>
    <w:rsid w:val="00834D58"/>
    <w:rsid w:val="00835CCA"/>
    <w:rsid w:val="00837EBC"/>
    <w:rsid w:val="0084073E"/>
    <w:rsid w:val="00841533"/>
    <w:rsid w:val="00841AF4"/>
    <w:rsid w:val="0084367E"/>
    <w:rsid w:val="00844E22"/>
    <w:rsid w:val="008465AD"/>
    <w:rsid w:val="00846C15"/>
    <w:rsid w:val="00846C40"/>
    <w:rsid w:val="00852F77"/>
    <w:rsid w:val="00855F9B"/>
    <w:rsid w:val="00857131"/>
    <w:rsid w:val="0086090A"/>
    <w:rsid w:val="0086154F"/>
    <w:rsid w:val="00861EB2"/>
    <w:rsid w:val="00862AC7"/>
    <w:rsid w:val="00862EA1"/>
    <w:rsid w:val="00863B5A"/>
    <w:rsid w:val="00867E7B"/>
    <w:rsid w:val="00867F3D"/>
    <w:rsid w:val="00870188"/>
    <w:rsid w:val="00870ED9"/>
    <w:rsid w:val="00871350"/>
    <w:rsid w:val="00871C5F"/>
    <w:rsid w:val="00871C98"/>
    <w:rsid w:val="00872EA1"/>
    <w:rsid w:val="008743DB"/>
    <w:rsid w:val="00874F97"/>
    <w:rsid w:val="00876286"/>
    <w:rsid w:val="008828F0"/>
    <w:rsid w:val="00882D5C"/>
    <w:rsid w:val="0088356E"/>
    <w:rsid w:val="0088656B"/>
    <w:rsid w:val="008865FF"/>
    <w:rsid w:val="0088671C"/>
    <w:rsid w:val="00886A31"/>
    <w:rsid w:val="00887B50"/>
    <w:rsid w:val="00890D99"/>
    <w:rsid w:val="008912FE"/>
    <w:rsid w:val="00891B92"/>
    <w:rsid w:val="00893F33"/>
    <w:rsid w:val="00894431"/>
    <w:rsid w:val="00895AFB"/>
    <w:rsid w:val="008977E6"/>
    <w:rsid w:val="008A292C"/>
    <w:rsid w:val="008A2FC7"/>
    <w:rsid w:val="008A3918"/>
    <w:rsid w:val="008A534F"/>
    <w:rsid w:val="008B2C42"/>
    <w:rsid w:val="008B4FF9"/>
    <w:rsid w:val="008B5545"/>
    <w:rsid w:val="008C104A"/>
    <w:rsid w:val="008C1939"/>
    <w:rsid w:val="008C32B7"/>
    <w:rsid w:val="008C63CB"/>
    <w:rsid w:val="008D0025"/>
    <w:rsid w:val="008D046F"/>
    <w:rsid w:val="008D134E"/>
    <w:rsid w:val="008D1B05"/>
    <w:rsid w:val="008D1C29"/>
    <w:rsid w:val="008D3C53"/>
    <w:rsid w:val="008D3F71"/>
    <w:rsid w:val="008D43F1"/>
    <w:rsid w:val="008D4A7D"/>
    <w:rsid w:val="008D5ADA"/>
    <w:rsid w:val="008D7187"/>
    <w:rsid w:val="008D7CD5"/>
    <w:rsid w:val="008D7F68"/>
    <w:rsid w:val="008E106B"/>
    <w:rsid w:val="008E24F6"/>
    <w:rsid w:val="008E3D5C"/>
    <w:rsid w:val="008F0975"/>
    <w:rsid w:val="008F37BD"/>
    <w:rsid w:val="008F4AA7"/>
    <w:rsid w:val="008F5016"/>
    <w:rsid w:val="008F5BB1"/>
    <w:rsid w:val="008F5CC5"/>
    <w:rsid w:val="008F66E6"/>
    <w:rsid w:val="008F67E0"/>
    <w:rsid w:val="008F6F5C"/>
    <w:rsid w:val="008F77A6"/>
    <w:rsid w:val="00903116"/>
    <w:rsid w:val="009042CA"/>
    <w:rsid w:val="00904365"/>
    <w:rsid w:val="009068F3"/>
    <w:rsid w:val="00906E7B"/>
    <w:rsid w:val="00907D78"/>
    <w:rsid w:val="00915285"/>
    <w:rsid w:val="00916DAD"/>
    <w:rsid w:val="009176FD"/>
    <w:rsid w:val="00920956"/>
    <w:rsid w:val="009229BD"/>
    <w:rsid w:val="00924512"/>
    <w:rsid w:val="00924B6A"/>
    <w:rsid w:val="0092669F"/>
    <w:rsid w:val="00932356"/>
    <w:rsid w:val="0093437A"/>
    <w:rsid w:val="009348A9"/>
    <w:rsid w:val="009350D6"/>
    <w:rsid w:val="009369E4"/>
    <w:rsid w:val="00936F6C"/>
    <w:rsid w:val="0094066B"/>
    <w:rsid w:val="0094295B"/>
    <w:rsid w:val="00944169"/>
    <w:rsid w:val="009445E8"/>
    <w:rsid w:val="00944CCA"/>
    <w:rsid w:val="00946A55"/>
    <w:rsid w:val="00947736"/>
    <w:rsid w:val="00950FB6"/>
    <w:rsid w:val="00953469"/>
    <w:rsid w:val="009539AE"/>
    <w:rsid w:val="009617EC"/>
    <w:rsid w:val="00961ACF"/>
    <w:rsid w:val="009626B9"/>
    <w:rsid w:val="00962B1B"/>
    <w:rsid w:val="009632A0"/>
    <w:rsid w:val="0096703E"/>
    <w:rsid w:val="0097512E"/>
    <w:rsid w:val="009765E1"/>
    <w:rsid w:val="00982D0D"/>
    <w:rsid w:val="00983111"/>
    <w:rsid w:val="009861B1"/>
    <w:rsid w:val="0099016F"/>
    <w:rsid w:val="009902D7"/>
    <w:rsid w:val="009903E9"/>
    <w:rsid w:val="00990CE6"/>
    <w:rsid w:val="00991E6E"/>
    <w:rsid w:val="00993940"/>
    <w:rsid w:val="009A49C3"/>
    <w:rsid w:val="009A554E"/>
    <w:rsid w:val="009A6A2F"/>
    <w:rsid w:val="009A75EC"/>
    <w:rsid w:val="009B399D"/>
    <w:rsid w:val="009B3D0F"/>
    <w:rsid w:val="009B4C4D"/>
    <w:rsid w:val="009C06A8"/>
    <w:rsid w:val="009C26D3"/>
    <w:rsid w:val="009C2C55"/>
    <w:rsid w:val="009C2F13"/>
    <w:rsid w:val="009C6F99"/>
    <w:rsid w:val="009D1396"/>
    <w:rsid w:val="009D18F0"/>
    <w:rsid w:val="009D23F2"/>
    <w:rsid w:val="009D2D5F"/>
    <w:rsid w:val="009D2D99"/>
    <w:rsid w:val="009D3276"/>
    <w:rsid w:val="009D328A"/>
    <w:rsid w:val="009D4686"/>
    <w:rsid w:val="009D4F69"/>
    <w:rsid w:val="009D5CBD"/>
    <w:rsid w:val="009D6A68"/>
    <w:rsid w:val="009D77E3"/>
    <w:rsid w:val="009E31D5"/>
    <w:rsid w:val="009E3736"/>
    <w:rsid w:val="009E653D"/>
    <w:rsid w:val="009F067F"/>
    <w:rsid w:val="009F155C"/>
    <w:rsid w:val="009F4598"/>
    <w:rsid w:val="009F5DF9"/>
    <w:rsid w:val="009F6163"/>
    <w:rsid w:val="009F65F7"/>
    <w:rsid w:val="009F7317"/>
    <w:rsid w:val="009F7997"/>
    <w:rsid w:val="00A00F0B"/>
    <w:rsid w:val="00A01019"/>
    <w:rsid w:val="00A01CE0"/>
    <w:rsid w:val="00A02022"/>
    <w:rsid w:val="00A02DFB"/>
    <w:rsid w:val="00A050DF"/>
    <w:rsid w:val="00A057DB"/>
    <w:rsid w:val="00A06410"/>
    <w:rsid w:val="00A06852"/>
    <w:rsid w:val="00A07465"/>
    <w:rsid w:val="00A077EA"/>
    <w:rsid w:val="00A10797"/>
    <w:rsid w:val="00A111DE"/>
    <w:rsid w:val="00A117D8"/>
    <w:rsid w:val="00A138A5"/>
    <w:rsid w:val="00A1427E"/>
    <w:rsid w:val="00A15549"/>
    <w:rsid w:val="00A214F4"/>
    <w:rsid w:val="00A22636"/>
    <w:rsid w:val="00A22F2A"/>
    <w:rsid w:val="00A23970"/>
    <w:rsid w:val="00A2555E"/>
    <w:rsid w:val="00A2557F"/>
    <w:rsid w:val="00A27046"/>
    <w:rsid w:val="00A30229"/>
    <w:rsid w:val="00A31E98"/>
    <w:rsid w:val="00A35428"/>
    <w:rsid w:val="00A41A8A"/>
    <w:rsid w:val="00A43A13"/>
    <w:rsid w:val="00A44AB1"/>
    <w:rsid w:val="00A44B75"/>
    <w:rsid w:val="00A46A28"/>
    <w:rsid w:val="00A4727A"/>
    <w:rsid w:val="00A50993"/>
    <w:rsid w:val="00A52B2F"/>
    <w:rsid w:val="00A53C79"/>
    <w:rsid w:val="00A57BC2"/>
    <w:rsid w:val="00A60BC1"/>
    <w:rsid w:val="00A63F58"/>
    <w:rsid w:val="00A64712"/>
    <w:rsid w:val="00A6576C"/>
    <w:rsid w:val="00A659D4"/>
    <w:rsid w:val="00A65D88"/>
    <w:rsid w:val="00A6601B"/>
    <w:rsid w:val="00A660B5"/>
    <w:rsid w:val="00A66B9B"/>
    <w:rsid w:val="00A71E0A"/>
    <w:rsid w:val="00A729D4"/>
    <w:rsid w:val="00A73AB9"/>
    <w:rsid w:val="00A75A86"/>
    <w:rsid w:val="00A7661F"/>
    <w:rsid w:val="00A80D71"/>
    <w:rsid w:val="00A92134"/>
    <w:rsid w:val="00A936B3"/>
    <w:rsid w:val="00A93FBC"/>
    <w:rsid w:val="00A9674F"/>
    <w:rsid w:val="00A96EFB"/>
    <w:rsid w:val="00AA1C5A"/>
    <w:rsid w:val="00AA1CED"/>
    <w:rsid w:val="00AA25AF"/>
    <w:rsid w:val="00AA3CC7"/>
    <w:rsid w:val="00AA46B7"/>
    <w:rsid w:val="00AA5F1A"/>
    <w:rsid w:val="00AA7582"/>
    <w:rsid w:val="00AB3D7E"/>
    <w:rsid w:val="00AB449A"/>
    <w:rsid w:val="00AC02F8"/>
    <w:rsid w:val="00AC14D1"/>
    <w:rsid w:val="00AC3F79"/>
    <w:rsid w:val="00AC592E"/>
    <w:rsid w:val="00AC6DB0"/>
    <w:rsid w:val="00AD094D"/>
    <w:rsid w:val="00AD3B41"/>
    <w:rsid w:val="00AD4EB2"/>
    <w:rsid w:val="00AD5471"/>
    <w:rsid w:val="00AD6B7C"/>
    <w:rsid w:val="00AE1A5B"/>
    <w:rsid w:val="00AE2FD8"/>
    <w:rsid w:val="00AE3074"/>
    <w:rsid w:val="00AE3388"/>
    <w:rsid w:val="00AE364F"/>
    <w:rsid w:val="00AE491F"/>
    <w:rsid w:val="00AE7533"/>
    <w:rsid w:val="00AF113F"/>
    <w:rsid w:val="00AF23CE"/>
    <w:rsid w:val="00AF2D0E"/>
    <w:rsid w:val="00AF2F21"/>
    <w:rsid w:val="00AF5216"/>
    <w:rsid w:val="00AF5368"/>
    <w:rsid w:val="00AF57BD"/>
    <w:rsid w:val="00AF59DB"/>
    <w:rsid w:val="00B005E2"/>
    <w:rsid w:val="00B01EB4"/>
    <w:rsid w:val="00B03741"/>
    <w:rsid w:val="00B03A70"/>
    <w:rsid w:val="00B05004"/>
    <w:rsid w:val="00B05A41"/>
    <w:rsid w:val="00B06C42"/>
    <w:rsid w:val="00B07792"/>
    <w:rsid w:val="00B1168D"/>
    <w:rsid w:val="00B1215A"/>
    <w:rsid w:val="00B130F2"/>
    <w:rsid w:val="00B14360"/>
    <w:rsid w:val="00B1623B"/>
    <w:rsid w:val="00B16848"/>
    <w:rsid w:val="00B176A2"/>
    <w:rsid w:val="00B17B3B"/>
    <w:rsid w:val="00B20862"/>
    <w:rsid w:val="00B2193D"/>
    <w:rsid w:val="00B2298A"/>
    <w:rsid w:val="00B236AC"/>
    <w:rsid w:val="00B23792"/>
    <w:rsid w:val="00B2574E"/>
    <w:rsid w:val="00B305D5"/>
    <w:rsid w:val="00B307BA"/>
    <w:rsid w:val="00B32DD4"/>
    <w:rsid w:val="00B3525E"/>
    <w:rsid w:val="00B37CA0"/>
    <w:rsid w:val="00B40307"/>
    <w:rsid w:val="00B433C8"/>
    <w:rsid w:val="00B44BC5"/>
    <w:rsid w:val="00B4704C"/>
    <w:rsid w:val="00B504B2"/>
    <w:rsid w:val="00B5075A"/>
    <w:rsid w:val="00B551ED"/>
    <w:rsid w:val="00B61FE2"/>
    <w:rsid w:val="00B62699"/>
    <w:rsid w:val="00B627C3"/>
    <w:rsid w:val="00B643EE"/>
    <w:rsid w:val="00B652D7"/>
    <w:rsid w:val="00B6627B"/>
    <w:rsid w:val="00B666E7"/>
    <w:rsid w:val="00B679A9"/>
    <w:rsid w:val="00B67CF4"/>
    <w:rsid w:val="00B711B0"/>
    <w:rsid w:val="00B74CB6"/>
    <w:rsid w:val="00B74ED3"/>
    <w:rsid w:val="00B765B8"/>
    <w:rsid w:val="00B77162"/>
    <w:rsid w:val="00B83A34"/>
    <w:rsid w:val="00B84EDA"/>
    <w:rsid w:val="00B8583C"/>
    <w:rsid w:val="00B86189"/>
    <w:rsid w:val="00B8747D"/>
    <w:rsid w:val="00B948CC"/>
    <w:rsid w:val="00B95210"/>
    <w:rsid w:val="00B959E1"/>
    <w:rsid w:val="00B95ECC"/>
    <w:rsid w:val="00BA0BA3"/>
    <w:rsid w:val="00BA0DEC"/>
    <w:rsid w:val="00BA10A0"/>
    <w:rsid w:val="00BA173D"/>
    <w:rsid w:val="00BA1FB8"/>
    <w:rsid w:val="00BA5136"/>
    <w:rsid w:val="00BA5546"/>
    <w:rsid w:val="00BA5E4A"/>
    <w:rsid w:val="00BA7762"/>
    <w:rsid w:val="00BB0C44"/>
    <w:rsid w:val="00BB20ED"/>
    <w:rsid w:val="00BB2CA0"/>
    <w:rsid w:val="00BB5264"/>
    <w:rsid w:val="00BB778E"/>
    <w:rsid w:val="00BC26B3"/>
    <w:rsid w:val="00BC2E35"/>
    <w:rsid w:val="00BC4176"/>
    <w:rsid w:val="00BC6BE7"/>
    <w:rsid w:val="00BD4D65"/>
    <w:rsid w:val="00BD5596"/>
    <w:rsid w:val="00BE1C25"/>
    <w:rsid w:val="00BE20F2"/>
    <w:rsid w:val="00BE3213"/>
    <w:rsid w:val="00BE3545"/>
    <w:rsid w:val="00BE543A"/>
    <w:rsid w:val="00BE59A8"/>
    <w:rsid w:val="00BE5C56"/>
    <w:rsid w:val="00BE5E35"/>
    <w:rsid w:val="00BE7BB0"/>
    <w:rsid w:val="00BF469D"/>
    <w:rsid w:val="00C008A6"/>
    <w:rsid w:val="00C010BD"/>
    <w:rsid w:val="00C10899"/>
    <w:rsid w:val="00C10CAC"/>
    <w:rsid w:val="00C121E6"/>
    <w:rsid w:val="00C12396"/>
    <w:rsid w:val="00C17DE2"/>
    <w:rsid w:val="00C23C97"/>
    <w:rsid w:val="00C23E85"/>
    <w:rsid w:val="00C30E4F"/>
    <w:rsid w:val="00C33E7C"/>
    <w:rsid w:val="00C34641"/>
    <w:rsid w:val="00C35320"/>
    <w:rsid w:val="00C3534D"/>
    <w:rsid w:val="00C3583D"/>
    <w:rsid w:val="00C35DBE"/>
    <w:rsid w:val="00C36708"/>
    <w:rsid w:val="00C4294E"/>
    <w:rsid w:val="00C440BC"/>
    <w:rsid w:val="00C444B4"/>
    <w:rsid w:val="00C44592"/>
    <w:rsid w:val="00C467A9"/>
    <w:rsid w:val="00C4709E"/>
    <w:rsid w:val="00C51A9E"/>
    <w:rsid w:val="00C5676C"/>
    <w:rsid w:val="00C56966"/>
    <w:rsid w:val="00C6016A"/>
    <w:rsid w:val="00C6396C"/>
    <w:rsid w:val="00C66099"/>
    <w:rsid w:val="00C66C1D"/>
    <w:rsid w:val="00C673F2"/>
    <w:rsid w:val="00C70CE3"/>
    <w:rsid w:val="00C71014"/>
    <w:rsid w:val="00C71C0A"/>
    <w:rsid w:val="00C724EF"/>
    <w:rsid w:val="00C73294"/>
    <w:rsid w:val="00C73D3C"/>
    <w:rsid w:val="00C76308"/>
    <w:rsid w:val="00C771DA"/>
    <w:rsid w:val="00C77B10"/>
    <w:rsid w:val="00C82DC1"/>
    <w:rsid w:val="00C832A9"/>
    <w:rsid w:val="00C84AFB"/>
    <w:rsid w:val="00C86785"/>
    <w:rsid w:val="00C87C3C"/>
    <w:rsid w:val="00C927B7"/>
    <w:rsid w:val="00C93B5C"/>
    <w:rsid w:val="00C943A3"/>
    <w:rsid w:val="00C95AD5"/>
    <w:rsid w:val="00CA0290"/>
    <w:rsid w:val="00CA117A"/>
    <w:rsid w:val="00CA2790"/>
    <w:rsid w:val="00CA350D"/>
    <w:rsid w:val="00CA441B"/>
    <w:rsid w:val="00CA5646"/>
    <w:rsid w:val="00CA6A43"/>
    <w:rsid w:val="00CA6AF4"/>
    <w:rsid w:val="00CA6ECE"/>
    <w:rsid w:val="00CA7814"/>
    <w:rsid w:val="00CB02D1"/>
    <w:rsid w:val="00CB06DD"/>
    <w:rsid w:val="00CB1398"/>
    <w:rsid w:val="00CB2816"/>
    <w:rsid w:val="00CB359C"/>
    <w:rsid w:val="00CB528E"/>
    <w:rsid w:val="00CB6AF5"/>
    <w:rsid w:val="00CB7B4A"/>
    <w:rsid w:val="00CC055F"/>
    <w:rsid w:val="00CC0DE8"/>
    <w:rsid w:val="00CC14FF"/>
    <w:rsid w:val="00CC3140"/>
    <w:rsid w:val="00CC52F8"/>
    <w:rsid w:val="00CC5599"/>
    <w:rsid w:val="00CC6019"/>
    <w:rsid w:val="00CC78A6"/>
    <w:rsid w:val="00CD06DE"/>
    <w:rsid w:val="00CD0F7D"/>
    <w:rsid w:val="00CD3EFE"/>
    <w:rsid w:val="00CD5630"/>
    <w:rsid w:val="00CD5738"/>
    <w:rsid w:val="00CD5B64"/>
    <w:rsid w:val="00CD7233"/>
    <w:rsid w:val="00CD76E8"/>
    <w:rsid w:val="00CE042D"/>
    <w:rsid w:val="00CE0A0A"/>
    <w:rsid w:val="00CE0EF8"/>
    <w:rsid w:val="00CE2430"/>
    <w:rsid w:val="00CE2763"/>
    <w:rsid w:val="00CE6523"/>
    <w:rsid w:val="00CE67F4"/>
    <w:rsid w:val="00CE6E41"/>
    <w:rsid w:val="00CE7504"/>
    <w:rsid w:val="00CE7AC4"/>
    <w:rsid w:val="00CF0631"/>
    <w:rsid w:val="00CF32DC"/>
    <w:rsid w:val="00CF448B"/>
    <w:rsid w:val="00CF5210"/>
    <w:rsid w:val="00CF54C1"/>
    <w:rsid w:val="00CF746E"/>
    <w:rsid w:val="00D0109B"/>
    <w:rsid w:val="00D01444"/>
    <w:rsid w:val="00D02C43"/>
    <w:rsid w:val="00D04296"/>
    <w:rsid w:val="00D04DCA"/>
    <w:rsid w:val="00D05FFB"/>
    <w:rsid w:val="00D14C0F"/>
    <w:rsid w:val="00D17AB2"/>
    <w:rsid w:val="00D21198"/>
    <w:rsid w:val="00D21C76"/>
    <w:rsid w:val="00D22CB8"/>
    <w:rsid w:val="00D24D0F"/>
    <w:rsid w:val="00D25065"/>
    <w:rsid w:val="00D25D8A"/>
    <w:rsid w:val="00D26252"/>
    <w:rsid w:val="00D2655B"/>
    <w:rsid w:val="00D27D63"/>
    <w:rsid w:val="00D27DD0"/>
    <w:rsid w:val="00D31152"/>
    <w:rsid w:val="00D31C65"/>
    <w:rsid w:val="00D3205E"/>
    <w:rsid w:val="00D32586"/>
    <w:rsid w:val="00D33D7C"/>
    <w:rsid w:val="00D354DB"/>
    <w:rsid w:val="00D41BF5"/>
    <w:rsid w:val="00D42E8C"/>
    <w:rsid w:val="00D43269"/>
    <w:rsid w:val="00D43BE5"/>
    <w:rsid w:val="00D45EB8"/>
    <w:rsid w:val="00D512BB"/>
    <w:rsid w:val="00D519C5"/>
    <w:rsid w:val="00D52F0B"/>
    <w:rsid w:val="00D53873"/>
    <w:rsid w:val="00D538E6"/>
    <w:rsid w:val="00D54DB8"/>
    <w:rsid w:val="00D60130"/>
    <w:rsid w:val="00D6306F"/>
    <w:rsid w:val="00D63F36"/>
    <w:rsid w:val="00D647DF"/>
    <w:rsid w:val="00D657F6"/>
    <w:rsid w:val="00D66ED9"/>
    <w:rsid w:val="00D759F9"/>
    <w:rsid w:val="00D77138"/>
    <w:rsid w:val="00D774F6"/>
    <w:rsid w:val="00D80F3A"/>
    <w:rsid w:val="00D8162E"/>
    <w:rsid w:val="00D81A82"/>
    <w:rsid w:val="00D81DBC"/>
    <w:rsid w:val="00D826FE"/>
    <w:rsid w:val="00D84295"/>
    <w:rsid w:val="00D84D1D"/>
    <w:rsid w:val="00D85987"/>
    <w:rsid w:val="00D86A3D"/>
    <w:rsid w:val="00D90097"/>
    <w:rsid w:val="00D95496"/>
    <w:rsid w:val="00D956D4"/>
    <w:rsid w:val="00D974BC"/>
    <w:rsid w:val="00DA1099"/>
    <w:rsid w:val="00DA11EF"/>
    <w:rsid w:val="00DA38ED"/>
    <w:rsid w:val="00DA4445"/>
    <w:rsid w:val="00DA73A3"/>
    <w:rsid w:val="00DA7704"/>
    <w:rsid w:val="00DA7C60"/>
    <w:rsid w:val="00DB02C4"/>
    <w:rsid w:val="00DB0513"/>
    <w:rsid w:val="00DB1DB0"/>
    <w:rsid w:val="00DC12EC"/>
    <w:rsid w:val="00DC134C"/>
    <w:rsid w:val="00DC1AC3"/>
    <w:rsid w:val="00DC3578"/>
    <w:rsid w:val="00DC4142"/>
    <w:rsid w:val="00DC4A97"/>
    <w:rsid w:val="00DC6C62"/>
    <w:rsid w:val="00DC6E70"/>
    <w:rsid w:val="00DD323D"/>
    <w:rsid w:val="00DD57C6"/>
    <w:rsid w:val="00DD5C98"/>
    <w:rsid w:val="00DD6F7A"/>
    <w:rsid w:val="00DE0908"/>
    <w:rsid w:val="00DE0F96"/>
    <w:rsid w:val="00DE137E"/>
    <w:rsid w:val="00DE1573"/>
    <w:rsid w:val="00DE157D"/>
    <w:rsid w:val="00DE1AC6"/>
    <w:rsid w:val="00DE2437"/>
    <w:rsid w:val="00DE30A4"/>
    <w:rsid w:val="00DE379C"/>
    <w:rsid w:val="00DE521D"/>
    <w:rsid w:val="00DE5438"/>
    <w:rsid w:val="00DE588D"/>
    <w:rsid w:val="00DF3F1E"/>
    <w:rsid w:val="00DF6234"/>
    <w:rsid w:val="00E012D5"/>
    <w:rsid w:val="00E02BBB"/>
    <w:rsid w:val="00E0344A"/>
    <w:rsid w:val="00E035B6"/>
    <w:rsid w:val="00E036D3"/>
    <w:rsid w:val="00E058DA"/>
    <w:rsid w:val="00E06AE1"/>
    <w:rsid w:val="00E10376"/>
    <w:rsid w:val="00E14651"/>
    <w:rsid w:val="00E15F4C"/>
    <w:rsid w:val="00E2092F"/>
    <w:rsid w:val="00E2234B"/>
    <w:rsid w:val="00E22C0D"/>
    <w:rsid w:val="00E23507"/>
    <w:rsid w:val="00E23695"/>
    <w:rsid w:val="00E24778"/>
    <w:rsid w:val="00E25408"/>
    <w:rsid w:val="00E25F7C"/>
    <w:rsid w:val="00E27E74"/>
    <w:rsid w:val="00E3028F"/>
    <w:rsid w:val="00E3057B"/>
    <w:rsid w:val="00E309F8"/>
    <w:rsid w:val="00E30C81"/>
    <w:rsid w:val="00E33A43"/>
    <w:rsid w:val="00E3705D"/>
    <w:rsid w:val="00E40C07"/>
    <w:rsid w:val="00E4123A"/>
    <w:rsid w:val="00E41D1F"/>
    <w:rsid w:val="00E445A3"/>
    <w:rsid w:val="00E453F5"/>
    <w:rsid w:val="00E5054D"/>
    <w:rsid w:val="00E50B3E"/>
    <w:rsid w:val="00E53F64"/>
    <w:rsid w:val="00E56714"/>
    <w:rsid w:val="00E567D3"/>
    <w:rsid w:val="00E628FD"/>
    <w:rsid w:val="00E6769F"/>
    <w:rsid w:val="00E678B7"/>
    <w:rsid w:val="00E70FA1"/>
    <w:rsid w:val="00E71FC5"/>
    <w:rsid w:val="00E72AB3"/>
    <w:rsid w:val="00E73259"/>
    <w:rsid w:val="00E73A20"/>
    <w:rsid w:val="00E73C9E"/>
    <w:rsid w:val="00E74DB9"/>
    <w:rsid w:val="00E75A94"/>
    <w:rsid w:val="00E7632C"/>
    <w:rsid w:val="00E77597"/>
    <w:rsid w:val="00E80B45"/>
    <w:rsid w:val="00E81BC8"/>
    <w:rsid w:val="00E83D98"/>
    <w:rsid w:val="00E85278"/>
    <w:rsid w:val="00E855DF"/>
    <w:rsid w:val="00E85740"/>
    <w:rsid w:val="00E915E4"/>
    <w:rsid w:val="00E91EA4"/>
    <w:rsid w:val="00E933D1"/>
    <w:rsid w:val="00E93800"/>
    <w:rsid w:val="00E94812"/>
    <w:rsid w:val="00E9579F"/>
    <w:rsid w:val="00E9632B"/>
    <w:rsid w:val="00E9697E"/>
    <w:rsid w:val="00E97BAD"/>
    <w:rsid w:val="00EA00D7"/>
    <w:rsid w:val="00EA1189"/>
    <w:rsid w:val="00EA3488"/>
    <w:rsid w:val="00EA562B"/>
    <w:rsid w:val="00EA5E90"/>
    <w:rsid w:val="00EA6EBF"/>
    <w:rsid w:val="00EA7112"/>
    <w:rsid w:val="00EA78ED"/>
    <w:rsid w:val="00EA7AC5"/>
    <w:rsid w:val="00EA7BA7"/>
    <w:rsid w:val="00EB154F"/>
    <w:rsid w:val="00EB2457"/>
    <w:rsid w:val="00EB25D9"/>
    <w:rsid w:val="00EB493F"/>
    <w:rsid w:val="00EB5491"/>
    <w:rsid w:val="00EB723A"/>
    <w:rsid w:val="00EB779E"/>
    <w:rsid w:val="00EB7B03"/>
    <w:rsid w:val="00EC0077"/>
    <w:rsid w:val="00EC07CA"/>
    <w:rsid w:val="00EC0839"/>
    <w:rsid w:val="00EC31AF"/>
    <w:rsid w:val="00EC56DA"/>
    <w:rsid w:val="00EC588D"/>
    <w:rsid w:val="00ED166B"/>
    <w:rsid w:val="00ED2292"/>
    <w:rsid w:val="00EE0AC5"/>
    <w:rsid w:val="00EE1220"/>
    <w:rsid w:val="00EE2235"/>
    <w:rsid w:val="00EE244D"/>
    <w:rsid w:val="00EE2A6A"/>
    <w:rsid w:val="00EE3E5B"/>
    <w:rsid w:val="00EE67DC"/>
    <w:rsid w:val="00EE779D"/>
    <w:rsid w:val="00EF05E9"/>
    <w:rsid w:val="00EF11A3"/>
    <w:rsid w:val="00EF11F4"/>
    <w:rsid w:val="00EF30C2"/>
    <w:rsid w:val="00EF445F"/>
    <w:rsid w:val="00EF4629"/>
    <w:rsid w:val="00EF6A5E"/>
    <w:rsid w:val="00EF7C2C"/>
    <w:rsid w:val="00F00370"/>
    <w:rsid w:val="00F009DE"/>
    <w:rsid w:val="00F027F2"/>
    <w:rsid w:val="00F04D68"/>
    <w:rsid w:val="00F04DB2"/>
    <w:rsid w:val="00F05BFE"/>
    <w:rsid w:val="00F06979"/>
    <w:rsid w:val="00F0716B"/>
    <w:rsid w:val="00F12832"/>
    <w:rsid w:val="00F13012"/>
    <w:rsid w:val="00F14BD7"/>
    <w:rsid w:val="00F152DE"/>
    <w:rsid w:val="00F15D93"/>
    <w:rsid w:val="00F17292"/>
    <w:rsid w:val="00F17694"/>
    <w:rsid w:val="00F211AA"/>
    <w:rsid w:val="00F22D85"/>
    <w:rsid w:val="00F23D3A"/>
    <w:rsid w:val="00F33447"/>
    <w:rsid w:val="00F35018"/>
    <w:rsid w:val="00F36198"/>
    <w:rsid w:val="00F37BB5"/>
    <w:rsid w:val="00F403D8"/>
    <w:rsid w:val="00F41279"/>
    <w:rsid w:val="00F42DCD"/>
    <w:rsid w:val="00F43D81"/>
    <w:rsid w:val="00F45D32"/>
    <w:rsid w:val="00F46130"/>
    <w:rsid w:val="00F46EE4"/>
    <w:rsid w:val="00F5235B"/>
    <w:rsid w:val="00F57B19"/>
    <w:rsid w:val="00F62A72"/>
    <w:rsid w:val="00F64CF2"/>
    <w:rsid w:val="00F64EC8"/>
    <w:rsid w:val="00F656E6"/>
    <w:rsid w:val="00F660AE"/>
    <w:rsid w:val="00F66553"/>
    <w:rsid w:val="00F71463"/>
    <w:rsid w:val="00F72995"/>
    <w:rsid w:val="00F73E8B"/>
    <w:rsid w:val="00F759A0"/>
    <w:rsid w:val="00F75E66"/>
    <w:rsid w:val="00F7631C"/>
    <w:rsid w:val="00F7664B"/>
    <w:rsid w:val="00F77413"/>
    <w:rsid w:val="00F80A18"/>
    <w:rsid w:val="00F80C2F"/>
    <w:rsid w:val="00F80FD5"/>
    <w:rsid w:val="00F8385A"/>
    <w:rsid w:val="00F85FE3"/>
    <w:rsid w:val="00F86551"/>
    <w:rsid w:val="00F92C37"/>
    <w:rsid w:val="00F92E91"/>
    <w:rsid w:val="00F936A6"/>
    <w:rsid w:val="00F936AE"/>
    <w:rsid w:val="00F95494"/>
    <w:rsid w:val="00F9663A"/>
    <w:rsid w:val="00FA04D6"/>
    <w:rsid w:val="00FA0996"/>
    <w:rsid w:val="00FA176D"/>
    <w:rsid w:val="00FA2678"/>
    <w:rsid w:val="00FA32F2"/>
    <w:rsid w:val="00FA3BE9"/>
    <w:rsid w:val="00FA4343"/>
    <w:rsid w:val="00FB0468"/>
    <w:rsid w:val="00FB27BE"/>
    <w:rsid w:val="00FB2BE3"/>
    <w:rsid w:val="00FB3125"/>
    <w:rsid w:val="00FB4D3D"/>
    <w:rsid w:val="00FB4F5B"/>
    <w:rsid w:val="00FB6260"/>
    <w:rsid w:val="00FC5133"/>
    <w:rsid w:val="00FC7FA0"/>
    <w:rsid w:val="00FD1CA1"/>
    <w:rsid w:val="00FD2ADC"/>
    <w:rsid w:val="00FD4170"/>
    <w:rsid w:val="00FD5505"/>
    <w:rsid w:val="00FD5C6F"/>
    <w:rsid w:val="00FD651D"/>
    <w:rsid w:val="00FE061E"/>
    <w:rsid w:val="00FE0D53"/>
    <w:rsid w:val="00FE1F06"/>
    <w:rsid w:val="00FE328A"/>
    <w:rsid w:val="00FE3325"/>
    <w:rsid w:val="00FE3E4C"/>
    <w:rsid w:val="00FE606A"/>
    <w:rsid w:val="00FE73DD"/>
    <w:rsid w:val="00FF0B24"/>
    <w:rsid w:val="00FF289E"/>
    <w:rsid w:val="00FF31CA"/>
    <w:rsid w:val="00FF4EC7"/>
    <w:rsid w:val="0194463E"/>
    <w:rsid w:val="085C0BA7"/>
    <w:rsid w:val="0A827305"/>
    <w:rsid w:val="0EA951A5"/>
    <w:rsid w:val="0F3C4C20"/>
    <w:rsid w:val="16647A8B"/>
    <w:rsid w:val="202B6C76"/>
    <w:rsid w:val="20A01001"/>
    <w:rsid w:val="216A5A2A"/>
    <w:rsid w:val="34736FEF"/>
    <w:rsid w:val="374231E4"/>
    <w:rsid w:val="394D73AE"/>
    <w:rsid w:val="40524A93"/>
    <w:rsid w:val="43252782"/>
    <w:rsid w:val="475B077E"/>
    <w:rsid w:val="4AA15941"/>
    <w:rsid w:val="4EF52B3F"/>
    <w:rsid w:val="56856177"/>
    <w:rsid w:val="5E585739"/>
    <w:rsid w:val="5F3B1F6A"/>
    <w:rsid w:val="5F6F0692"/>
    <w:rsid w:val="6B6E6876"/>
    <w:rsid w:val="74AE585D"/>
    <w:rsid w:val="75CE5258"/>
    <w:rsid w:val="77C942F5"/>
    <w:rsid w:val="78FB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9"/>
    <w:pPr>
      <w:keepNext/>
      <w:keepLines/>
      <w:snapToGrid w:val="0"/>
      <w:spacing w:before="340" w:after="330"/>
      <w:ind w:left="-420" w:leftChars="-200" w:right="-420" w:rightChars="-200"/>
      <w:jc w:val="center"/>
      <w:outlineLvl w:val="0"/>
    </w:pPr>
    <w:rPr>
      <w:rFonts w:ascii="Calibri" w:hAnsi="Calibri" w:eastAsia="方正小标宋简体" w:cs="Times New Roman"/>
      <w:b/>
      <w:bCs/>
      <w:kern w:val="44"/>
      <w:sz w:val="36"/>
      <w:szCs w:val="44"/>
      <w:lang w:val="zh-CN"/>
    </w:rPr>
  </w:style>
  <w:style w:type="paragraph" w:styleId="3">
    <w:name w:val="heading 2"/>
    <w:basedOn w:val="1"/>
    <w:next w:val="1"/>
    <w:link w:val="35"/>
    <w:unhideWhenUsed/>
    <w:qFormat/>
    <w:uiPriority w:val="9"/>
    <w:pPr>
      <w:keepNext/>
      <w:keepLines/>
      <w:adjustRightInd w:val="0"/>
      <w:spacing w:before="160" w:after="160"/>
      <w:outlineLvl w:val="1"/>
    </w:pPr>
    <w:rPr>
      <w:rFonts w:asciiTheme="majorHAnsi" w:hAnsiTheme="majorHAnsi" w:eastAsiaTheme="majorEastAsia" w:cstheme="majorBidi"/>
      <w:b/>
      <w:bCs/>
      <w:sz w:val="32"/>
      <w:szCs w:val="32"/>
    </w:rPr>
  </w:style>
  <w:style w:type="paragraph" w:styleId="4">
    <w:name w:val="heading 3"/>
    <w:basedOn w:val="1"/>
    <w:next w:val="1"/>
    <w:link w:val="36"/>
    <w:qFormat/>
    <w:uiPriority w:val="9"/>
    <w:pPr>
      <w:keepNext/>
      <w:keepLines/>
      <w:adjustRightInd w:val="0"/>
      <w:snapToGrid w:val="0"/>
      <w:spacing w:line="560" w:lineRule="exact"/>
      <w:ind w:firstLine="200" w:firstLineChars="200"/>
      <w:jc w:val="left"/>
      <w:outlineLvl w:val="2"/>
    </w:pPr>
    <w:rPr>
      <w:rFonts w:ascii="Calibri" w:hAnsi="Calibri" w:eastAsia="仿宋_GB2312" w:cs="Times New Roman"/>
      <w:b/>
      <w:bCs/>
      <w:kern w:val="0"/>
      <w:sz w:val="28"/>
      <w:szCs w:val="32"/>
      <w:lang w:val="zh-CN" w:eastAsia="en-US"/>
    </w:rPr>
  </w:style>
  <w:style w:type="paragraph" w:styleId="5">
    <w:name w:val="heading 4"/>
    <w:basedOn w:val="1"/>
    <w:next w:val="1"/>
    <w:link w:val="37"/>
    <w:qFormat/>
    <w:uiPriority w:val="9"/>
    <w:pPr>
      <w:keepNext/>
      <w:keepLines/>
      <w:snapToGrid w:val="0"/>
      <w:spacing w:before="50" w:beforeLines="50" w:line="560" w:lineRule="exact"/>
      <w:ind w:firstLine="200" w:firstLineChars="200"/>
      <w:outlineLvl w:val="3"/>
    </w:pPr>
    <w:rPr>
      <w:rFonts w:ascii="Cambria" w:hAnsi="Cambria" w:eastAsia="仿宋_GB2312" w:cs="Times New Roman"/>
      <w:b/>
      <w:bCs/>
      <w:sz w:val="28"/>
      <w:szCs w:val="28"/>
      <w:lang w:val="zh-CN"/>
    </w:rPr>
  </w:style>
  <w:style w:type="paragraph" w:styleId="6">
    <w:name w:val="heading 5"/>
    <w:basedOn w:val="1"/>
    <w:next w:val="1"/>
    <w:link w:val="38"/>
    <w:qFormat/>
    <w:uiPriority w:val="9"/>
    <w:pPr>
      <w:keepNext/>
      <w:keepLines/>
      <w:snapToGrid w:val="0"/>
      <w:spacing w:before="280" w:after="290" w:line="376" w:lineRule="atLeast"/>
      <w:ind w:firstLine="200" w:firstLineChars="200"/>
      <w:outlineLvl w:val="4"/>
    </w:pPr>
    <w:rPr>
      <w:rFonts w:ascii="Times New Roman" w:hAnsi="Times New Roman" w:eastAsia="宋体" w:cs="Times New Roman"/>
      <w:b/>
      <w:bCs/>
      <w:kern w:val="0"/>
      <w:sz w:val="28"/>
      <w:szCs w:val="28"/>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Calibri" w:hAnsi="Calibri" w:eastAsia="宋体" w:cs="Times New Roman"/>
    </w:rPr>
  </w:style>
  <w:style w:type="paragraph" w:styleId="8">
    <w:name w:val="Normal Indent"/>
    <w:basedOn w:val="1"/>
    <w:next w:val="1"/>
    <w:qFormat/>
    <w:uiPriority w:val="0"/>
    <w:pPr>
      <w:autoSpaceDE w:val="0"/>
      <w:autoSpaceDN w:val="0"/>
      <w:adjustRightInd w:val="0"/>
      <w:spacing w:line="560" w:lineRule="exact"/>
      <w:ind w:firstLine="420" w:firstLineChars="200"/>
      <w:jc w:val="left"/>
    </w:pPr>
    <w:rPr>
      <w:rFonts w:ascii="宋体" w:eastAsia="仿宋_GB2312"/>
      <w:sz w:val="24"/>
    </w:rPr>
  </w:style>
  <w:style w:type="paragraph" w:styleId="9">
    <w:name w:val="Document Map"/>
    <w:basedOn w:val="1"/>
    <w:link w:val="69"/>
    <w:semiHidden/>
    <w:qFormat/>
    <w:uiPriority w:val="0"/>
    <w:pPr>
      <w:shd w:val="clear" w:color="auto" w:fill="000080"/>
      <w:snapToGrid w:val="0"/>
      <w:spacing w:line="560" w:lineRule="exact"/>
      <w:ind w:firstLine="200" w:firstLineChars="200"/>
    </w:pPr>
    <w:rPr>
      <w:rFonts w:ascii="Calibri" w:hAnsi="Calibri" w:eastAsia="仿宋_GB2312" w:cs="Times New Roman"/>
      <w:sz w:val="28"/>
    </w:rPr>
  </w:style>
  <w:style w:type="paragraph" w:styleId="10">
    <w:name w:val="annotation text"/>
    <w:basedOn w:val="1"/>
    <w:link w:val="39"/>
    <w:unhideWhenUsed/>
    <w:qFormat/>
    <w:uiPriority w:val="99"/>
    <w:pPr>
      <w:snapToGrid w:val="0"/>
      <w:spacing w:line="560" w:lineRule="exact"/>
      <w:ind w:firstLine="420" w:firstLineChars="200"/>
      <w:jc w:val="left"/>
    </w:pPr>
    <w:rPr>
      <w:rFonts w:ascii="Calibri" w:hAnsi="Calibri" w:eastAsia="仿宋_GB2312" w:cs="Times New Roman"/>
      <w:kern w:val="0"/>
      <w:sz w:val="28"/>
      <w:szCs w:val="20"/>
      <w:lang w:val="zh-CN"/>
    </w:rPr>
  </w:style>
  <w:style w:type="paragraph" w:styleId="11">
    <w:name w:val="toc 5"/>
    <w:basedOn w:val="1"/>
    <w:next w:val="1"/>
    <w:unhideWhenUsed/>
    <w:qFormat/>
    <w:uiPriority w:val="39"/>
    <w:pPr>
      <w:ind w:left="1680" w:leftChars="800"/>
    </w:pPr>
    <w:rPr>
      <w:rFonts w:ascii="Calibri" w:hAnsi="Calibri" w:eastAsia="宋体" w:cs="Times New Roman"/>
    </w:rPr>
  </w:style>
  <w:style w:type="paragraph" w:styleId="12">
    <w:name w:val="toc 3"/>
    <w:basedOn w:val="1"/>
    <w:next w:val="1"/>
    <w:unhideWhenUsed/>
    <w:qFormat/>
    <w:uiPriority w:val="39"/>
    <w:pPr>
      <w:snapToGrid w:val="0"/>
      <w:spacing w:line="560" w:lineRule="exact"/>
      <w:ind w:left="840" w:leftChars="400" w:firstLine="200" w:firstLineChars="200"/>
    </w:pPr>
    <w:rPr>
      <w:rFonts w:ascii="Calibri" w:hAnsi="Calibri" w:eastAsia="仿宋_GB2312" w:cs="Times New Roman"/>
      <w:sz w:val="28"/>
    </w:rPr>
  </w:style>
  <w:style w:type="paragraph" w:styleId="13">
    <w:name w:val="Plain Text"/>
    <w:basedOn w:val="1"/>
    <w:link w:val="40"/>
    <w:qFormat/>
    <w:uiPriority w:val="0"/>
    <w:rPr>
      <w:rFonts w:ascii="宋体" w:hAnsi="Courier New" w:eastAsia="宋体" w:cs="Times New Roman"/>
      <w:kern w:val="0"/>
      <w:sz w:val="20"/>
      <w:szCs w:val="20"/>
      <w:lang w:val="zh-CN"/>
    </w:rPr>
  </w:style>
  <w:style w:type="paragraph" w:styleId="14">
    <w:name w:val="toc 8"/>
    <w:basedOn w:val="1"/>
    <w:next w:val="1"/>
    <w:unhideWhenUsed/>
    <w:qFormat/>
    <w:uiPriority w:val="39"/>
    <w:pPr>
      <w:ind w:left="2940" w:leftChars="1400"/>
    </w:pPr>
    <w:rPr>
      <w:rFonts w:ascii="Calibri" w:hAnsi="Calibri" w:eastAsia="宋体" w:cs="Times New Roman"/>
    </w:rPr>
  </w:style>
  <w:style w:type="paragraph" w:styleId="15">
    <w:name w:val="Balloon Text"/>
    <w:basedOn w:val="1"/>
    <w:link w:val="41"/>
    <w:semiHidden/>
    <w:unhideWhenUsed/>
    <w:qFormat/>
    <w:uiPriority w:val="99"/>
    <w:pPr>
      <w:snapToGrid w:val="0"/>
      <w:spacing w:line="560" w:lineRule="exact"/>
      <w:ind w:firstLine="200" w:firstLineChars="200"/>
    </w:pPr>
    <w:rPr>
      <w:rFonts w:ascii="Calibri" w:hAnsi="Calibri" w:eastAsia="宋体" w:cs="Times New Roman"/>
      <w:kern w:val="0"/>
      <w:sz w:val="18"/>
      <w:szCs w:val="18"/>
      <w:lang w:val="zh-CN"/>
    </w:rPr>
  </w:style>
  <w:style w:type="paragraph" w:styleId="16">
    <w:name w:val="footer"/>
    <w:basedOn w:val="1"/>
    <w:link w:val="33"/>
    <w:unhideWhenUsed/>
    <w:qFormat/>
    <w:uiPriority w:val="99"/>
    <w:pPr>
      <w:tabs>
        <w:tab w:val="center" w:pos="4153"/>
        <w:tab w:val="right" w:pos="8306"/>
      </w:tabs>
      <w:snapToGrid w:val="0"/>
      <w:spacing w:line="560" w:lineRule="exact"/>
      <w:ind w:firstLine="200" w:firstLineChars="200"/>
      <w:jc w:val="left"/>
    </w:pPr>
    <w:rPr>
      <w:rFonts w:ascii="Calibri" w:hAnsi="Calibri" w:eastAsia="宋体" w:cs="Times New Roman"/>
      <w:kern w:val="0"/>
      <w:sz w:val="18"/>
      <w:szCs w:val="18"/>
      <w:lang w:val="zh-CN"/>
    </w:rPr>
  </w:style>
  <w:style w:type="paragraph" w:styleId="17">
    <w:name w:val="header"/>
    <w:basedOn w:val="1"/>
    <w:link w:val="34"/>
    <w:unhideWhenUsed/>
    <w:qFormat/>
    <w:uiPriority w:val="99"/>
    <w:pPr>
      <w:pBdr>
        <w:bottom w:val="single" w:color="auto" w:sz="6" w:space="1"/>
      </w:pBdr>
      <w:tabs>
        <w:tab w:val="center" w:pos="4153"/>
        <w:tab w:val="right" w:pos="8306"/>
      </w:tabs>
      <w:snapToGrid w:val="0"/>
      <w:spacing w:line="560" w:lineRule="exact"/>
      <w:ind w:firstLine="200" w:firstLineChars="200"/>
      <w:jc w:val="center"/>
    </w:pPr>
    <w:rPr>
      <w:rFonts w:ascii="Calibri" w:hAnsi="Calibri" w:eastAsia="宋体" w:cs="Times New Roman"/>
      <w:kern w:val="0"/>
      <w:sz w:val="18"/>
      <w:szCs w:val="18"/>
      <w:lang w:val="zh-CN"/>
    </w:rPr>
  </w:style>
  <w:style w:type="paragraph" w:styleId="18">
    <w:name w:val="toc 1"/>
    <w:basedOn w:val="1"/>
    <w:next w:val="1"/>
    <w:unhideWhenUsed/>
    <w:qFormat/>
    <w:uiPriority w:val="39"/>
    <w:pPr>
      <w:tabs>
        <w:tab w:val="right" w:leader="dot" w:pos="8296"/>
      </w:tabs>
      <w:snapToGrid w:val="0"/>
      <w:spacing w:line="480" w:lineRule="exact"/>
    </w:pPr>
    <w:rPr>
      <w:rFonts w:ascii="Calibri" w:hAnsi="Calibri" w:eastAsia="仿宋_GB2312" w:cs="Times New Roman"/>
      <w:sz w:val="28"/>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snapToGrid w:val="0"/>
      <w:spacing w:line="560" w:lineRule="exact"/>
      <w:ind w:left="420" w:leftChars="200" w:firstLine="200" w:firstLineChars="200"/>
    </w:pPr>
    <w:rPr>
      <w:rFonts w:ascii="Calibri" w:hAnsi="Calibri" w:eastAsia="仿宋_GB2312" w:cs="Times New Roman"/>
      <w:sz w:val="28"/>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0"/>
    <w:next w:val="10"/>
    <w:link w:val="73"/>
    <w:semiHidden/>
    <w:unhideWhenUsed/>
    <w:qFormat/>
    <w:uiPriority w:val="99"/>
    <w:pPr>
      <w:snapToGrid/>
      <w:spacing w:line="240" w:lineRule="auto"/>
      <w:ind w:firstLine="0" w:firstLineChars="0"/>
    </w:pPr>
    <w:rPr>
      <w:rFonts w:asciiTheme="minorHAnsi" w:hAnsiTheme="minorHAnsi" w:eastAsiaTheme="minorEastAsia" w:cstheme="minorBidi"/>
      <w:b/>
      <w:bCs/>
      <w:kern w:val="2"/>
      <w:sz w:val="21"/>
      <w:szCs w:val="22"/>
      <w:lang w:val="en-U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Emphasis"/>
    <w:qFormat/>
    <w:uiPriority w:val="20"/>
    <w:rPr>
      <w:i/>
      <w:iCs/>
    </w:rPr>
  </w:style>
  <w:style w:type="character" w:styleId="30">
    <w:name w:val="Hyperlink"/>
    <w:unhideWhenUsed/>
    <w:qFormat/>
    <w:uiPriority w:val="99"/>
    <w:rPr>
      <w:color w:val="0000FF"/>
      <w:u w:val="single"/>
    </w:rPr>
  </w:style>
  <w:style w:type="character" w:styleId="31">
    <w:name w:val="annotation reference"/>
    <w:semiHidden/>
    <w:unhideWhenUsed/>
    <w:qFormat/>
    <w:uiPriority w:val="99"/>
    <w:rPr>
      <w:sz w:val="21"/>
      <w:szCs w:val="21"/>
    </w:rPr>
  </w:style>
  <w:style w:type="character" w:customStyle="1" w:styleId="32">
    <w:name w:val="标题 1 字符"/>
    <w:basedOn w:val="27"/>
    <w:link w:val="2"/>
    <w:qFormat/>
    <w:uiPriority w:val="99"/>
    <w:rPr>
      <w:rFonts w:ascii="Calibri" w:hAnsi="Calibri" w:eastAsia="方正小标宋简体" w:cs="Times New Roman"/>
      <w:b/>
      <w:bCs/>
      <w:kern w:val="44"/>
      <w:sz w:val="36"/>
      <w:szCs w:val="44"/>
      <w:lang w:val="zh-CN"/>
    </w:rPr>
  </w:style>
  <w:style w:type="character" w:customStyle="1" w:styleId="33">
    <w:name w:val="页脚 字符"/>
    <w:basedOn w:val="27"/>
    <w:link w:val="16"/>
    <w:qFormat/>
    <w:uiPriority w:val="99"/>
    <w:rPr>
      <w:rFonts w:ascii="Calibri" w:hAnsi="Calibri" w:eastAsia="宋体" w:cs="Times New Roman"/>
      <w:kern w:val="0"/>
      <w:sz w:val="18"/>
      <w:szCs w:val="18"/>
      <w:lang w:val="zh-CN" w:eastAsia="zh-CN"/>
    </w:rPr>
  </w:style>
  <w:style w:type="character" w:customStyle="1" w:styleId="34">
    <w:name w:val="页眉 字符"/>
    <w:basedOn w:val="27"/>
    <w:link w:val="17"/>
    <w:qFormat/>
    <w:uiPriority w:val="99"/>
    <w:rPr>
      <w:rFonts w:ascii="Calibri" w:hAnsi="Calibri" w:eastAsia="宋体" w:cs="Times New Roman"/>
      <w:kern w:val="0"/>
      <w:sz w:val="18"/>
      <w:szCs w:val="18"/>
      <w:lang w:val="zh-CN" w:eastAsia="zh-CN"/>
    </w:rPr>
  </w:style>
  <w:style w:type="character" w:customStyle="1" w:styleId="35">
    <w:name w:val="标题 2 字符"/>
    <w:basedOn w:val="27"/>
    <w:link w:val="3"/>
    <w:qFormat/>
    <w:uiPriority w:val="9"/>
    <w:rPr>
      <w:rFonts w:asciiTheme="majorHAnsi" w:hAnsiTheme="majorHAnsi" w:eastAsiaTheme="majorEastAsia" w:cstheme="majorBidi"/>
      <w:b/>
      <w:bCs/>
      <w:sz w:val="32"/>
      <w:szCs w:val="32"/>
    </w:rPr>
  </w:style>
  <w:style w:type="character" w:customStyle="1" w:styleId="36">
    <w:name w:val="标题 3 字符"/>
    <w:basedOn w:val="27"/>
    <w:link w:val="4"/>
    <w:qFormat/>
    <w:uiPriority w:val="9"/>
    <w:rPr>
      <w:rFonts w:ascii="Calibri" w:hAnsi="Calibri" w:eastAsia="仿宋_GB2312" w:cs="Times New Roman"/>
      <w:b/>
      <w:bCs/>
      <w:kern w:val="0"/>
      <w:sz w:val="28"/>
      <w:szCs w:val="32"/>
      <w:lang w:val="zh-CN" w:eastAsia="en-US"/>
    </w:rPr>
  </w:style>
  <w:style w:type="character" w:customStyle="1" w:styleId="37">
    <w:name w:val="标题 4 字符"/>
    <w:basedOn w:val="27"/>
    <w:link w:val="5"/>
    <w:qFormat/>
    <w:uiPriority w:val="9"/>
    <w:rPr>
      <w:rFonts w:ascii="Cambria" w:hAnsi="Cambria" w:eastAsia="仿宋_GB2312" w:cs="Times New Roman"/>
      <w:b/>
      <w:bCs/>
      <w:sz w:val="28"/>
      <w:szCs w:val="28"/>
      <w:lang w:val="zh-CN" w:eastAsia="zh-CN"/>
    </w:rPr>
  </w:style>
  <w:style w:type="character" w:customStyle="1" w:styleId="38">
    <w:name w:val="标题 5 字符"/>
    <w:basedOn w:val="27"/>
    <w:link w:val="6"/>
    <w:qFormat/>
    <w:uiPriority w:val="9"/>
    <w:rPr>
      <w:rFonts w:ascii="Times New Roman" w:hAnsi="Times New Roman" w:eastAsia="宋体" w:cs="Times New Roman"/>
      <w:b/>
      <w:bCs/>
      <w:kern w:val="0"/>
      <w:sz w:val="28"/>
      <w:szCs w:val="28"/>
      <w:lang w:val="zh-CN" w:eastAsia="zh-CN"/>
    </w:rPr>
  </w:style>
  <w:style w:type="character" w:customStyle="1" w:styleId="39">
    <w:name w:val="批注文字 字符"/>
    <w:basedOn w:val="27"/>
    <w:link w:val="10"/>
    <w:qFormat/>
    <w:uiPriority w:val="99"/>
    <w:rPr>
      <w:rFonts w:ascii="Calibri" w:hAnsi="Calibri" w:eastAsia="仿宋_GB2312" w:cs="Times New Roman"/>
      <w:sz w:val="28"/>
      <w:lang w:val="zh-CN"/>
    </w:rPr>
  </w:style>
  <w:style w:type="character" w:customStyle="1" w:styleId="40">
    <w:name w:val="纯文本 字符"/>
    <w:basedOn w:val="27"/>
    <w:link w:val="13"/>
    <w:qFormat/>
    <w:uiPriority w:val="0"/>
    <w:rPr>
      <w:rFonts w:ascii="宋体" w:hAnsi="Courier New" w:eastAsia="宋体" w:cs="Times New Roman"/>
      <w:kern w:val="0"/>
      <w:sz w:val="20"/>
      <w:szCs w:val="20"/>
      <w:lang w:val="zh-CN" w:eastAsia="zh-CN"/>
    </w:rPr>
  </w:style>
  <w:style w:type="character" w:customStyle="1" w:styleId="41">
    <w:name w:val="批注框文本 字符"/>
    <w:basedOn w:val="27"/>
    <w:link w:val="15"/>
    <w:semiHidden/>
    <w:qFormat/>
    <w:uiPriority w:val="99"/>
    <w:rPr>
      <w:rFonts w:ascii="Calibri" w:hAnsi="Calibri" w:eastAsia="宋体" w:cs="Times New Roman"/>
      <w:kern w:val="0"/>
      <w:sz w:val="18"/>
      <w:szCs w:val="18"/>
      <w:lang w:val="zh-CN" w:eastAsia="zh-CN"/>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标题 1 Char"/>
    <w:qFormat/>
    <w:uiPriority w:val="9"/>
    <w:rPr>
      <w:rFonts w:ascii="Arial" w:hAnsi="Arial" w:eastAsia="黑体"/>
      <w:kern w:val="2"/>
      <w:sz w:val="36"/>
      <w:szCs w:val="36"/>
      <w:lang w:val="zh-CN" w:eastAsia="zh-CN"/>
    </w:rPr>
  </w:style>
  <w:style w:type="character" w:customStyle="1" w:styleId="44">
    <w:name w:val="标题 1 字符1"/>
    <w:qFormat/>
    <w:uiPriority w:val="99"/>
    <w:rPr>
      <w:b/>
      <w:bCs/>
      <w:kern w:val="44"/>
      <w:sz w:val="32"/>
      <w:szCs w:val="44"/>
    </w:rPr>
  </w:style>
  <w:style w:type="paragraph" w:customStyle="1" w:styleId="45">
    <w:name w:val="a 正文"/>
    <w:basedOn w:val="1"/>
    <w:link w:val="46"/>
    <w:qFormat/>
    <w:uiPriority w:val="0"/>
    <w:pPr>
      <w:spacing w:line="560" w:lineRule="exact"/>
      <w:ind w:firstLine="560" w:firstLineChars="200"/>
    </w:pPr>
    <w:rPr>
      <w:rFonts w:ascii="Times New Roman" w:hAnsi="Times New Roman" w:eastAsia="仿宋_GB2312" w:cs="Times New Roman"/>
      <w:kern w:val="0"/>
      <w:sz w:val="28"/>
      <w:szCs w:val="20"/>
      <w:lang w:val="zh-CN"/>
    </w:rPr>
  </w:style>
  <w:style w:type="character" w:customStyle="1" w:styleId="46">
    <w:name w:val="a 正文 Char"/>
    <w:link w:val="45"/>
    <w:qFormat/>
    <w:uiPriority w:val="0"/>
    <w:rPr>
      <w:rFonts w:ascii="Times New Roman" w:hAnsi="Times New Roman" w:eastAsia="仿宋_GB2312" w:cs="Times New Roman"/>
      <w:kern w:val="0"/>
      <w:sz w:val="28"/>
      <w:szCs w:val="20"/>
      <w:lang w:val="zh-CN" w:eastAsia="zh-CN"/>
    </w:rPr>
  </w:style>
  <w:style w:type="paragraph" w:customStyle="1" w:styleId="47">
    <w:name w:val="a 插图名"/>
    <w:basedOn w:val="1"/>
    <w:link w:val="48"/>
    <w:qFormat/>
    <w:uiPriority w:val="0"/>
    <w:pPr>
      <w:ind w:firstLine="200" w:firstLineChars="200"/>
      <w:jc w:val="center"/>
    </w:pPr>
    <w:rPr>
      <w:rFonts w:ascii="黑体" w:hAnsi="Times New Roman" w:eastAsia="黑体" w:cs="Times New Roman"/>
      <w:kern w:val="0"/>
      <w:sz w:val="24"/>
      <w:szCs w:val="24"/>
      <w:lang w:val="zh-CN"/>
    </w:rPr>
  </w:style>
  <w:style w:type="character" w:customStyle="1" w:styleId="48">
    <w:name w:val="a 插图名 Char"/>
    <w:link w:val="47"/>
    <w:qFormat/>
    <w:uiPriority w:val="0"/>
    <w:rPr>
      <w:rFonts w:ascii="黑体" w:hAnsi="Times New Roman" w:eastAsia="黑体" w:cs="Times New Roman"/>
      <w:kern w:val="0"/>
      <w:sz w:val="24"/>
      <w:szCs w:val="24"/>
      <w:lang w:val="zh-CN" w:eastAsia="zh-CN"/>
    </w:rPr>
  </w:style>
  <w:style w:type="paragraph" w:customStyle="1" w:styleId="49">
    <w:name w:val="图例"/>
    <w:basedOn w:val="1"/>
    <w:link w:val="50"/>
    <w:qFormat/>
    <w:uiPriority w:val="0"/>
    <w:pPr>
      <w:snapToGrid w:val="0"/>
      <w:spacing w:beforeLines="50" w:line="360" w:lineRule="auto"/>
      <w:jc w:val="center"/>
    </w:pPr>
    <w:rPr>
      <w:rFonts w:ascii="Times New Roman" w:hAnsi="Times New Roman" w:eastAsia="黑体" w:cs="Times New Roman"/>
      <w:kern w:val="0"/>
      <w:sz w:val="28"/>
      <w:szCs w:val="21"/>
      <w:lang w:val="zh-CN"/>
    </w:rPr>
  </w:style>
  <w:style w:type="character" w:customStyle="1" w:styleId="50">
    <w:name w:val="图例 Char"/>
    <w:link w:val="49"/>
    <w:qFormat/>
    <w:uiPriority w:val="0"/>
    <w:rPr>
      <w:rFonts w:ascii="Times New Roman" w:hAnsi="Times New Roman" w:eastAsia="黑体" w:cs="Times New Roman"/>
      <w:kern w:val="0"/>
      <w:sz w:val="28"/>
      <w:szCs w:val="21"/>
      <w:lang w:val="zh-CN" w:eastAsia="zh-CN"/>
    </w:rPr>
  </w:style>
  <w:style w:type="character" w:customStyle="1" w:styleId="51">
    <w:name w:val="NormalCharacter"/>
    <w:semiHidden/>
    <w:qFormat/>
    <w:uiPriority w:val="0"/>
  </w:style>
  <w:style w:type="paragraph" w:customStyle="1" w:styleId="5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标准文字 Char Char"/>
    <w:link w:val="54"/>
    <w:qFormat/>
    <w:uiPriority w:val="0"/>
    <w:rPr>
      <w:rFonts w:ascii="Times New Roman" w:hAnsi="Times New Roman" w:eastAsia="仿宋_GB2312"/>
      <w:sz w:val="30"/>
    </w:rPr>
  </w:style>
  <w:style w:type="paragraph" w:customStyle="1" w:styleId="54">
    <w:name w:val="标准文字"/>
    <w:basedOn w:val="1"/>
    <w:link w:val="53"/>
    <w:qFormat/>
    <w:uiPriority w:val="0"/>
    <w:pPr>
      <w:overflowPunct w:val="0"/>
      <w:spacing w:line="360" w:lineRule="auto"/>
      <w:ind w:firstLine="600" w:firstLineChars="200"/>
    </w:pPr>
    <w:rPr>
      <w:rFonts w:ascii="Times New Roman" w:hAnsi="Times New Roman" w:eastAsia="仿宋_GB2312"/>
      <w:sz w:val="30"/>
    </w:rPr>
  </w:style>
  <w:style w:type="character" w:customStyle="1" w:styleId="55">
    <w:name w:val="样式2 Char"/>
    <w:link w:val="56"/>
    <w:qFormat/>
    <w:uiPriority w:val="0"/>
    <w:rPr>
      <w:b/>
    </w:rPr>
  </w:style>
  <w:style w:type="paragraph" w:customStyle="1" w:styleId="56">
    <w:name w:val="样式2"/>
    <w:basedOn w:val="1"/>
    <w:link w:val="55"/>
    <w:qFormat/>
    <w:uiPriority w:val="0"/>
    <w:pPr>
      <w:spacing w:line="360" w:lineRule="auto"/>
      <w:ind w:firstLine="562" w:firstLineChars="200"/>
    </w:pPr>
    <w:rPr>
      <w:b/>
    </w:rPr>
  </w:style>
  <w:style w:type="paragraph" w:customStyle="1" w:styleId="57">
    <w:name w:val="正文2"/>
    <w:basedOn w:val="1"/>
    <w:link w:val="58"/>
    <w:qFormat/>
    <w:uiPriority w:val="0"/>
    <w:pPr>
      <w:spacing w:before="156"/>
      <w:ind w:firstLine="510" w:firstLineChars="200"/>
    </w:pPr>
    <w:rPr>
      <w:rFonts w:ascii="Calibri" w:hAnsi="Calibri" w:eastAsia="宋体" w:cs="Times New Roman"/>
      <w:kern w:val="0"/>
      <w:sz w:val="20"/>
      <w:szCs w:val="20"/>
      <w:lang w:val="zh-CN"/>
    </w:rPr>
  </w:style>
  <w:style w:type="character" w:customStyle="1" w:styleId="58">
    <w:name w:val="正文2 Char"/>
    <w:link w:val="57"/>
    <w:qFormat/>
    <w:uiPriority w:val="0"/>
    <w:rPr>
      <w:rFonts w:ascii="Calibri" w:hAnsi="Calibri" w:eastAsia="宋体" w:cs="Times New Roman"/>
      <w:kern w:val="0"/>
      <w:sz w:val="20"/>
      <w:szCs w:val="20"/>
      <w:lang w:val="zh-CN" w:eastAsia="zh-CN"/>
    </w:rPr>
  </w:style>
  <w:style w:type="paragraph" w:customStyle="1" w:styleId="59">
    <w:name w:val="列出段落1"/>
    <w:basedOn w:val="1"/>
    <w:qFormat/>
    <w:uiPriority w:val="0"/>
    <w:pPr>
      <w:spacing w:line="360" w:lineRule="auto"/>
      <w:ind w:firstLine="420" w:firstLineChars="200"/>
      <w:jc w:val="left"/>
    </w:pPr>
    <w:rPr>
      <w:rFonts w:ascii="Calibri" w:hAnsi="Calibri" w:eastAsia="仿宋" w:cs="Times New Roman"/>
      <w:sz w:val="28"/>
    </w:rPr>
  </w:style>
  <w:style w:type="paragraph" w:customStyle="1" w:styleId="60">
    <w:name w:val="修订1"/>
    <w:hidden/>
    <w:semiHidden/>
    <w:qFormat/>
    <w:uiPriority w:val="99"/>
    <w:rPr>
      <w:rFonts w:ascii="Calibri" w:hAnsi="Calibri" w:eastAsia="仿宋_GB2312" w:cs="Times New Roman"/>
      <w:kern w:val="2"/>
      <w:sz w:val="28"/>
      <w:szCs w:val="22"/>
      <w:lang w:val="en-US" w:eastAsia="zh-CN" w:bidi="ar-SA"/>
    </w:rPr>
  </w:style>
  <w:style w:type="table" w:customStyle="1" w:styleId="61">
    <w:name w:val="HAO表格"/>
    <w:basedOn w:val="25"/>
    <w:qFormat/>
    <w:uiPriority w:val="99"/>
    <w:pPr>
      <w:jc w:val="center"/>
    </w:pPr>
    <w:rPr>
      <w:rFonts w:eastAsia="仿宋_GB2312"/>
    </w:rPr>
    <w:tblPr>
      <w:tblBorders>
        <w:top w:val="single" w:color="auto" w:sz="12" w:space="0"/>
        <w:bottom w:val="single" w:color="auto" w:sz="12" w:space="0"/>
        <w:insideH w:val="single" w:color="auto" w:sz="4" w:space="0"/>
        <w:insideV w:val="single" w:color="auto" w:sz="4" w:space="0"/>
      </w:tblBorders>
      <w:tblLayout w:type="fixed"/>
    </w:tblPr>
  </w:style>
  <w:style w:type="paragraph" w:customStyle="1" w:styleId="62">
    <w:name w:val="标准正文"/>
    <w:basedOn w:val="1"/>
    <w:qFormat/>
    <w:uiPriority w:val="0"/>
    <w:pPr>
      <w:spacing w:before="156" w:after="156"/>
      <w:ind w:firstLine="480" w:firstLineChars="200"/>
    </w:pPr>
    <w:rPr>
      <w:rFonts w:ascii="Times New Roman" w:hAnsi="Times New Roman" w:eastAsia="宋体" w:cs="Times New Roman"/>
      <w:szCs w:val="20"/>
    </w:rPr>
  </w:style>
  <w:style w:type="paragraph" w:customStyle="1" w:styleId="63">
    <w:name w:val="列出段落2"/>
    <w:basedOn w:val="1"/>
    <w:qFormat/>
    <w:uiPriority w:val="1"/>
    <w:pPr>
      <w:snapToGrid w:val="0"/>
      <w:spacing w:line="560" w:lineRule="exact"/>
      <w:ind w:firstLine="420" w:firstLineChars="200"/>
    </w:pPr>
    <w:rPr>
      <w:rFonts w:ascii="Calibri" w:hAnsi="Calibri" w:eastAsia="仿宋_GB2312" w:cs="Times New Roman"/>
      <w:sz w:val="28"/>
    </w:rPr>
  </w:style>
  <w:style w:type="paragraph" w:customStyle="1" w:styleId="64">
    <w:name w:val="TOC 标题1"/>
    <w:basedOn w:val="2"/>
    <w:next w:val="1"/>
    <w:unhideWhenUsed/>
    <w:qFormat/>
    <w:uiPriority w:val="39"/>
    <w:pPr>
      <w:widowControl/>
      <w:snapToGrid/>
      <w:spacing w:before="240" w:after="0" w:line="259" w:lineRule="auto"/>
      <w:jc w:val="left"/>
      <w:outlineLvl w:val="9"/>
    </w:pPr>
    <w:rPr>
      <w:rFonts w:ascii="Cambria" w:hAnsi="Cambria" w:eastAsia="宋体"/>
      <w:b w:val="0"/>
      <w:bCs w:val="0"/>
      <w:color w:val="365F91"/>
      <w:kern w:val="0"/>
      <w:sz w:val="32"/>
      <w:szCs w:val="32"/>
    </w:rPr>
  </w:style>
  <w:style w:type="character" w:customStyle="1" w:styleId="65">
    <w:name w:val="未处理的提及1"/>
    <w:semiHidden/>
    <w:unhideWhenUsed/>
    <w:qFormat/>
    <w:uiPriority w:val="99"/>
    <w:rPr>
      <w:color w:val="605E5C"/>
      <w:shd w:val="clear" w:color="auto" w:fill="E1DFDD"/>
    </w:rPr>
  </w:style>
  <w:style w:type="paragraph" w:customStyle="1" w:styleId="66">
    <w:name w:val="修订2"/>
    <w:hidden/>
    <w:semiHidden/>
    <w:qFormat/>
    <w:uiPriority w:val="99"/>
    <w:rPr>
      <w:rFonts w:ascii="Calibri" w:hAnsi="Calibri" w:eastAsia="仿宋_GB2312" w:cs="Times New Roman"/>
      <w:kern w:val="2"/>
      <w:sz w:val="28"/>
      <w:szCs w:val="22"/>
      <w:lang w:val="en-US" w:eastAsia="zh-CN" w:bidi="ar-SA"/>
    </w:rPr>
  </w:style>
  <w:style w:type="character" w:customStyle="1" w:styleId="67">
    <w:name w:val="bjh-p"/>
    <w:basedOn w:val="27"/>
    <w:qFormat/>
    <w:uiPriority w:val="0"/>
  </w:style>
  <w:style w:type="character" w:customStyle="1" w:styleId="68">
    <w:name w:val="未处理的提及2"/>
    <w:semiHidden/>
    <w:unhideWhenUsed/>
    <w:qFormat/>
    <w:uiPriority w:val="99"/>
    <w:rPr>
      <w:color w:val="605E5C"/>
      <w:shd w:val="clear" w:color="auto" w:fill="E1DFDD"/>
    </w:rPr>
  </w:style>
  <w:style w:type="character" w:customStyle="1" w:styleId="69">
    <w:name w:val="文档结构图 字符"/>
    <w:basedOn w:val="27"/>
    <w:link w:val="9"/>
    <w:semiHidden/>
    <w:qFormat/>
    <w:uiPriority w:val="0"/>
    <w:rPr>
      <w:rFonts w:ascii="Calibri" w:hAnsi="Calibri" w:eastAsia="仿宋_GB2312" w:cs="Times New Roman"/>
      <w:sz w:val="28"/>
      <w:shd w:val="clear" w:color="auto" w:fill="000080"/>
    </w:rPr>
  </w:style>
  <w:style w:type="paragraph" w:styleId="70">
    <w:name w:val="List Paragraph"/>
    <w:basedOn w:val="1"/>
    <w:qFormat/>
    <w:uiPriority w:val="34"/>
    <w:pPr>
      <w:ind w:firstLine="420" w:firstLineChars="200"/>
    </w:pPr>
  </w:style>
  <w:style w:type="paragraph" w:customStyle="1" w:styleId="71">
    <w:name w:val="TOC 标题2"/>
    <w:basedOn w:val="2"/>
    <w:next w:val="1"/>
    <w:unhideWhenUsed/>
    <w:qFormat/>
    <w:uiPriority w:val="39"/>
    <w:pPr>
      <w:widowControl/>
      <w:snapToGrid/>
      <w:spacing w:before="240" w:after="0" w:line="259" w:lineRule="auto"/>
      <w:ind w:left="0" w:leftChars="0" w:right="0" w:rightChars="0"/>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72">
    <w:name w:val="未处理的提及3"/>
    <w:basedOn w:val="27"/>
    <w:semiHidden/>
    <w:unhideWhenUsed/>
    <w:qFormat/>
    <w:uiPriority w:val="99"/>
    <w:rPr>
      <w:color w:val="605E5C"/>
      <w:shd w:val="clear" w:color="auto" w:fill="E1DFDD"/>
    </w:rPr>
  </w:style>
  <w:style w:type="character" w:customStyle="1" w:styleId="73">
    <w:name w:val="批注主题 字符"/>
    <w:basedOn w:val="39"/>
    <w:link w:val="24"/>
    <w:semiHidden/>
    <w:qFormat/>
    <w:uiPriority w:val="99"/>
    <w:rPr>
      <w:rFonts w:ascii="Calibri" w:hAnsi="Calibri" w:eastAsia="仿宋_GB2312" w:cs="Times New Roman"/>
      <w:b/>
      <w:bCs/>
      <w:kern w:val="0"/>
      <w:sz w:val="28"/>
      <w:szCs w:val="20"/>
      <w:lang w:val="zh-CN" w:eastAsia="zh-CN"/>
    </w:rPr>
  </w:style>
  <w:style w:type="paragraph" w:customStyle="1" w:styleId="7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styleId="75">
    <w:name w:val="Placeholder Text"/>
    <w:basedOn w:val="27"/>
    <w:unhideWhenUsed/>
    <w:qFormat/>
    <w:uiPriority w:val="99"/>
    <w:rPr>
      <w:color w:val="666666"/>
    </w:rPr>
  </w:style>
  <w:style w:type="paragraph" w:customStyle="1" w:styleId="76">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dde318-b575-4dfa-bd2b-9c9b1a962712}"/>
        <w:style w:val=""/>
        <w:category>
          <w:name w:val="常规"/>
          <w:gallery w:val="placeholder"/>
        </w:category>
        <w:types>
          <w:type w:val="bbPlcHdr"/>
        </w:types>
        <w:behaviors>
          <w:behavior w:val="content"/>
        </w:behaviors>
        <w:description w:val=""/>
        <w:guid w:val="{ECDDE318-B575-4DFA-BD2B-9C9B1A962712}"/>
      </w:docPartPr>
      <w:docPartBody>
        <w:p>
          <w:r>
            <w:rPr>
              <w:color w:val="808080"/>
            </w:rPr>
            <w:t>单击此处输入文字。</w:t>
          </w:r>
        </w:p>
      </w:docPartBody>
    </w:docPart>
    <w:docPart>
      <w:docPartPr>
        <w:name w:val="{bd84eb47-8f3c-4675-ab42-4275a6b8010b}"/>
        <w:style w:val=""/>
        <w:category>
          <w:name w:val="常规"/>
          <w:gallery w:val="placeholder"/>
        </w:category>
        <w:types>
          <w:type w:val="bbPlcHdr"/>
        </w:types>
        <w:behaviors>
          <w:behavior w:val="content"/>
        </w:behaviors>
        <w:description w:val=""/>
        <w:guid w:val="{BD84EB47-8F3C-4675-AB42-4275A6B8010B}"/>
      </w:docPartPr>
      <w:docPartBody>
        <w:p>
          <w:r>
            <w:rPr>
              <w:color w:val="808080"/>
            </w:rPr>
            <w:t>单击此处输入文字。</w:t>
          </w:r>
        </w:p>
      </w:docPartBody>
    </w:docPart>
    <w:docPart>
      <w:docPartPr>
        <w:name w:val="{50bc9d90-2e74-47d3-a5f0-f0a7e89e80ef}"/>
        <w:style w:val=""/>
        <w:category>
          <w:name w:val="常规"/>
          <w:gallery w:val="placeholder"/>
        </w:category>
        <w:types>
          <w:type w:val="bbPlcHdr"/>
        </w:types>
        <w:behaviors>
          <w:behavior w:val="content"/>
        </w:behaviors>
        <w:description w:val=""/>
        <w:guid w:val="{50BC9D90-2E74-47D3-A5F0-F0A7E89E80EF}"/>
      </w:docPartPr>
      <w:docPartBody>
        <w:p>
          <w:r>
            <w:rPr>
              <w:color w:val="808080"/>
            </w:rPr>
            <w:t>单击此处输入文字。</w:t>
          </w:r>
        </w:p>
      </w:docPartBody>
    </w:docPart>
    <w:docPart>
      <w:docPartPr>
        <w:name w:val="{5585d178-3531-4731-a2e5-d572877d487f}"/>
        <w:style w:val=""/>
        <w:category>
          <w:name w:val="常规"/>
          <w:gallery w:val="placeholder"/>
        </w:category>
        <w:types>
          <w:type w:val="bbPlcHdr"/>
        </w:types>
        <w:behaviors>
          <w:behavior w:val="content"/>
        </w:behaviors>
        <w:description w:val=""/>
        <w:guid w:val="{5585D178-3531-4731-A2E5-D572877D487F}"/>
      </w:docPartPr>
      <w:docPartBody>
        <w:p>
          <w:r>
            <w:rPr>
              <w:color w:val="808080"/>
            </w:rPr>
            <w:t>单击此处输入文字。</w:t>
          </w:r>
        </w:p>
      </w:docPartBody>
    </w:docPart>
    <w:docPart>
      <w:docPartPr>
        <w:name w:val="{33d73a2e-054c-4366-9a06-ce4df011f910}"/>
        <w:style w:val=""/>
        <w:category>
          <w:name w:val="常规"/>
          <w:gallery w:val="placeholder"/>
        </w:category>
        <w:types>
          <w:type w:val="bbPlcHdr"/>
        </w:types>
        <w:behaviors>
          <w:behavior w:val="content"/>
        </w:behaviors>
        <w:description w:val=""/>
        <w:guid w:val="{33D73A2E-054C-4366-9A06-CE4DF011F910}"/>
      </w:docPartPr>
      <w:docPartBody>
        <w:p>
          <w:r>
            <w:rPr>
              <w:color w:val="808080"/>
            </w:rPr>
            <w:t>单击此处输入文字。</w:t>
          </w:r>
        </w:p>
      </w:docPartBody>
    </w:docPart>
    <w:docPart>
      <w:docPartPr>
        <w:name w:val="{f1278a15-dd21-4099-b006-46c9770bb59f}"/>
        <w:style w:val=""/>
        <w:category>
          <w:name w:val="常规"/>
          <w:gallery w:val="placeholder"/>
        </w:category>
        <w:types>
          <w:type w:val="bbPlcHdr"/>
        </w:types>
        <w:behaviors>
          <w:behavior w:val="content"/>
        </w:behaviors>
        <w:description w:val=""/>
        <w:guid w:val="{F1278A15-DD21-4099-B006-46C9770BB59F}"/>
      </w:docPartPr>
      <w:docPartBody>
        <w:p>
          <w:r>
            <w:rPr>
              <w:color w:val="808080"/>
            </w:rPr>
            <w:t>单击此处输入文字。</w:t>
          </w:r>
        </w:p>
      </w:docPartBody>
    </w:docPart>
    <w:docPart>
      <w:docPartPr>
        <w:name w:val="{b4d25e74-eab6-4c83-a7bc-808f55a87e59}"/>
        <w:style w:val=""/>
        <w:category>
          <w:name w:val="常规"/>
          <w:gallery w:val="placeholder"/>
        </w:category>
        <w:types>
          <w:type w:val="bbPlcHdr"/>
        </w:types>
        <w:behaviors>
          <w:behavior w:val="content"/>
        </w:behaviors>
        <w:description w:val=""/>
        <w:guid w:val="{B4D25E74-EAB6-4C83-A7BC-808F55A87E59}"/>
      </w:docPartPr>
      <w:docPartBody>
        <w:p>
          <w:r>
            <w:rPr>
              <w:color w:val="808080"/>
            </w:rPr>
            <w:t>单击此处输入文字。</w:t>
          </w:r>
        </w:p>
      </w:docPartBody>
    </w:docPart>
    <w:docPart>
      <w:docPartPr>
        <w:name w:val="{41bfb733-ad17-4457-864f-8781ce08dffc}"/>
        <w:style w:val=""/>
        <w:category>
          <w:name w:val="常规"/>
          <w:gallery w:val="placeholder"/>
        </w:category>
        <w:types>
          <w:type w:val="bbPlcHdr"/>
        </w:types>
        <w:behaviors>
          <w:behavior w:val="content"/>
        </w:behaviors>
        <w:description w:val=""/>
        <w:guid w:val="{41BFB733-AD17-4457-864F-8781CE08DFFC}"/>
      </w:docPartPr>
      <w:docPartBody>
        <w:p>
          <w:r>
            <w:rPr>
              <w:color w:val="808080"/>
            </w:rPr>
            <w:t>单击此处输入文字。</w:t>
          </w:r>
        </w:p>
      </w:docPartBody>
    </w:docPart>
    <w:docPart>
      <w:docPartPr>
        <w:name w:val="{780202d4-a227-4a83-9bca-f3ed46275bee}"/>
        <w:style w:val=""/>
        <w:category>
          <w:name w:val="常规"/>
          <w:gallery w:val="placeholder"/>
        </w:category>
        <w:types>
          <w:type w:val="bbPlcHdr"/>
        </w:types>
        <w:behaviors>
          <w:behavior w:val="content"/>
        </w:behaviors>
        <w:description w:val=""/>
        <w:guid w:val="{780202D4-A227-4A83-9BCA-F3ED46275BEE}"/>
      </w:docPartPr>
      <w:docPartBody>
        <w:p>
          <w:r>
            <w:rPr>
              <w:color w:val="808080"/>
            </w:rPr>
            <w:t>单击此处输入文字。</w:t>
          </w:r>
        </w:p>
      </w:docPartBody>
    </w:docPart>
    <w:docPart>
      <w:docPartPr>
        <w:name w:val="{f1a5bba0-87f6-438e-aa53-86ffbb91dfe6}"/>
        <w:style w:val=""/>
        <w:category>
          <w:name w:val="常规"/>
          <w:gallery w:val="placeholder"/>
        </w:category>
        <w:types>
          <w:type w:val="bbPlcHdr"/>
        </w:types>
        <w:behaviors>
          <w:behavior w:val="content"/>
        </w:behaviors>
        <w:description w:val=""/>
        <w:guid w:val="{F1A5BBA0-87F6-438E-AA53-86FFBB91DFE6}"/>
      </w:docPartPr>
      <w:docPartBody>
        <w:p>
          <w:r>
            <w:rPr>
              <w:color w:val="808080"/>
            </w:rPr>
            <w:t>单击此处输入文字。</w:t>
          </w:r>
        </w:p>
      </w:docPartBody>
    </w:docPart>
    <w:docPart>
      <w:docPartPr>
        <w:name w:val="{cf288e23-5cfb-4880-ad02-38ce6a763622}"/>
        <w:style w:val=""/>
        <w:category>
          <w:name w:val="常规"/>
          <w:gallery w:val="placeholder"/>
        </w:category>
        <w:types>
          <w:type w:val="bbPlcHdr"/>
        </w:types>
        <w:behaviors>
          <w:behavior w:val="content"/>
        </w:behaviors>
        <w:description w:val=""/>
        <w:guid w:val="{CF288E23-5CFB-4880-AD02-38CE6A763622}"/>
      </w:docPartPr>
      <w:docPartBody>
        <w:p>
          <w:r>
            <w:rPr>
              <w:color w:val="808080"/>
            </w:rPr>
            <w:t>单击此处输入文字。</w:t>
          </w:r>
        </w:p>
      </w:docPartBody>
    </w:docPart>
    <w:docPart>
      <w:docPartPr>
        <w:name w:val="{eeacc65d-1592-4685-a2e0-3a638630ae51}"/>
        <w:style w:val=""/>
        <w:category>
          <w:name w:val="常规"/>
          <w:gallery w:val="placeholder"/>
        </w:category>
        <w:types>
          <w:type w:val="bbPlcHdr"/>
        </w:types>
        <w:behaviors>
          <w:behavior w:val="content"/>
        </w:behaviors>
        <w:description w:val=""/>
        <w:guid w:val="{EEACC65D-1592-4685-A2E0-3A638630AE51}"/>
      </w:docPartPr>
      <w:docPartBody>
        <w:p>
          <w:r>
            <w:rPr>
              <w:color w:val="808080"/>
            </w:rPr>
            <w:t>单击此处输入文字。</w:t>
          </w:r>
        </w:p>
      </w:docPartBody>
    </w:docPart>
    <w:docPart>
      <w:docPartPr>
        <w:name w:val="{5654ab0b-9444-4d5e-827c-d90c4e8f16e1}"/>
        <w:style w:val=""/>
        <w:category>
          <w:name w:val="常规"/>
          <w:gallery w:val="placeholder"/>
        </w:category>
        <w:types>
          <w:type w:val="bbPlcHdr"/>
        </w:types>
        <w:behaviors>
          <w:behavior w:val="content"/>
        </w:behaviors>
        <w:description w:val=""/>
        <w:guid w:val="{5654AB0B-9444-4D5E-827C-D90C4E8F16E1}"/>
      </w:docPartPr>
      <w:docPartBody>
        <w:p>
          <w:r>
            <w:rPr>
              <w:color w:val="808080"/>
            </w:rPr>
            <w:t>单击此处输入文字。</w:t>
          </w:r>
        </w:p>
      </w:docPartBody>
    </w:docPart>
    <w:docPart>
      <w:docPartPr>
        <w:name w:val="{b415f891-518c-401c-8f30-05518a98ac7b}"/>
        <w:style w:val=""/>
        <w:category>
          <w:name w:val="常规"/>
          <w:gallery w:val="placeholder"/>
        </w:category>
        <w:types>
          <w:type w:val="bbPlcHdr"/>
        </w:types>
        <w:behaviors>
          <w:behavior w:val="content"/>
        </w:behaviors>
        <w:description w:val=""/>
        <w:guid w:val="{B415F891-518C-401C-8F30-05518A98AC7B}"/>
      </w:docPartPr>
      <w:docPartBody>
        <w:p>
          <w:r>
            <w:rPr>
              <w:color w:val="808080"/>
            </w:rPr>
            <w:t>单击此处输入文字。</w:t>
          </w:r>
        </w:p>
      </w:docPartBody>
    </w:docPart>
    <w:docPart>
      <w:docPartPr>
        <w:name w:val="{e5d9e4e6-0bcd-4d30-b0aa-38def9404fcd}"/>
        <w:style w:val=""/>
        <w:category>
          <w:name w:val="常规"/>
          <w:gallery w:val="placeholder"/>
        </w:category>
        <w:types>
          <w:type w:val="bbPlcHdr"/>
        </w:types>
        <w:behaviors>
          <w:behavior w:val="content"/>
        </w:behaviors>
        <w:description w:val=""/>
        <w:guid w:val="{E5D9E4E6-0BCD-4D30-B0AA-38DEF9404FCD}"/>
      </w:docPartPr>
      <w:docPartBody>
        <w:p>
          <w:r>
            <w:rPr>
              <w:color w:val="808080"/>
            </w:rPr>
            <w:t>单击此处输入文字。</w:t>
          </w:r>
        </w:p>
      </w:docPartBody>
    </w:docPart>
    <w:docPart>
      <w:docPartPr>
        <w:name w:val="{a2c17609-f034-4b9b-912a-676db6a1a4f6}"/>
        <w:style w:val=""/>
        <w:category>
          <w:name w:val="常规"/>
          <w:gallery w:val="placeholder"/>
        </w:category>
        <w:types>
          <w:type w:val="bbPlcHdr"/>
        </w:types>
        <w:behaviors>
          <w:behavior w:val="content"/>
        </w:behaviors>
        <w:description w:val=""/>
        <w:guid w:val="{A2C17609-F034-4B9B-912A-676DB6A1A4F6}"/>
      </w:docPartPr>
      <w:docPartBody>
        <w:p>
          <w:r>
            <w:rPr>
              <w:color w:val="808080"/>
            </w:rPr>
            <w:t>单击此处输入文字。</w:t>
          </w:r>
        </w:p>
      </w:docPartBody>
    </w:docPart>
    <w:docPart>
      <w:docPartPr>
        <w:name w:val="{13a7cc63-6ea3-49e6-90bd-515ed3dc9b34}"/>
        <w:style w:val=""/>
        <w:category>
          <w:name w:val="常规"/>
          <w:gallery w:val="placeholder"/>
        </w:category>
        <w:types>
          <w:type w:val="bbPlcHdr"/>
        </w:types>
        <w:behaviors>
          <w:behavior w:val="content"/>
        </w:behaviors>
        <w:description w:val=""/>
        <w:guid w:val="{13A7CC63-6EA3-49E6-90BD-515ED3DC9B34}"/>
      </w:docPartPr>
      <w:docPartBody>
        <w:p>
          <w:r>
            <w:rPr>
              <w:color w:val="808080"/>
            </w:rPr>
            <w:t>单击此处输入文字。</w:t>
          </w:r>
        </w:p>
      </w:docPartBody>
    </w:docPart>
    <w:docPart>
      <w:docPartPr>
        <w:name w:val="{cd64e2b0-8ca5-4546-b8b0-f9e07c320949}"/>
        <w:style w:val=""/>
        <w:category>
          <w:name w:val="常规"/>
          <w:gallery w:val="placeholder"/>
        </w:category>
        <w:types>
          <w:type w:val="bbPlcHdr"/>
        </w:types>
        <w:behaviors>
          <w:behavior w:val="content"/>
        </w:behaviors>
        <w:description w:val=""/>
        <w:guid w:val="{CD64E2B0-8CA5-4546-B8B0-F9E07C320949}"/>
      </w:docPartPr>
      <w:docPartBody>
        <w:p>
          <w:r>
            <w:rPr>
              <w:color w:val="808080"/>
            </w:rPr>
            <w:t>单击此处输入文字。</w:t>
          </w:r>
        </w:p>
      </w:docPartBody>
    </w:docPart>
    <w:docPart>
      <w:docPartPr>
        <w:name w:val="{650623d4-4120-4574-8b80-5d4fec24c136}"/>
        <w:style w:val=""/>
        <w:category>
          <w:name w:val="常规"/>
          <w:gallery w:val="placeholder"/>
        </w:category>
        <w:types>
          <w:type w:val="bbPlcHdr"/>
        </w:types>
        <w:behaviors>
          <w:behavior w:val="content"/>
        </w:behaviors>
        <w:description w:val=""/>
        <w:guid w:val="{650623D4-4120-4574-8B80-5D4FEC24C136}"/>
      </w:docPartPr>
      <w:docPartBody>
        <w:p>
          <w:r>
            <w:rPr>
              <w:color w:val="808080"/>
            </w:rPr>
            <w:t>单击此处输入文字。</w:t>
          </w:r>
        </w:p>
      </w:docPartBody>
    </w:docPart>
    <w:docPart>
      <w:docPartPr>
        <w:name w:val="{03218e3d-c85d-4923-968d-a7fd47c7c1dc}"/>
        <w:style w:val=""/>
        <w:category>
          <w:name w:val="常规"/>
          <w:gallery w:val="placeholder"/>
        </w:category>
        <w:types>
          <w:type w:val="bbPlcHdr"/>
        </w:types>
        <w:behaviors>
          <w:behavior w:val="content"/>
        </w:behaviors>
        <w:description w:val=""/>
        <w:guid w:val="{03218E3D-C85D-4923-968D-A7FD47C7C1DC}"/>
      </w:docPartPr>
      <w:docPartBody>
        <w:p>
          <w:r>
            <w:rPr>
              <w:color w:val="808080"/>
            </w:rPr>
            <w:t>单击此处输入文字。</w:t>
          </w:r>
        </w:p>
      </w:docPartBody>
    </w:docPart>
    <w:docPart>
      <w:docPartPr>
        <w:name w:val="{207d3941-f715-44d3-a5fa-ee1e98d40b86}"/>
        <w:style w:val=""/>
        <w:category>
          <w:name w:val="常规"/>
          <w:gallery w:val="placeholder"/>
        </w:category>
        <w:types>
          <w:type w:val="bbPlcHdr"/>
        </w:types>
        <w:behaviors>
          <w:behavior w:val="content"/>
        </w:behaviors>
        <w:description w:val=""/>
        <w:guid w:val="{207D3941-F715-44D3-A5FA-EE1E98D40B86}"/>
      </w:docPartPr>
      <w:docPartBody>
        <w:p>
          <w:r>
            <w:rPr>
              <w:color w:val="808080"/>
            </w:rPr>
            <w:t>单击此处输入文字。</w:t>
          </w:r>
        </w:p>
      </w:docPartBody>
    </w:docPart>
    <w:docPart>
      <w:docPartPr>
        <w:name w:val="{4acf67f9-8e30-474c-8d24-17d690769880}"/>
        <w:style w:val=""/>
        <w:category>
          <w:name w:val="常规"/>
          <w:gallery w:val="placeholder"/>
        </w:category>
        <w:types>
          <w:type w:val="bbPlcHdr"/>
        </w:types>
        <w:behaviors>
          <w:behavior w:val="content"/>
        </w:behaviors>
        <w:description w:val=""/>
        <w:guid w:val="{4ACF67F9-8E30-474C-8D24-17D690769880}"/>
      </w:docPartPr>
      <w:docPartBody>
        <w:p>
          <w:r>
            <w:rPr>
              <w:color w:val="808080"/>
            </w:rPr>
            <w:t>单击此处输入文字。</w:t>
          </w:r>
        </w:p>
      </w:docPartBody>
    </w:docPart>
    <w:docPart>
      <w:docPartPr>
        <w:name w:val="{b1b0bd44-c06c-44dc-aa5a-745a0cb7450f}"/>
        <w:style w:val=""/>
        <w:category>
          <w:name w:val="常规"/>
          <w:gallery w:val="placeholder"/>
        </w:category>
        <w:types>
          <w:type w:val="bbPlcHdr"/>
        </w:types>
        <w:behaviors>
          <w:behavior w:val="content"/>
        </w:behaviors>
        <w:description w:val=""/>
        <w:guid w:val="{B1B0BD44-C06C-44DC-AA5A-745A0CB7450F}"/>
      </w:docPartPr>
      <w:docPartBody>
        <w:p>
          <w:r>
            <w:rPr>
              <w:color w:val="808080"/>
            </w:rPr>
            <w:t>单击此处输入文字。</w:t>
          </w:r>
        </w:p>
      </w:docPartBody>
    </w:docPart>
    <w:docPart>
      <w:docPartPr>
        <w:name w:val="{639c2daa-f316-4a6d-b9f3-106021524e01}"/>
        <w:style w:val=""/>
        <w:category>
          <w:name w:val="常规"/>
          <w:gallery w:val="placeholder"/>
        </w:category>
        <w:types>
          <w:type w:val="bbPlcHdr"/>
        </w:types>
        <w:behaviors>
          <w:behavior w:val="content"/>
        </w:behaviors>
        <w:description w:val=""/>
        <w:guid w:val="{639C2DAA-F316-4A6D-B9F3-106021524E01}"/>
      </w:docPartPr>
      <w:docPartBody>
        <w:p>
          <w:r>
            <w:rPr>
              <w:color w:val="808080"/>
            </w:rPr>
            <w:t>单击此处输入文字。</w:t>
          </w:r>
        </w:p>
      </w:docPartBody>
    </w:docPart>
    <w:docPart>
      <w:docPartPr>
        <w:name w:val="{14217f13-ea81-4d79-b92a-bd554f44c34d}"/>
        <w:style w:val=""/>
        <w:category>
          <w:name w:val="常规"/>
          <w:gallery w:val="placeholder"/>
        </w:category>
        <w:types>
          <w:type w:val="bbPlcHdr"/>
        </w:types>
        <w:behaviors>
          <w:behavior w:val="content"/>
        </w:behaviors>
        <w:description w:val=""/>
        <w:guid w:val="{14217F13-EA81-4D79-B92A-BD554F44C34D}"/>
      </w:docPartPr>
      <w:docPartBody>
        <w:p>
          <w:r>
            <w:rPr>
              <w:color w:val="808080"/>
            </w:rPr>
            <w:t>单击此处输入文字。</w:t>
          </w:r>
        </w:p>
      </w:docPartBody>
    </w:docPart>
    <w:docPart>
      <w:docPartPr>
        <w:name w:val="{d08f7284-19c5-41c5-bd39-99a2c255942b}"/>
        <w:style w:val=""/>
        <w:category>
          <w:name w:val="常规"/>
          <w:gallery w:val="placeholder"/>
        </w:category>
        <w:types>
          <w:type w:val="bbPlcHdr"/>
        </w:types>
        <w:behaviors>
          <w:behavior w:val="content"/>
        </w:behaviors>
        <w:description w:val=""/>
        <w:guid w:val="{D08F7284-19C5-41C5-BD39-99A2C255942B}"/>
      </w:docPartPr>
      <w:docPartBody>
        <w:p>
          <w:r>
            <w:rPr>
              <w:color w:val="808080"/>
            </w:rPr>
            <w:t>单击此处输入文字。</w:t>
          </w:r>
        </w:p>
      </w:docPartBody>
    </w:docPart>
    <w:docPart>
      <w:docPartPr>
        <w:name w:val="{cc6d6fee-b243-4855-a5ee-fb27c5a04c04}"/>
        <w:style w:val=""/>
        <w:category>
          <w:name w:val="常规"/>
          <w:gallery w:val="placeholder"/>
        </w:category>
        <w:types>
          <w:type w:val="bbPlcHdr"/>
        </w:types>
        <w:behaviors>
          <w:behavior w:val="content"/>
        </w:behaviors>
        <w:description w:val=""/>
        <w:guid w:val="{CC6D6FEE-B243-4855-A5EE-FB27C5A04C04}"/>
      </w:docPartPr>
      <w:docPartBody>
        <w:p>
          <w:r>
            <w:rPr>
              <w:color w:val="808080"/>
            </w:rPr>
            <w:t>单击此处输入文字。</w:t>
          </w:r>
        </w:p>
      </w:docPartBody>
    </w:docPart>
    <w:docPart>
      <w:docPartPr>
        <w:name w:val="{1dffdb04-cebd-4572-9204-b5fce4861bd3}"/>
        <w:style w:val=""/>
        <w:category>
          <w:name w:val="常规"/>
          <w:gallery w:val="placeholder"/>
        </w:category>
        <w:types>
          <w:type w:val="bbPlcHdr"/>
        </w:types>
        <w:behaviors>
          <w:behavior w:val="content"/>
        </w:behaviors>
        <w:description w:val=""/>
        <w:guid w:val="{1DFFDB04-CEBD-4572-9204-B5FCE4861BD3}"/>
      </w:docPartPr>
      <w:docPartBody>
        <w:p>
          <w:r>
            <w:rPr>
              <w:color w:val="808080"/>
            </w:rPr>
            <w:t>单击此处输入文字。</w:t>
          </w:r>
        </w:p>
      </w:docPartBody>
    </w:docPart>
    <w:docPart>
      <w:docPartPr>
        <w:name w:val="{87178d70-a541-4c0f-92e6-2663a214e4c1}"/>
        <w:style w:val=""/>
        <w:category>
          <w:name w:val="常规"/>
          <w:gallery w:val="placeholder"/>
        </w:category>
        <w:types>
          <w:type w:val="bbPlcHdr"/>
        </w:types>
        <w:behaviors>
          <w:behavior w:val="content"/>
        </w:behaviors>
        <w:description w:val=""/>
        <w:guid w:val="{87178D70-A541-4C0F-92E6-2663A214E4C1}"/>
      </w:docPartPr>
      <w:docPartBody>
        <w:p>
          <w:r>
            <w:rPr>
              <w:color w:val="808080"/>
            </w:rPr>
            <w:t>单击此处输入文字。</w:t>
          </w:r>
        </w:p>
      </w:docPartBody>
    </w:docPart>
    <w:docPart>
      <w:docPartPr>
        <w:name w:val="{638a8471-27a1-42e6-bb0b-70a3f91c775b}"/>
        <w:style w:val=""/>
        <w:category>
          <w:name w:val="常规"/>
          <w:gallery w:val="placeholder"/>
        </w:category>
        <w:types>
          <w:type w:val="bbPlcHdr"/>
        </w:types>
        <w:behaviors>
          <w:behavior w:val="content"/>
        </w:behaviors>
        <w:description w:val=""/>
        <w:guid w:val="{638A8471-27A1-42E6-BB0B-70A3F91C775B}"/>
      </w:docPartPr>
      <w:docPartBody>
        <w:p>
          <w:r>
            <w:rPr>
              <w:color w:val="808080"/>
            </w:rPr>
            <w:t>单击此处输入文字。</w:t>
          </w:r>
        </w:p>
      </w:docPartBody>
    </w:docPart>
    <w:docPart>
      <w:docPartPr>
        <w:name w:val="{edccecfb-6d48-427d-a773-13cb0c77c2f4}"/>
        <w:style w:val=""/>
        <w:category>
          <w:name w:val="常规"/>
          <w:gallery w:val="placeholder"/>
        </w:category>
        <w:types>
          <w:type w:val="bbPlcHdr"/>
        </w:types>
        <w:behaviors>
          <w:behavior w:val="content"/>
        </w:behaviors>
        <w:description w:val=""/>
        <w:guid w:val="{EDCCECFB-6D48-427D-A773-13CB0C77C2F4}"/>
      </w:docPartPr>
      <w:docPartBody>
        <w:p>
          <w:r>
            <w:rPr>
              <w:color w:val="808080"/>
            </w:rPr>
            <w:t>单击此处输入文字。</w:t>
          </w:r>
        </w:p>
      </w:docPartBody>
    </w:docPart>
    <w:docPart>
      <w:docPartPr>
        <w:name w:val="{1db3ea88-bb5d-45c8-ac4d-44a8feb76a7b}"/>
        <w:style w:val=""/>
        <w:category>
          <w:name w:val="常规"/>
          <w:gallery w:val="placeholder"/>
        </w:category>
        <w:types>
          <w:type w:val="bbPlcHdr"/>
        </w:types>
        <w:behaviors>
          <w:behavior w:val="content"/>
        </w:behaviors>
        <w:description w:val=""/>
        <w:guid w:val="{1DB3EA88-BB5D-45C8-AC4D-44A8FEB76A7B}"/>
      </w:docPartPr>
      <w:docPartBody>
        <w:p>
          <w:r>
            <w:rPr>
              <w:color w:val="808080"/>
            </w:rPr>
            <w:t>单击此处输入文字。</w:t>
          </w:r>
        </w:p>
      </w:docPartBody>
    </w:docPart>
    <w:docPart>
      <w:docPartPr>
        <w:name w:val="{6890092a-3f5b-48b3-91ff-deeb6f5964e9}"/>
        <w:style w:val=""/>
        <w:category>
          <w:name w:val="常规"/>
          <w:gallery w:val="placeholder"/>
        </w:category>
        <w:types>
          <w:type w:val="bbPlcHdr"/>
        </w:types>
        <w:behaviors>
          <w:behavior w:val="content"/>
        </w:behaviors>
        <w:description w:val=""/>
        <w:guid w:val="{6890092A-3F5B-48B3-91FF-DEEB6F5964E9}"/>
      </w:docPartPr>
      <w:docPartBody>
        <w:p>
          <w:r>
            <w:rPr>
              <w:color w:val="808080"/>
            </w:rPr>
            <w:t>单击此处输入文字。</w:t>
          </w:r>
        </w:p>
      </w:docPartBody>
    </w:docPart>
    <w:docPart>
      <w:docPartPr>
        <w:name w:val="{53b90a03-3aef-4dbc-ac6d-3ec52ef275c0}"/>
        <w:style w:val=""/>
        <w:category>
          <w:name w:val="常规"/>
          <w:gallery w:val="placeholder"/>
        </w:category>
        <w:types>
          <w:type w:val="bbPlcHdr"/>
        </w:types>
        <w:behaviors>
          <w:behavior w:val="content"/>
        </w:behaviors>
        <w:description w:val=""/>
        <w:guid w:val="{53B90A03-3AEF-4DBC-AC6D-3EC52EF275C0}"/>
      </w:docPartPr>
      <w:docPartBody>
        <w:p>
          <w:r>
            <w:rPr>
              <w:color w:val="808080"/>
            </w:rPr>
            <w:t>单击此处输入文字。</w:t>
          </w:r>
        </w:p>
      </w:docPartBody>
    </w:docPart>
    <w:docPart>
      <w:docPartPr>
        <w:name w:val="{042e885d-07a9-499d-b980-4fc0c86d8019}"/>
        <w:style w:val=""/>
        <w:category>
          <w:name w:val="常规"/>
          <w:gallery w:val="placeholder"/>
        </w:category>
        <w:types>
          <w:type w:val="bbPlcHdr"/>
        </w:types>
        <w:behaviors>
          <w:behavior w:val="content"/>
        </w:behaviors>
        <w:description w:val=""/>
        <w:guid w:val="{042E885D-07A9-499D-B980-4FC0C86D8019}"/>
      </w:docPartPr>
      <w:docPartBody>
        <w:p>
          <w:r>
            <w:rPr>
              <w:color w:val="808080"/>
            </w:rPr>
            <w:t>单击此处输入文字。</w:t>
          </w:r>
        </w:p>
      </w:docPartBody>
    </w:docPart>
    <w:docPart>
      <w:docPartPr>
        <w:name w:val="{f7157d80-ae8a-4398-8ce9-a6ceec3b2820}"/>
        <w:style w:val=""/>
        <w:category>
          <w:name w:val="常规"/>
          <w:gallery w:val="placeholder"/>
        </w:category>
        <w:types>
          <w:type w:val="bbPlcHdr"/>
        </w:types>
        <w:behaviors>
          <w:behavior w:val="content"/>
        </w:behaviors>
        <w:description w:val=""/>
        <w:guid w:val="{F7157D80-AE8A-4398-8CE9-A6CEEC3B2820}"/>
      </w:docPartPr>
      <w:docPartBody>
        <w:p>
          <w:r>
            <w:rPr>
              <w:color w:val="808080"/>
            </w:rPr>
            <w:t>单击此处输入文字。</w:t>
          </w:r>
        </w:p>
      </w:docPartBody>
    </w:docPart>
    <w:docPart>
      <w:docPartPr>
        <w:name w:val="{4d1d8e83-0090-4360-a1bf-155a90f2d250}"/>
        <w:style w:val=""/>
        <w:category>
          <w:name w:val="常规"/>
          <w:gallery w:val="placeholder"/>
        </w:category>
        <w:types>
          <w:type w:val="bbPlcHdr"/>
        </w:types>
        <w:behaviors>
          <w:behavior w:val="content"/>
        </w:behaviors>
        <w:description w:val=""/>
        <w:guid w:val="{4D1D8E83-0090-4360-A1BF-155A90F2D250}"/>
      </w:docPartPr>
      <w:docPartBody>
        <w:p>
          <w:r>
            <w:rPr>
              <w:color w:val="808080"/>
            </w:rPr>
            <w:t>单击此处输入文字。</w:t>
          </w:r>
        </w:p>
      </w:docPartBody>
    </w:docPart>
    <w:docPart>
      <w:docPartPr>
        <w:name w:val="{b2a349af-7d7e-4fb7-9aab-1facf53b712f}"/>
        <w:style w:val=""/>
        <w:category>
          <w:name w:val="常规"/>
          <w:gallery w:val="placeholder"/>
        </w:category>
        <w:types>
          <w:type w:val="bbPlcHdr"/>
        </w:types>
        <w:behaviors>
          <w:behavior w:val="content"/>
        </w:behaviors>
        <w:description w:val=""/>
        <w:guid w:val="{B2A349AF-7D7E-4FB7-9AAB-1FACF53B712F}"/>
      </w:docPartPr>
      <w:docPartBody>
        <w:p>
          <w:r>
            <w:rPr>
              <w:color w:val="808080"/>
            </w:rPr>
            <w:t>单击此处输入文字。</w:t>
          </w:r>
        </w:p>
      </w:docPartBody>
    </w:docPart>
    <w:docPart>
      <w:docPartPr>
        <w:name w:val="{cbbe9a49-e62b-4656-aaaa-a9bb80295af3}"/>
        <w:style w:val=""/>
        <w:category>
          <w:name w:val="常规"/>
          <w:gallery w:val="placeholder"/>
        </w:category>
        <w:types>
          <w:type w:val="bbPlcHdr"/>
        </w:types>
        <w:behaviors>
          <w:behavior w:val="content"/>
        </w:behaviors>
        <w:description w:val=""/>
        <w:guid w:val="{CBBE9A49-E62B-4656-AAAA-A9BB80295AF3}"/>
      </w:docPartPr>
      <w:docPartBody>
        <w:p>
          <w:r>
            <w:rPr>
              <w:color w:val="808080"/>
            </w:rPr>
            <w:t>单击此处输入文字。</w:t>
          </w:r>
        </w:p>
      </w:docPartBody>
    </w:docPart>
    <w:docPart>
      <w:docPartPr>
        <w:name w:val="{b4bcc6ef-fc69-4260-a77f-a7fdac9b3760}"/>
        <w:style w:val=""/>
        <w:category>
          <w:name w:val="常规"/>
          <w:gallery w:val="placeholder"/>
        </w:category>
        <w:types>
          <w:type w:val="bbPlcHdr"/>
        </w:types>
        <w:behaviors>
          <w:behavior w:val="content"/>
        </w:behaviors>
        <w:description w:val=""/>
        <w:guid w:val="{B4BCC6EF-FC69-4260-A77F-A7FDAC9B3760}"/>
      </w:docPartPr>
      <w:docPartBody>
        <w:p>
          <w:r>
            <w:rPr>
              <w:color w:val="808080"/>
            </w:rPr>
            <w:t>单击此处输入文字。</w:t>
          </w:r>
        </w:p>
      </w:docPartBody>
    </w:docPart>
    <w:docPart>
      <w:docPartPr>
        <w:name w:val="{d0d36058-5eb3-4d2d-8fb8-efb942af6587}"/>
        <w:style w:val=""/>
        <w:category>
          <w:name w:val="常规"/>
          <w:gallery w:val="placeholder"/>
        </w:category>
        <w:types>
          <w:type w:val="bbPlcHdr"/>
        </w:types>
        <w:behaviors>
          <w:behavior w:val="content"/>
        </w:behaviors>
        <w:description w:val=""/>
        <w:guid w:val="{D0D36058-5EB3-4D2D-8FB8-EFB942AF6587}"/>
      </w:docPartPr>
      <w:docPartBody>
        <w:p>
          <w:r>
            <w:rPr>
              <w:color w:val="808080"/>
            </w:rPr>
            <w:t>单击此处输入文字。</w:t>
          </w:r>
        </w:p>
      </w:docPartBody>
    </w:docPart>
    <w:docPart>
      <w:docPartPr>
        <w:name w:val="{93cf7a18-0729-42a2-a409-8a36b9877190}"/>
        <w:style w:val=""/>
        <w:category>
          <w:name w:val="常规"/>
          <w:gallery w:val="placeholder"/>
        </w:category>
        <w:types>
          <w:type w:val="bbPlcHdr"/>
        </w:types>
        <w:behaviors>
          <w:behavior w:val="content"/>
        </w:behaviors>
        <w:description w:val=""/>
        <w:guid w:val="{93CF7A18-0729-42A2-A409-8A36B9877190}"/>
      </w:docPartPr>
      <w:docPartBody>
        <w:p>
          <w:r>
            <w:rPr>
              <w:color w:val="808080"/>
            </w:rPr>
            <w:t>单击此处输入文字。</w:t>
          </w:r>
        </w:p>
      </w:docPartBody>
    </w:docPart>
    <w:docPart>
      <w:docPartPr>
        <w:name w:val="{d719a17d-404e-47db-b0f2-1a381c4895ac}"/>
        <w:style w:val=""/>
        <w:category>
          <w:name w:val="常规"/>
          <w:gallery w:val="placeholder"/>
        </w:category>
        <w:types>
          <w:type w:val="bbPlcHdr"/>
        </w:types>
        <w:behaviors>
          <w:behavior w:val="content"/>
        </w:behaviors>
        <w:description w:val=""/>
        <w:guid w:val="{D719A17D-404E-47DB-B0F2-1A381C4895AC}"/>
      </w:docPartPr>
      <w:docPartBody>
        <w:p>
          <w:r>
            <w:rPr>
              <w:color w:val="808080"/>
            </w:rPr>
            <w:t>单击此处输入文字。</w:t>
          </w:r>
        </w:p>
      </w:docPartBody>
    </w:docPart>
    <w:docPart>
      <w:docPartPr>
        <w:name w:val="{624690c5-e14e-467a-bd77-9cfa4dbc3c3c}"/>
        <w:style w:val=""/>
        <w:category>
          <w:name w:val="常规"/>
          <w:gallery w:val="placeholder"/>
        </w:category>
        <w:types>
          <w:type w:val="bbPlcHdr"/>
        </w:types>
        <w:behaviors>
          <w:behavior w:val="content"/>
        </w:behaviors>
        <w:description w:val=""/>
        <w:guid w:val="{624690C5-E14E-467A-BD77-9CFA4DBC3C3C}"/>
      </w:docPartPr>
      <w:docPartBody>
        <w:p>
          <w:r>
            <w:rPr>
              <w:color w:val="808080"/>
            </w:rPr>
            <w:t>单击此处输入文字。</w:t>
          </w:r>
        </w:p>
      </w:docPartBody>
    </w:docPart>
    <w:docPart>
      <w:docPartPr>
        <w:name w:val="{1d0130cc-11d6-479b-a210-58404ae27af4}"/>
        <w:style w:val=""/>
        <w:category>
          <w:name w:val="常规"/>
          <w:gallery w:val="placeholder"/>
        </w:category>
        <w:types>
          <w:type w:val="bbPlcHdr"/>
        </w:types>
        <w:behaviors>
          <w:behavior w:val="content"/>
        </w:behaviors>
        <w:description w:val=""/>
        <w:guid w:val="{1D0130CC-11D6-479B-A210-58404AE27AF4}"/>
      </w:docPartPr>
      <w:docPartBody>
        <w:p>
          <w:r>
            <w:rPr>
              <w:color w:val="808080"/>
            </w:rPr>
            <w:t>单击此处输入文字。</w:t>
          </w:r>
        </w:p>
      </w:docPartBody>
    </w:docPart>
    <w:docPart>
      <w:docPartPr>
        <w:name w:val="{7829d7b1-8bcd-482d-8669-0de9da4cb4fd}"/>
        <w:style w:val=""/>
        <w:category>
          <w:name w:val="常规"/>
          <w:gallery w:val="placeholder"/>
        </w:category>
        <w:types>
          <w:type w:val="bbPlcHdr"/>
        </w:types>
        <w:behaviors>
          <w:behavior w:val="content"/>
        </w:behaviors>
        <w:description w:val=""/>
        <w:guid w:val="{7829D7B1-8BCD-482D-8669-0DE9DA4CB4FD}"/>
      </w:docPartPr>
      <w:docPartBody>
        <w:p>
          <w:r>
            <w:rPr>
              <w:color w:val="808080"/>
            </w:rPr>
            <w:t>单击此处输入文字。</w:t>
          </w:r>
        </w:p>
      </w:docPartBody>
    </w:docPart>
    <w:docPart>
      <w:docPartPr>
        <w:name w:val="{55530100-d15a-421c-88ab-a26a09904619}"/>
        <w:style w:val=""/>
        <w:category>
          <w:name w:val="常规"/>
          <w:gallery w:val="placeholder"/>
        </w:category>
        <w:types>
          <w:type w:val="bbPlcHdr"/>
        </w:types>
        <w:behaviors>
          <w:behavior w:val="content"/>
        </w:behaviors>
        <w:description w:val=""/>
        <w:guid w:val="{55530100-D15A-421C-88AB-A26A09904619}"/>
      </w:docPartPr>
      <w:docPartBody>
        <w:p>
          <w:r>
            <w:rPr>
              <w:color w:val="808080"/>
            </w:rPr>
            <w:t>单击此处输入文字。</w:t>
          </w:r>
        </w:p>
      </w:docPartBody>
    </w:docPart>
    <w:docPart>
      <w:docPartPr>
        <w:name w:val="{8ecbcca8-2157-4b3b-a4b9-4cbe742c1aaf}"/>
        <w:style w:val=""/>
        <w:category>
          <w:name w:val="常规"/>
          <w:gallery w:val="placeholder"/>
        </w:category>
        <w:types>
          <w:type w:val="bbPlcHdr"/>
        </w:types>
        <w:behaviors>
          <w:behavior w:val="content"/>
        </w:behaviors>
        <w:description w:val=""/>
        <w:guid w:val="{8ECBCCA8-2157-4B3B-A4B9-4CBE742C1AAF}"/>
      </w:docPartPr>
      <w:docPartBody>
        <w:p>
          <w:r>
            <w:rPr>
              <w:color w:val="808080"/>
            </w:rPr>
            <w:t>单击此处输入文字。</w:t>
          </w:r>
        </w:p>
      </w:docPartBody>
    </w:docPart>
    <w:docPart>
      <w:docPartPr>
        <w:name w:val="{f2c4a4f0-6dd3-45dd-af14-d2d7f7664626}"/>
        <w:style w:val=""/>
        <w:category>
          <w:name w:val="常规"/>
          <w:gallery w:val="placeholder"/>
        </w:category>
        <w:types>
          <w:type w:val="bbPlcHdr"/>
        </w:types>
        <w:behaviors>
          <w:behavior w:val="content"/>
        </w:behaviors>
        <w:description w:val=""/>
        <w:guid w:val="{F2C4A4F0-6DD3-45DD-AF14-D2D7F7664626}"/>
      </w:docPartPr>
      <w:docPartBody>
        <w:p>
          <w:r>
            <w:rPr>
              <w:color w:val="808080"/>
            </w:rPr>
            <w:t>单击此处输入文字。</w:t>
          </w:r>
        </w:p>
      </w:docPartBody>
    </w:docPart>
    <w:docPart>
      <w:docPartPr>
        <w:name w:val="{312aa802-bac5-4183-9fec-92b3649c8078}"/>
        <w:style w:val=""/>
        <w:category>
          <w:name w:val="常规"/>
          <w:gallery w:val="placeholder"/>
        </w:category>
        <w:types>
          <w:type w:val="bbPlcHdr"/>
        </w:types>
        <w:behaviors>
          <w:behavior w:val="content"/>
        </w:behaviors>
        <w:description w:val=""/>
        <w:guid w:val="{312AA802-BAC5-4183-9FEC-92B3649C807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A9"/>
    <w:rsid w:val="004578A9"/>
    <w:rsid w:val="00DA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51FAF-29C7-4952-BC65-2F315D509FB2}">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51540</Words>
  <Characters>53005</Characters>
  <Lines>412</Lines>
  <Paragraphs>116</Paragraphs>
  <TotalTime>68</TotalTime>
  <ScaleCrop>false</ScaleCrop>
  <LinksUpToDate>false</LinksUpToDate>
  <CharactersWithSpaces>53135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2024-04-28T03:45:00Z</dcterms:created>
  <dc:creator>rollox1</dc:creator>
  <cp:lastModifiedBy>yuchury</cp:lastModifiedBy>
  <cp:lastPrinted>2024-04-07T06:05:00Z</cp:lastPrinted>
  <dcterms:modified xsi:type="dcterms:W3CDTF">2024-05-20T08:26:32Z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4EA55B281225443AA0891420C17BB2B2_12</vt:lpwstr>
  </property>
</Properties>
</file>