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1B5C1" w14:textId="2C063F73" w:rsidR="008475BD" w:rsidRDefault="00514399">
      <w:pPr>
        <w:pStyle w:val="BodyText"/>
        <w:spacing w:after="0" w:line="560" w:lineRule="exact"/>
        <w:jc w:val="left"/>
        <w:rPr>
          <w:rFonts w:ascii="黑体" w:eastAsia="黑体" w:hAnsi="黑体" w:cs="方正仿宋_GBK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方正仿宋_GBK" w:hint="eastAsia"/>
          <w:bCs/>
          <w:color w:val="000000"/>
          <w:kern w:val="0"/>
          <w:sz w:val="32"/>
          <w:szCs w:val="32"/>
        </w:rPr>
        <w:t>附件1</w:t>
      </w:r>
    </w:p>
    <w:p w14:paraId="4666B602" w14:textId="77777777" w:rsidR="008475BD" w:rsidRDefault="008475BD">
      <w:pPr>
        <w:spacing w:line="560" w:lineRule="exact"/>
        <w:jc w:val="left"/>
        <w:rPr>
          <w:rFonts w:ascii="方正小标宋简体" w:eastAsia="方正小标宋简体"/>
          <w:color w:val="000000"/>
          <w:sz w:val="44"/>
          <w:szCs w:val="32"/>
        </w:rPr>
      </w:pPr>
    </w:p>
    <w:p w14:paraId="6D613F2B" w14:textId="77777777" w:rsidR="008475BD" w:rsidRDefault="008475BD">
      <w:pPr>
        <w:spacing w:line="560" w:lineRule="exact"/>
        <w:jc w:val="left"/>
        <w:rPr>
          <w:rFonts w:ascii="方正小标宋简体" w:eastAsia="方正小标宋简体"/>
          <w:color w:val="000000"/>
          <w:sz w:val="44"/>
          <w:szCs w:val="32"/>
        </w:rPr>
      </w:pPr>
    </w:p>
    <w:p w14:paraId="46C149A9" w14:textId="77777777" w:rsidR="008475BD" w:rsidRDefault="00253BDD">
      <w:pPr>
        <w:spacing w:line="560" w:lineRule="exact"/>
        <w:jc w:val="center"/>
        <w:rPr>
          <w:rFonts w:ascii="方正小标宋简体" w:eastAsia="方正小标宋简体"/>
          <w:color w:val="000000"/>
          <w:sz w:val="48"/>
          <w:szCs w:val="36"/>
        </w:rPr>
      </w:pPr>
      <w:r>
        <w:rPr>
          <w:rFonts w:ascii="方正小标宋简体" w:eastAsia="方正小标宋简体" w:hint="eastAsia"/>
          <w:color w:val="000000"/>
          <w:sz w:val="48"/>
          <w:szCs w:val="36"/>
        </w:rPr>
        <w:t>海淀区加快优化营商环境和创新生态，</w:t>
      </w:r>
    </w:p>
    <w:p w14:paraId="0033A7BF" w14:textId="77777777" w:rsidR="008475BD" w:rsidRDefault="00253BDD">
      <w:pPr>
        <w:spacing w:line="560" w:lineRule="exact"/>
        <w:jc w:val="center"/>
        <w:rPr>
          <w:rFonts w:ascii="方正小标宋简体" w:eastAsia="方正小标宋简体"/>
          <w:color w:val="000000"/>
          <w:sz w:val="48"/>
          <w:szCs w:val="36"/>
        </w:rPr>
      </w:pPr>
      <w:r>
        <w:rPr>
          <w:rFonts w:ascii="方正小标宋简体" w:eastAsia="方正小标宋简体" w:hint="eastAsia"/>
          <w:color w:val="000000"/>
          <w:sz w:val="48"/>
          <w:szCs w:val="36"/>
        </w:rPr>
        <w:t>服务高质量发展实施方案</w:t>
      </w:r>
    </w:p>
    <w:p w14:paraId="58B70B93" w14:textId="77777777" w:rsidR="008475BD" w:rsidRDefault="00253BDD">
      <w:pPr>
        <w:spacing w:line="560" w:lineRule="exact"/>
        <w:jc w:val="center"/>
        <w:rPr>
          <w:rFonts w:ascii="方正小标宋简体" w:eastAsia="方正小标宋简体"/>
          <w:color w:val="000000"/>
          <w:sz w:val="48"/>
          <w:szCs w:val="36"/>
        </w:rPr>
      </w:pPr>
      <w:r>
        <w:rPr>
          <w:rFonts w:ascii="方正小标宋简体" w:eastAsia="方正小标宋简体" w:hint="eastAsia"/>
          <w:color w:val="000000"/>
          <w:sz w:val="48"/>
          <w:szCs w:val="36"/>
        </w:rPr>
        <w:t>（征求意见稿）</w:t>
      </w:r>
    </w:p>
    <w:p w14:paraId="0143E14C" w14:textId="77777777" w:rsidR="008475BD" w:rsidRDefault="008475BD">
      <w:pPr>
        <w:spacing w:line="560" w:lineRule="exact"/>
        <w:jc w:val="left"/>
        <w:rPr>
          <w:rFonts w:ascii="方正小标宋简体" w:eastAsia="方正小标宋简体"/>
          <w:color w:val="000000"/>
          <w:sz w:val="48"/>
          <w:szCs w:val="36"/>
        </w:rPr>
      </w:pPr>
    </w:p>
    <w:p w14:paraId="2426C8C6" w14:textId="77777777" w:rsidR="008475BD" w:rsidRDefault="008475BD">
      <w:pPr>
        <w:spacing w:line="560" w:lineRule="exact"/>
        <w:jc w:val="left"/>
        <w:rPr>
          <w:rFonts w:ascii="方正小标宋简体" w:eastAsia="方正小标宋简体"/>
          <w:color w:val="000000"/>
          <w:sz w:val="48"/>
          <w:szCs w:val="36"/>
        </w:rPr>
      </w:pPr>
    </w:p>
    <w:p w14:paraId="7EF11531" w14:textId="77777777" w:rsidR="008475BD" w:rsidRDefault="008475BD">
      <w:pPr>
        <w:spacing w:line="560" w:lineRule="exact"/>
        <w:jc w:val="left"/>
        <w:rPr>
          <w:rFonts w:ascii="方正小标宋简体" w:eastAsia="方正小标宋简体"/>
          <w:color w:val="000000"/>
          <w:sz w:val="48"/>
          <w:szCs w:val="36"/>
        </w:rPr>
      </w:pPr>
    </w:p>
    <w:p w14:paraId="01C6E62A" w14:textId="77777777" w:rsidR="008475BD" w:rsidRDefault="008475BD">
      <w:pPr>
        <w:spacing w:line="560" w:lineRule="exact"/>
        <w:jc w:val="left"/>
        <w:rPr>
          <w:rFonts w:ascii="仿宋_GB2312" w:hAnsi="仿宋_GB2312"/>
          <w:b/>
          <w:bCs/>
          <w:color w:val="000000"/>
          <w:sz w:val="36"/>
        </w:rPr>
      </w:pPr>
    </w:p>
    <w:p w14:paraId="46787D99" w14:textId="77777777" w:rsidR="008475BD" w:rsidRDefault="008475BD">
      <w:pPr>
        <w:spacing w:line="560" w:lineRule="exact"/>
        <w:jc w:val="left"/>
        <w:rPr>
          <w:rFonts w:ascii="仿宋_GB2312" w:hAnsi="仿宋_GB2312"/>
          <w:b/>
          <w:bCs/>
          <w:color w:val="000000"/>
          <w:sz w:val="36"/>
        </w:rPr>
      </w:pPr>
    </w:p>
    <w:p w14:paraId="17773419" w14:textId="77777777" w:rsidR="008475BD" w:rsidRDefault="008475BD">
      <w:pPr>
        <w:pStyle w:val="BodyText"/>
        <w:rPr>
          <w:rFonts w:ascii="仿宋_GB2312" w:hAnsi="仿宋_GB2312"/>
          <w:b/>
          <w:bCs/>
          <w:color w:val="000000"/>
          <w:sz w:val="36"/>
        </w:rPr>
      </w:pPr>
    </w:p>
    <w:p w14:paraId="53166192" w14:textId="77777777" w:rsidR="008475BD" w:rsidRDefault="008475BD">
      <w:pPr>
        <w:rPr>
          <w:rFonts w:ascii="仿宋_GB2312" w:hAnsi="仿宋_GB2312"/>
          <w:b/>
          <w:bCs/>
          <w:color w:val="000000"/>
          <w:sz w:val="36"/>
        </w:rPr>
      </w:pPr>
    </w:p>
    <w:p w14:paraId="1CAA0A9D" w14:textId="77777777" w:rsidR="008475BD" w:rsidRDefault="008475BD">
      <w:pPr>
        <w:pStyle w:val="BodyText"/>
        <w:rPr>
          <w:rFonts w:ascii="仿宋_GB2312" w:hAnsi="仿宋_GB2312"/>
          <w:b/>
          <w:bCs/>
          <w:color w:val="000000"/>
          <w:sz w:val="36"/>
        </w:rPr>
      </w:pPr>
    </w:p>
    <w:p w14:paraId="4265E414" w14:textId="77777777" w:rsidR="008475BD" w:rsidRDefault="008475BD">
      <w:pPr>
        <w:rPr>
          <w:rFonts w:ascii="仿宋_GB2312" w:hAnsi="仿宋_GB2312"/>
          <w:b/>
          <w:bCs/>
          <w:color w:val="000000"/>
          <w:sz w:val="36"/>
        </w:rPr>
      </w:pPr>
    </w:p>
    <w:p w14:paraId="59EBB233" w14:textId="77777777" w:rsidR="008475BD" w:rsidRDefault="008475BD">
      <w:pPr>
        <w:pStyle w:val="BodyText"/>
        <w:rPr>
          <w:rFonts w:ascii="仿宋_GB2312" w:hAnsi="仿宋_GB2312"/>
          <w:b/>
          <w:bCs/>
          <w:color w:val="000000"/>
          <w:sz w:val="36"/>
        </w:rPr>
      </w:pPr>
    </w:p>
    <w:p w14:paraId="42202DB0" w14:textId="77777777" w:rsidR="008475BD" w:rsidRDefault="008475BD"/>
    <w:p w14:paraId="678586A3" w14:textId="77777777" w:rsidR="008475BD" w:rsidRDefault="008475BD">
      <w:pPr>
        <w:spacing w:line="560" w:lineRule="exact"/>
        <w:jc w:val="left"/>
        <w:rPr>
          <w:rFonts w:ascii="仿宋_GB2312" w:hAnsi="仿宋_GB2312"/>
          <w:b/>
          <w:bCs/>
          <w:color w:val="000000"/>
          <w:sz w:val="36"/>
        </w:rPr>
      </w:pPr>
    </w:p>
    <w:p w14:paraId="088B02EB" w14:textId="77777777" w:rsidR="008475BD" w:rsidRDefault="008475BD">
      <w:pPr>
        <w:spacing w:line="560" w:lineRule="exact"/>
        <w:jc w:val="left"/>
        <w:rPr>
          <w:rFonts w:ascii="仿宋_GB2312" w:hAnsi="仿宋_GB2312"/>
          <w:b/>
          <w:bCs/>
          <w:color w:val="000000"/>
          <w:sz w:val="36"/>
        </w:rPr>
      </w:pPr>
    </w:p>
    <w:p w14:paraId="57FBB3D5" w14:textId="77777777" w:rsidR="008475BD" w:rsidRDefault="00253BDD">
      <w:pPr>
        <w:spacing w:line="560" w:lineRule="exact"/>
        <w:jc w:val="center"/>
        <w:rPr>
          <w:rFonts w:ascii="仿宋_GB2312" w:hAnsi="仿宋_GB2312"/>
          <w:b/>
          <w:bCs/>
          <w:color w:val="000000"/>
          <w:sz w:val="36"/>
        </w:rPr>
      </w:pPr>
      <w:r>
        <w:rPr>
          <w:rFonts w:ascii="仿宋_GB2312" w:hAnsi="仿宋_GB2312" w:hint="eastAsia"/>
          <w:b/>
          <w:bCs/>
          <w:color w:val="000000"/>
          <w:sz w:val="36"/>
        </w:rPr>
        <w:t>海淀区发展和改革委员会</w:t>
      </w:r>
    </w:p>
    <w:p w14:paraId="6E2ED0A3" w14:textId="32A16C19" w:rsidR="008475BD" w:rsidRDefault="00F26A99">
      <w:pPr>
        <w:spacing w:line="560" w:lineRule="exact"/>
        <w:jc w:val="center"/>
        <w:rPr>
          <w:lang w:val="en"/>
        </w:rPr>
      </w:pPr>
      <w:r>
        <w:rPr>
          <w:rFonts w:ascii="仿宋_GB2312" w:hAnsi="仿宋_GB2312" w:hint="eastAsia"/>
          <w:b/>
          <w:bCs/>
          <w:color w:val="000000"/>
          <w:sz w:val="36"/>
        </w:rPr>
        <w:t>2024</w:t>
      </w:r>
      <w:r>
        <w:rPr>
          <w:rFonts w:ascii="仿宋_GB2312" w:hAnsi="仿宋_GB2312" w:hint="eastAsia"/>
          <w:b/>
          <w:bCs/>
          <w:color w:val="000000"/>
          <w:sz w:val="36"/>
        </w:rPr>
        <w:t>年</w:t>
      </w:r>
      <w:r>
        <w:rPr>
          <w:rFonts w:ascii="仿宋_GB2312" w:hAnsi="仿宋_GB2312"/>
          <w:b/>
          <w:bCs/>
          <w:color w:val="000000"/>
          <w:sz w:val="36"/>
        </w:rPr>
        <w:t>5</w:t>
      </w:r>
      <w:r w:rsidR="00253BDD">
        <w:rPr>
          <w:rFonts w:ascii="仿宋_GB2312" w:hAnsi="仿宋_GB2312" w:hint="eastAsia"/>
          <w:b/>
          <w:bCs/>
          <w:color w:val="000000"/>
          <w:sz w:val="36"/>
        </w:rPr>
        <w:t>月</w:t>
      </w:r>
    </w:p>
    <w:p w14:paraId="1506EA63" w14:textId="46CF10E2" w:rsidR="008475BD" w:rsidRDefault="00253BDD" w:rsidP="00514A68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br w:type="page"/>
      </w:r>
      <w:bookmarkStart w:id="0" w:name="_Toc157929034"/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一、总体要求</w:t>
      </w:r>
      <w:bookmarkEnd w:id="0"/>
    </w:p>
    <w:p w14:paraId="455AA477" w14:textId="77777777" w:rsidR="008475BD" w:rsidRDefault="00253BDD">
      <w:pPr>
        <w:pStyle w:val="a3"/>
        <w:spacing w:after="0"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以习近平新时代中国特色社会主义思想为指导，全面贯彻落实党的二十大和二十届二中全会精神，深入贯彻习近平总书记对北京重要讲话和对中关村重要指示精神，深入落实《北京市全面优化营商环境打造“北京服务”的意见》部署要求，坚持以市场评价和企业感受度为标准，以创新链、产业链和要素</w:t>
      </w:r>
      <w:proofErr w:type="gramStart"/>
      <w:r>
        <w:rPr>
          <w:rFonts w:ascii="仿宋_GB2312" w:eastAsia="仿宋_GB2312" w:hAnsi="仿宋_GB2312" w:hint="eastAsia"/>
          <w:color w:val="000000"/>
          <w:sz w:val="32"/>
          <w:szCs w:val="32"/>
        </w:rPr>
        <w:t>链需求</w:t>
      </w:r>
      <w:proofErr w:type="gramEnd"/>
      <w:r>
        <w:rPr>
          <w:rFonts w:ascii="仿宋_GB2312" w:eastAsia="仿宋_GB2312" w:hAnsi="仿宋_GB2312" w:hint="eastAsia"/>
          <w:color w:val="000000"/>
          <w:sz w:val="32"/>
          <w:szCs w:val="32"/>
        </w:rPr>
        <w:t>为导向，以实现区、街镇一体化推动为抓手，聚焦中关村科学城建设，在充分整合教育、科技、人才资源优势的基础上，围绕区域重点发展的战略性新兴产业和未来产业，优化科技创新和产业发展全要素供给，加强企业全生命周期服务，塑造“海淀服务”品牌，努力打造领先的创新生态和产业生态，创建国际一流、国内最优的营商环境，为加快建设现代化强区、高品质海淀，当好新时代首都高质量发展排头兵、新质生产力示范区夯实根基。</w:t>
      </w:r>
    </w:p>
    <w:p w14:paraId="41645487" w14:textId="77777777" w:rsidR="008475BD" w:rsidRDefault="00253BD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力争到2025年，“海淀服务”品牌效应显著提升，在办事效率、服务速度、企业感知三个维度走在全国前列，人才活力更加强劲，市场主体更加活跃，创新资源更加集聚，加快形成新质生产力，进一步壮大发展新动能新优势。</w:t>
      </w:r>
    </w:p>
    <w:p w14:paraId="410B9D14" w14:textId="77777777" w:rsidR="008475BD" w:rsidRDefault="00253BDD">
      <w:pPr>
        <w:spacing w:line="560" w:lineRule="exact"/>
        <w:ind w:firstLineChars="200" w:firstLine="643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更高的“海淀效率”。</w:t>
      </w:r>
      <w:r>
        <w:rPr>
          <w:rFonts w:ascii="仿宋_GB2312" w:eastAsia="仿宋_GB2312" w:hAnsi="仿宋_GB2312" w:hint="eastAsia"/>
          <w:sz w:val="32"/>
          <w:szCs w:val="32"/>
        </w:rPr>
        <w:t>营商环境先行先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试改革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取得重要突破，政策落地“最后一公里”有效打通，同类事项办事环节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最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简、材料最少、便利度最优、满意度最高，确保政务服务标准、服务效率、服务品质走在全国前列。</w:t>
      </w:r>
    </w:p>
    <w:p w14:paraId="7595E087" w14:textId="77777777" w:rsidR="008475BD" w:rsidRDefault="00253BDD">
      <w:pPr>
        <w:spacing w:line="560" w:lineRule="exact"/>
        <w:ind w:firstLineChars="200" w:firstLine="643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更快的“海淀响应”。</w:t>
      </w:r>
      <w:r>
        <w:rPr>
          <w:rFonts w:ascii="仿宋_GB2312" w:eastAsia="仿宋_GB2312" w:hAnsi="仿宋_GB2312" w:hint="eastAsia"/>
          <w:sz w:val="32"/>
          <w:szCs w:val="32"/>
        </w:rPr>
        <w:t>面向未来产业发展，前瞻发现新技术、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新业态的萌芽与迭代趋势，发展服务诉求响应快速，要素匹配、生态服务与政策牵引有力，与未来产业同向而行，确保对新经济的包容度、牵引度走在全国前列。</w:t>
      </w:r>
    </w:p>
    <w:p w14:paraId="11D39A33" w14:textId="77777777" w:rsidR="008475BD" w:rsidRDefault="00253BDD">
      <w:pPr>
        <w:widowControl/>
        <w:spacing w:line="560" w:lineRule="exact"/>
        <w:ind w:firstLineChars="200" w:firstLine="643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更暖的“海淀温度”。</w:t>
      </w:r>
      <w:r>
        <w:rPr>
          <w:rFonts w:ascii="仿宋_GB2312" w:eastAsia="仿宋_GB2312" w:hAnsi="仿宋_GB2312" w:hint="eastAsia"/>
          <w:sz w:val="32"/>
          <w:szCs w:val="32"/>
        </w:rPr>
        <w:t>政企常态化沟通机制完善，企业家成长发展平台持续扩大，法治保障、人文关怀、生活服务环境持续提升，新时代中关村精神发扬光大，近悦远来的城市魅力进一步彰显，确保企业归属感、获得感走在全国前列。</w:t>
      </w:r>
    </w:p>
    <w:p w14:paraId="7DCF5371" w14:textId="77777777" w:rsidR="008475BD" w:rsidRDefault="00253BDD" w:rsidP="00514A68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bookmarkStart w:id="1" w:name="_Toc30447"/>
      <w:bookmarkStart w:id="2" w:name="_Toc5909"/>
      <w:bookmarkStart w:id="3" w:name="_Toc31782"/>
      <w:bookmarkStart w:id="4" w:name="_Toc155346079"/>
      <w:bookmarkStart w:id="5" w:name="_Toc157929035"/>
      <w:bookmarkEnd w:id="1"/>
      <w:bookmarkEnd w:id="2"/>
      <w:bookmarkEnd w:id="3"/>
      <w:bookmarkEnd w:id="4"/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bookmarkEnd w:id="5"/>
      <w:r>
        <w:rPr>
          <w:rFonts w:ascii="黑体" w:eastAsia="黑体" w:hAnsi="黑体" w:hint="eastAsia"/>
          <w:color w:val="000000"/>
          <w:sz w:val="32"/>
          <w:szCs w:val="32"/>
        </w:rPr>
        <w:t>聚焦“六大环境”，提升对企服务质效，全力推动“海淀服务”新跃升</w:t>
      </w:r>
    </w:p>
    <w:p w14:paraId="15C109BE" w14:textId="77777777" w:rsidR="008475BD" w:rsidRDefault="00253BDD" w:rsidP="00514A68">
      <w:pPr>
        <w:spacing w:line="560" w:lineRule="exact"/>
        <w:ind w:firstLineChars="200" w:firstLine="640"/>
        <w:outlineLvl w:val="1"/>
        <w:rPr>
          <w:rFonts w:ascii="楷体_GB2312" w:eastAsia="楷体_GB2312" w:hAnsi="楷体_GB2312"/>
          <w:color w:val="000000"/>
          <w:sz w:val="32"/>
        </w:rPr>
      </w:pPr>
      <w:r>
        <w:rPr>
          <w:rFonts w:ascii="楷体_GB2312" w:eastAsia="楷体_GB2312" w:hAnsi="楷体_GB2312" w:hint="eastAsia"/>
          <w:color w:val="000000"/>
          <w:sz w:val="32"/>
        </w:rPr>
        <w:t>（一）打造优质活跃的创新生态环境</w:t>
      </w:r>
    </w:p>
    <w:p w14:paraId="299F82E2" w14:textId="77777777" w:rsidR="008475BD" w:rsidRDefault="00253BD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hAnsi="仿宋_GB2312" w:hint="eastAsia"/>
          <w:color w:val="000000"/>
          <w:sz w:val="32"/>
        </w:rPr>
        <w:t>不同阶段、不同类型企业经营发展需求为重点，分类引导，精准施策，建立多层次、递进式培育服务体系，营造科技型企业孵化、成长、壮大的全生命周期创新生态，构建龙头引领、梯队协同、链群互动的企业发展格局。</w:t>
      </w:r>
    </w:p>
    <w:p w14:paraId="676CEF2B" w14:textId="75BCC303" w:rsidR="008475BD" w:rsidRDefault="00253BDD">
      <w:pPr>
        <w:spacing w:line="560" w:lineRule="exact"/>
        <w:ind w:firstLineChars="200" w:firstLine="643"/>
        <w:rPr>
          <w:rFonts w:ascii="楷体_GB2312" w:eastAsia="楷体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1.实施中小企业“雨润”行动。</w:t>
      </w:r>
      <w:r>
        <w:rPr>
          <w:rFonts w:ascii="仿宋_GB2312" w:eastAsia="仿宋_GB2312" w:hAnsi="仿宋_GB2312" w:hint="eastAsia"/>
          <w:color w:val="000000"/>
          <w:sz w:val="32"/>
        </w:rPr>
        <w:t>建立潜力中小企业重点培育库，加强部门服务联动，遴选储备一批创新性强、成长性高、专业性好的优质中小企业，自2024年起每年安排不少于3亿元专项资金，支持不少于500家优质科技中小企业。支持创新创业服务平台发展，2024年安排不少于5亿元专项资金，支持不少于30家高水平创新创业服务平台，进一步解决阻碍创新创业企业成长的关键问题。向中小企业开放应用场景和创新资源，举办大中小企业融通创新对接活动，推动国有企业、大型科技企业将优</w:t>
      </w:r>
      <w:r>
        <w:rPr>
          <w:rFonts w:ascii="仿宋_GB2312" w:eastAsia="仿宋_GB2312" w:hAnsi="仿宋_GB2312" w:hint="eastAsia"/>
          <w:color w:val="000000"/>
          <w:sz w:val="32"/>
        </w:rPr>
        <w:lastRenderedPageBreak/>
        <w:t>质中小企业纳入供应商目录，以大带小、以强带优，形成大中小企业融通共生发展生态。</w:t>
      </w:r>
    </w:p>
    <w:p w14:paraId="59202102" w14:textId="65923250" w:rsidR="008475BD" w:rsidRDefault="00253BDD">
      <w:pPr>
        <w:pStyle w:val="BodyText"/>
        <w:spacing w:after="0" w:line="560" w:lineRule="exact"/>
        <w:ind w:firstLineChars="200" w:firstLine="643"/>
        <w:rPr>
          <w:rFonts w:ascii="楷体_GB2312" w:eastAsia="楷体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2.实施高成长企业培育行动。</w:t>
      </w:r>
      <w:r w:rsidR="00211EF3">
        <w:rPr>
          <w:rFonts w:ascii="仿宋_GB2312" w:eastAsia="仿宋_GB2312" w:hAnsi="仿宋_GB2312" w:hint="eastAsia"/>
          <w:color w:val="000000"/>
          <w:sz w:val="32"/>
        </w:rPr>
        <w:t>建立上市企业储备库，挂牌“全国股转系统北京证券交易所海淀服务基地”，推动更多科技型企业挂牌上市。</w:t>
      </w:r>
      <w:r>
        <w:rPr>
          <w:rFonts w:ascii="仿宋_GB2312" w:eastAsia="仿宋_GB2312" w:hAnsi="仿宋_GB2312" w:hint="eastAsia"/>
          <w:color w:val="000000"/>
          <w:sz w:val="32"/>
        </w:rPr>
        <w:t>做好高成长企业跟踪服务，加强产业生态主导型企业的空间保障，促进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集群化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发展。支持重点领域的领军企业带动上下游生态伙伴合作，共同开展研发攻关，开放共享数据资源。加大“专精特新”企业培育力度，做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强做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精一批专业能力强、产品技术过硬的硬件制造或软件开发企业群体。发挥政府基金的引导作用，联合国有投资平台、社会投资机构，加强对重点领域高成长企业的产业投资，推动一批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硬科技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领域优质成果和项目落地。</w:t>
      </w:r>
    </w:p>
    <w:p w14:paraId="409F2224" w14:textId="77777777" w:rsidR="008475BD" w:rsidRDefault="00253BD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实施链主企业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“拓峰”行动。</w:t>
      </w:r>
      <w:r>
        <w:rPr>
          <w:rFonts w:ascii="仿宋_GB2312" w:eastAsia="仿宋_GB2312" w:hint="eastAsia"/>
          <w:sz w:val="32"/>
          <w:szCs w:val="32"/>
        </w:rPr>
        <w:t>实施“总部倍增计划”，支持打造总部经济发展集群。支持符合条件的“链主”企业积极参与中关村“强链工程”，围绕未来产业、战略性新兴产业、关键环节的核心技术需求，面向国内外遴选揭榜单位，组建创新联合体开展研发攻关，构建自主可控的高精尖产业生态。建立重点企业服务工作机制，</w:t>
      </w:r>
      <w:proofErr w:type="gramStart"/>
      <w:r>
        <w:rPr>
          <w:rFonts w:ascii="仿宋_GB2312" w:eastAsia="仿宋_GB2312" w:hint="eastAsia"/>
          <w:sz w:val="32"/>
          <w:szCs w:val="32"/>
        </w:rPr>
        <w:t>对央企</w:t>
      </w:r>
      <w:proofErr w:type="gramEnd"/>
      <w:r>
        <w:rPr>
          <w:rFonts w:ascii="仿宋_GB2312" w:eastAsia="仿宋_GB2312" w:hint="eastAsia"/>
          <w:sz w:val="32"/>
          <w:szCs w:val="32"/>
        </w:rPr>
        <w:t>、“链主”企业、独角兽实行重点服务，按需定制，精准提供人才、空间、投资、上市、商务配套等优质服务。支持大型龙头企业瞄准产业</w:t>
      </w:r>
      <w:proofErr w:type="gramStart"/>
      <w:r>
        <w:rPr>
          <w:rFonts w:ascii="仿宋_GB2312" w:eastAsia="仿宋_GB2312" w:hint="eastAsia"/>
          <w:sz w:val="32"/>
          <w:szCs w:val="32"/>
        </w:rPr>
        <w:t>链关键</w:t>
      </w:r>
      <w:proofErr w:type="gramEnd"/>
      <w:r>
        <w:rPr>
          <w:rFonts w:ascii="仿宋_GB2312" w:eastAsia="仿宋_GB2312" w:hint="eastAsia"/>
          <w:sz w:val="32"/>
          <w:szCs w:val="32"/>
        </w:rPr>
        <w:t>环节、核心技术，面向海内外拓展市场布局。</w:t>
      </w:r>
    </w:p>
    <w:p w14:paraId="33EDA5CE" w14:textId="77777777" w:rsidR="008475BD" w:rsidRDefault="00253BD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4.实施创新能级提升行动。</w:t>
      </w:r>
      <w:r>
        <w:rPr>
          <w:rFonts w:ascii="仿宋_GB2312" w:eastAsia="仿宋_GB2312" w:hint="eastAsia"/>
          <w:sz w:val="32"/>
          <w:szCs w:val="32"/>
        </w:rPr>
        <w:t>持续推进中关村软件创新中心建设，重点推进Open欧拉操作系统适配及推广国产化软件开发工</w:t>
      </w:r>
      <w:r>
        <w:rPr>
          <w:rFonts w:ascii="仿宋_GB2312" w:eastAsia="仿宋_GB2312" w:hint="eastAsia"/>
          <w:sz w:val="32"/>
          <w:szCs w:val="32"/>
        </w:rPr>
        <w:lastRenderedPageBreak/>
        <w:t>具。组织实施《海淀区支持创新创业服务平台发展若干措施》，提升平台载体创新服务能力。大力推进北京国际科技创新中心核心区建设，打造中关村科学城高能级创新创业服务体系。深化人工智能大模型伙伴计划，推动通用大模型国际对标和生态构建，保持全国领先地位。</w:t>
      </w:r>
      <w:proofErr w:type="gramStart"/>
      <w:r>
        <w:rPr>
          <w:rFonts w:ascii="仿宋_GB2312" w:eastAsia="仿宋_GB2312" w:hint="eastAsia"/>
          <w:sz w:val="32"/>
          <w:szCs w:val="32"/>
        </w:rPr>
        <w:t>支持微芯研究院</w:t>
      </w:r>
      <w:proofErr w:type="gramEnd"/>
      <w:r>
        <w:rPr>
          <w:rFonts w:ascii="仿宋_GB2312" w:eastAsia="仿宋_GB2312" w:hint="eastAsia"/>
          <w:sz w:val="32"/>
          <w:szCs w:val="32"/>
        </w:rPr>
        <w:t>联合国内有影响力的标准化组织推进区块链标准体系建设，探索将长安</w:t>
      </w:r>
      <w:proofErr w:type="gramStart"/>
      <w:r>
        <w:rPr>
          <w:rFonts w:ascii="仿宋_GB2312" w:eastAsia="仿宋_GB2312" w:hint="eastAsia"/>
          <w:sz w:val="32"/>
          <w:szCs w:val="32"/>
        </w:rPr>
        <w:t>链技术</w:t>
      </w:r>
      <w:proofErr w:type="gramEnd"/>
      <w:r>
        <w:rPr>
          <w:rFonts w:ascii="仿宋_GB2312" w:eastAsia="仿宋_GB2312" w:hint="eastAsia"/>
          <w:sz w:val="32"/>
          <w:szCs w:val="32"/>
        </w:rPr>
        <w:t>研发成果转化为国家标准。打造北京人工智能产业高地，推动人工智能产业集聚发展，加快建成具有全球影响力的人工智能创新策源地。制定集成电路、量子信息、新能源、6G等产业发展政策及若干措施，在关键技术联合攻关、重点项目布局、应用示范、生态构建等方面提出针对性支持。</w:t>
      </w:r>
    </w:p>
    <w:p w14:paraId="3EFEAACD" w14:textId="77777777" w:rsidR="008475BD" w:rsidRDefault="00253BD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5.实施企业家精神激发行动。</w:t>
      </w:r>
      <w:r>
        <w:rPr>
          <w:rFonts w:ascii="仿宋_GB2312" w:eastAsia="仿宋_GB2312" w:hint="eastAsia"/>
          <w:sz w:val="32"/>
          <w:szCs w:val="32"/>
        </w:rPr>
        <w:t>积极落实《北京市政商交往负面清单》，构建“亲而有度、清而有为”的新型政商关系。进一步畅通政企沟通渠道，真诚互信、听取意见、解决问题，激发企业家创新创业热情和发展信心。加大民营企业发展支持，持续营造关心促进民营经济发展壮大的社会氛围。研究制定弘扬新时代中关村精神的实施意见，推动弘扬和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新时代中关村精神常态化长效化，提升中关村精神的时代价值。擦亮“中关村企业家”金名片，树立和宣传企业家先进典型，推动“中关村企业家”精神和创新创业文化的传承。发挥属地资源禀赋，搭建“政府-企业，企业-企业”交流平台，为企业提供沟通合作机会。</w:t>
      </w:r>
    </w:p>
    <w:p w14:paraId="4AEB4194" w14:textId="77777777" w:rsidR="008475BD" w:rsidRDefault="00253BDD" w:rsidP="00514A68">
      <w:pPr>
        <w:spacing w:line="560" w:lineRule="exact"/>
        <w:ind w:firstLineChars="200" w:firstLine="640"/>
        <w:outlineLvl w:val="1"/>
        <w:rPr>
          <w:rFonts w:ascii="楷体_GB2312" w:eastAsia="楷体_GB2312" w:hAnsi="楷体_GB2312"/>
          <w:color w:val="000000"/>
          <w:sz w:val="32"/>
        </w:rPr>
      </w:pPr>
      <w:r>
        <w:rPr>
          <w:rFonts w:ascii="楷体_GB2312" w:eastAsia="楷体_GB2312" w:hAnsi="楷体_GB2312" w:hint="eastAsia"/>
          <w:color w:val="000000"/>
          <w:sz w:val="32"/>
        </w:rPr>
        <w:t>（二）优化多元供给的要素保障环境</w:t>
      </w:r>
    </w:p>
    <w:p w14:paraId="3E3FB311" w14:textId="77777777" w:rsidR="008475BD" w:rsidRDefault="00253BD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22"/>
        </w:rPr>
      </w:pPr>
      <w:r>
        <w:rPr>
          <w:rFonts w:ascii="仿宋_GB2312" w:eastAsia="仿宋_GB2312" w:hAnsi="仿宋_GB2312" w:hint="eastAsia"/>
          <w:color w:val="000000"/>
          <w:sz w:val="32"/>
          <w:szCs w:val="22"/>
        </w:rPr>
        <w:lastRenderedPageBreak/>
        <w:t>聚焦企业和产业发展全链条需求，整合要素资源，优化要素配置，创新服务模式，提升服务效能，构建更加优质、高效、便捷的要素支撑体系，助力各类企业和市场主体高质量发展。</w:t>
      </w:r>
    </w:p>
    <w:p w14:paraId="2CC56706" w14:textId="3F5D7F2F" w:rsidR="008475BD" w:rsidRDefault="00253BDD">
      <w:pPr>
        <w:spacing w:line="560" w:lineRule="exact"/>
        <w:ind w:firstLineChars="200" w:firstLine="643"/>
        <w:rPr>
          <w:rFonts w:ascii="仿宋_GB2312" w:eastAsia="仿宋_GB2312" w:hAnsi="仿宋_GB2312"/>
          <w:color w:val="000000"/>
          <w:sz w:val="32"/>
          <w:szCs w:val="2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  <w:szCs w:val="22"/>
        </w:rPr>
        <w:t>6.实施人才服务创优行动。</w:t>
      </w:r>
      <w:r>
        <w:rPr>
          <w:rFonts w:ascii="仿宋_GB2312" w:eastAsia="仿宋_GB2312" w:hAnsi="仿宋_GB2312" w:hint="eastAsia"/>
          <w:color w:val="000000"/>
          <w:sz w:val="32"/>
          <w:szCs w:val="22"/>
        </w:rPr>
        <w:t>深入实施“海英计划”，引进一批急需紧缺的创新创业领军人才、科技服务领军人才和青年英才。持续实施“薪火共燃”计划，大力培养一批具有全球战略眼光、市场开拓精神、管理创新能力的优秀企业家。深化打造全国首家青年科学家会客厅。支持人工智能、集成电路、医药健康等高精尖产业发展，做好企业人才服务。</w:t>
      </w:r>
      <w:proofErr w:type="gramStart"/>
      <w:r>
        <w:rPr>
          <w:rFonts w:ascii="仿宋_GB2312" w:eastAsia="仿宋_GB2312" w:hAnsi="仿宋_GB2312" w:hint="eastAsia"/>
          <w:color w:val="000000"/>
          <w:sz w:val="32"/>
          <w:szCs w:val="22"/>
        </w:rPr>
        <w:t>注重女</w:t>
      </w:r>
      <w:proofErr w:type="gramEnd"/>
      <w:r>
        <w:rPr>
          <w:rFonts w:ascii="仿宋_GB2312" w:eastAsia="仿宋_GB2312" w:hAnsi="仿宋_GB2312" w:hint="eastAsia"/>
          <w:color w:val="000000"/>
          <w:sz w:val="32"/>
          <w:szCs w:val="22"/>
        </w:rPr>
        <w:t>职工劳动权益保护，积极营造维护女职工劳动权益的良好社会氛围。</w:t>
      </w:r>
      <w:r w:rsidR="00DD7E46">
        <w:rPr>
          <w:rFonts w:ascii="仿宋_GB2312" w:eastAsia="仿宋_GB2312" w:hAnsi="仿宋_GB2312" w:hint="eastAsia"/>
          <w:color w:val="000000"/>
          <w:sz w:val="32"/>
          <w:szCs w:val="22"/>
        </w:rPr>
        <w:t>依托国家级实验室、新型研发机构等高能级事业平台，实行“平台+团队”整建制引进重点领域的顶尖人才、高水平创新团队。</w:t>
      </w:r>
    </w:p>
    <w:p w14:paraId="2C0E0E79" w14:textId="520E5300" w:rsidR="008475BD" w:rsidRDefault="00253BDD">
      <w:pPr>
        <w:spacing w:line="560" w:lineRule="exact"/>
        <w:ind w:firstLineChars="200" w:firstLine="643"/>
        <w:rPr>
          <w:rFonts w:ascii="仿宋_GB2312" w:eastAsia="仿宋_GB2312" w:hAnsi="仿宋_GB2312"/>
          <w:color w:val="000000"/>
          <w:sz w:val="32"/>
          <w:szCs w:val="2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  <w:szCs w:val="22"/>
        </w:rPr>
        <w:t>7.实施</w:t>
      </w:r>
      <w:proofErr w:type="gramStart"/>
      <w:r>
        <w:rPr>
          <w:rFonts w:ascii="仿宋_GB2312" w:eastAsia="仿宋_GB2312" w:hAnsi="仿宋_GB2312" w:hint="eastAsia"/>
          <w:b/>
          <w:bCs/>
          <w:color w:val="000000"/>
          <w:sz w:val="32"/>
          <w:szCs w:val="22"/>
        </w:rPr>
        <w:t>科创金融</w:t>
      </w:r>
      <w:proofErr w:type="gramEnd"/>
      <w:r>
        <w:rPr>
          <w:rFonts w:ascii="仿宋_GB2312" w:eastAsia="仿宋_GB2312" w:hAnsi="仿宋_GB2312" w:hint="eastAsia"/>
          <w:b/>
          <w:bCs/>
          <w:color w:val="000000"/>
          <w:sz w:val="32"/>
          <w:szCs w:val="22"/>
        </w:rPr>
        <w:t>赋能行动。</w:t>
      </w:r>
      <w:r>
        <w:rPr>
          <w:rFonts w:ascii="仿宋_GB2312" w:eastAsia="仿宋_GB2312" w:hAnsi="仿宋_GB2312" w:hint="eastAsia"/>
          <w:color w:val="000000"/>
          <w:sz w:val="32"/>
          <w:szCs w:val="22"/>
        </w:rPr>
        <w:t>支持金融机构围绕科技研发、技术引进、投资并购等关键环节，针对中小企业提供信贷、担保、供应</w:t>
      </w:r>
      <w:proofErr w:type="gramStart"/>
      <w:r>
        <w:rPr>
          <w:rFonts w:ascii="仿宋_GB2312" w:eastAsia="仿宋_GB2312" w:hAnsi="仿宋_GB2312" w:hint="eastAsia"/>
          <w:color w:val="000000"/>
          <w:sz w:val="32"/>
          <w:szCs w:val="22"/>
        </w:rPr>
        <w:t>链金融</w:t>
      </w:r>
      <w:proofErr w:type="gramEnd"/>
      <w:r>
        <w:rPr>
          <w:rFonts w:ascii="仿宋_GB2312" w:eastAsia="仿宋_GB2312" w:hAnsi="仿宋_GB2312" w:hint="eastAsia"/>
          <w:color w:val="000000"/>
          <w:sz w:val="32"/>
          <w:szCs w:val="22"/>
        </w:rPr>
        <w:t>等服务。鼓励银行为高新技术企业、“专精特新”企业设立专职服务团队、</w:t>
      </w:r>
      <w:proofErr w:type="gramStart"/>
      <w:r>
        <w:rPr>
          <w:rFonts w:ascii="仿宋_GB2312" w:eastAsia="仿宋_GB2312" w:hAnsi="仿宋_GB2312" w:hint="eastAsia"/>
          <w:color w:val="000000"/>
          <w:sz w:val="32"/>
          <w:szCs w:val="22"/>
        </w:rPr>
        <w:t>科创金融</w:t>
      </w:r>
      <w:proofErr w:type="gramEnd"/>
      <w:r>
        <w:rPr>
          <w:rFonts w:ascii="仿宋_GB2312" w:eastAsia="仿宋_GB2312" w:hAnsi="仿宋_GB2312" w:hint="eastAsia"/>
          <w:color w:val="000000"/>
          <w:sz w:val="32"/>
          <w:szCs w:val="22"/>
        </w:rPr>
        <w:t>专营支行，</w:t>
      </w:r>
      <w:proofErr w:type="gramStart"/>
      <w:r>
        <w:rPr>
          <w:rFonts w:ascii="仿宋_GB2312" w:eastAsia="仿宋_GB2312" w:hAnsi="仿宋_GB2312" w:hint="eastAsia"/>
          <w:color w:val="000000"/>
          <w:sz w:val="32"/>
          <w:szCs w:val="22"/>
        </w:rPr>
        <w:t>推动科创普惠贷款</w:t>
      </w:r>
      <w:proofErr w:type="gramEnd"/>
      <w:r>
        <w:rPr>
          <w:rFonts w:ascii="仿宋_GB2312" w:eastAsia="仿宋_GB2312" w:hAnsi="仿宋_GB2312" w:hint="eastAsia"/>
          <w:color w:val="000000"/>
          <w:sz w:val="32"/>
          <w:szCs w:val="22"/>
        </w:rPr>
        <w:t>持续增量、扩面、降本。</w:t>
      </w:r>
      <w:r w:rsidR="00DD7E46">
        <w:rPr>
          <w:rFonts w:ascii="仿宋_GB2312" w:eastAsia="仿宋_GB2312" w:hAnsi="仿宋_GB2312" w:hint="eastAsia"/>
          <w:color w:val="000000"/>
          <w:sz w:val="32"/>
          <w:szCs w:val="22"/>
        </w:rPr>
        <w:t>强化科技金融特色化服务，举办“创融海淀”系列融资对接活动，推动更多优质企业上市。大力吸引国内外知名PE、VC落地，完善投资基金“募投管退”全生命周期服务。</w:t>
      </w:r>
      <w:r>
        <w:rPr>
          <w:rFonts w:ascii="仿宋_GB2312" w:eastAsia="仿宋_GB2312" w:hAnsi="仿宋_GB2312" w:hint="eastAsia"/>
          <w:color w:val="000000"/>
          <w:sz w:val="32"/>
          <w:szCs w:val="22"/>
        </w:rPr>
        <w:t>全面深化科技保险创新，优化知识产权质押风险分担模式，推动可复制可推广的知识产权证券化，提供全方位科技金融服务。完善普惠金融风险分担机制，建立覆盖首次贷款、知识产权质押</w:t>
      </w:r>
      <w:r>
        <w:rPr>
          <w:rFonts w:ascii="仿宋_GB2312" w:eastAsia="仿宋_GB2312" w:hAnsi="仿宋_GB2312" w:hint="eastAsia"/>
          <w:color w:val="000000"/>
          <w:sz w:val="32"/>
          <w:szCs w:val="22"/>
        </w:rPr>
        <w:lastRenderedPageBreak/>
        <w:t>贷款、信用贷款和担保贷款的“一揽子”普惠融资风险补偿资金池。梳理上市公司风险监测指标，借助第三方科技手段，探索建立海淀特色上市公司风险监控系统，争取及早、及小防范化解上市公司风险。</w:t>
      </w:r>
    </w:p>
    <w:p w14:paraId="324E01C3" w14:textId="204F48A4" w:rsidR="008475BD" w:rsidRDefault="00253BDD">
      <w:pPr>
        <w:spacing w:line="560" w:lineRule="exact"/>
        <w:ind w:firstLineChars="200" w:firstLine="643"/>
        <w:rPr>
          <w:rFonts w:ascii="仿宋_GB2312" w:eastAsia="仿宋_GB2312" w:hAnsi="仿宋_GB2312"/>
          <w:color w:val="000000"/>
          <w:sz w:val="32"/>
          <w:szCs w:val="2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  <w:szCs w:val="22"/>
        </w:rPr>
        <w:t>8.实施数据资源开放行动。</w:t>
      </w:r>
      <w:r>
        <w:rPr>
          <w:rFonts w:ascii="仿宋_GB2312" w:eastAsia="仿宋_GB2312" w:hAnsi="仿宋_GB2312" w:hint="eastAsia"/>
          <w:color w:val="000000"/>
          <w:sz w:val="32"/>
          <w:szCs w:val="22"/>
        </w:rPr>
        <w:t>建立分行业、分场景的可控数据开放机制，优先开放社会迫切需要、潜在经济效益明显的公共数据，安全有序推进与社会数据的融合应用。聚焦自动驾驶、数据交易等业务场景，开展全链条数据“沙盒监管”和包容创新运用。支持传统数据中心升级改造，建设</w:t>
      </w:r>
      <w:proofErr w:type="gramStart"/>
      <w:r>
        <w:rPr>
          <w:rFonts w:ascii="仿宋_GB2312" w:eastAsia="仿宋_GB2312" w:hAnsi="仿宋_GB2312" w:hint="eastAsia"/>
          <w:color w:val="000000"/>
          <w:sz w:val="32"/>
          <w:szCs w:val="22"/>
        </w:rPr>
        <w:t>绿色超异构智算</w:t>
      </w:r>
      <w:proofErr w:type="gramEnd"/>
      <w:r>
        <w:rPr>
          <w:rFonts w:ascii="仿宋_GB2312" w:eastAsia="仿宋_GB2312" w:hAnsi="仿宋_GB2312" w:hint="eastAsia"/>
          <w:color w:val="000000"/>
          <w:sz w:val="32"/>
          <w:szCs w:val="22"/>
        </w:rPr>
        <w:t>中心，构建新型城市规模</w:t>
      </w:r>
      <w:proofErr w:type="gramStart"/>
      <w:r>
        <w:rPr>
          <w:rFonts w:ascii="仿宋_GB2312" w:eastAsia="仿宋_GB2312" w:hAnsi="仿宋_GB2312" w:hint="eastAsia"/>
          <w:color w:val="000000"/>
          <w:sz w:val="32"/>
          <w:szCs w:val="22"/>
        </w:rPr>
        <w:t>算力集群</w:t>
      </w:r>
      <w:proofErr w:type="gramEnd"/>
      <w:r>
        <w:rPr>
          <w:rFonts w:ascii="仿宋_GB2312" w:eastAsia="仿宋_GB2312" w:hAnsi="仿宋_GB2312" w:hint="eastAsia"/>
          <w:color w:val="000000"/>
          <w:sz w:val="32"/>
          <w:szCs w:val="22"/>
        </w:rPr>
        <w:t>。</w:t>
      </w:r>
    </w:p>
    <w:p w14:paraId="75A66C74" w14:textId="77777777" w:rsidR="008475BD" w:rsidRDefault="00253BDD" w:rsidP="00514A68">
      <w:pPr>
        <w:spacing w:line="560" w:lineRule="exact"/>
        <w:ind w:firstLineChars="200" w:firstLine="640"/>
        <w:outlineLvl w:val="1"/>
        <w:rPr>
          <w:rFonts w:ascii="楷体_GB2312" w:eastAsia="楷体_GB2312" w:hAnsi="楷体_GB2312"/>
          <w:color w:val="000000"/>
          <w:sz w:val="32"/>
        </w:rPr>
      </w:pPr>
      <w:r>
        <w:rPr>
          <w:rFonts w:ascii="楷体_GB2312" w:eastAsia="楷体_GB2312" w:hAnsi="楷体_GB2312" w:hint="eastAsia"/>
          <w:color w:val="000000"/>
          <w:sz w:val="32"/>
        </w:rPr>
        <w:t>（三）建设更具活力的市场开放环境</w:t>
      </w:r>
    </w:p>
    <w:p w14:paraId="0C9B9D72" w14:textId="77777777" w:rsidR="008475BD" w:rsidRDefault="00253BDD">
      <w:pPr>
        <w:pStyle w:val="BodyText"/>
        <w:spacing w:after="0"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通过提升准营便利化水平，减轻经营主体负担、持续激发市场主体生机和活力；同时，发挥“四区”政策叠加优势，优化与国际接轨的制度环境，完善高水平对外开放服务体系，提升“引进来”“走出去”发展能级。</w:t>
      </w:r>
    </w:p>
    <w:p w14:paraId="48F3E944" w14:textId="21261FC2" w:rsidR="008475BD" w:rsidRDefault="00253BDD">
      <w:pPr>
        <w:pStyle w:val="BodyText"/>
        <w:spacing w:after="0" w:line="560" w:lineRule="exact"/>
        <w:ind w:firstLineChars="200" w:firstLine="643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9.实施市场经营“助跑”行动。</w:t>
      </w:r>
      <w:r>
        <w:rPr>
          <w:rFonts w:ascii="仿宋_GB2312" w:eastAsia="仿宋_GB2312" w:hAnsi="仿宋_GB2312" w:hint="eastAsia"/>
          <w:color w:val="000000"/>
          <w:sz w:val="32"/>
        </w:rPr>
        <w:t>全面推广“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一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业一证”改革，巩固和扩大行政审批改革成果，实现准入即准营。进一步强化“登管联动”，动态调整负面清单。</w:t>
      </w:r>
      <w:r w:rsidR="00DD7E46">
        <w:rPr>
          <w:rFonts w:ascii="仿宋_GB2312" w:eastAsia="仿宋_GB2312" w:hAnsi="仿宋_GB2312" w:hint="eastAsia"/>
          <w:color w:val="000000"/>
          <w:sz w:val="32"/>
        </w:rPr>
        <w:t>试点为园区提供远程登记指导服务。持续排查清除政府采购活动中的隐性门槛和隐性壁垒。</w:t>
      </w:r>
      <w:r>
        <w:rPr>
          <w:rFonts w:ascii="仿宋_GB2312" w:eastAsia="仿宋_GB2312" w:hAnsi="仿宋_GB2312" w:hint="eastAsia"/>
          <w:color w:val="000000"/>
          <w:sz w:val="32"/>
        </w:rPr>
        <w:t>深化以承诺制为基础的行政审批制度改革，在市场准入、文化旅游领域等持续推行告知承诺审批。</w:t>
      </w:r>
    </w:p>
    <w:p w14:paraId="5048C126" w14:textId="674D120B" w:rsidR="008475BD" w:rsidRDefault="00253BDD">
      <w:pPr>
        <w:pStyle w:val="BodyText"/>
        <w:spacing w:after="0" w:line="560" w:lineRule="exact"/>
        <w:ind w:firstLineChars="200" w:firstLine="643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10.实施外籍人才宜居行动。</w:t>
      </w:r>
      <w:r w:rsidR="00DD7E46">
        <w:rPr>
          <w:rFonts w:ascii="仿宋_GB2312" w:eastAsia="仿宋_GB2312" w:hAnsi="仿宋_GB2312" w:hint="eastAsia"/>
          <w:color w:val="000000"/>
          <w:sz w:val="32"/>
        </w:rPr>
        <w:t>持续做好外国人来华“两证联</w:t>
      </w:r>
      <w:r w:rsidR="00DD7E46">
        <w:rPr>
          <w:rFonts w:ascii="仿宋_GB2312" w:eastAsia="仿宋_GB2312" w:hAnsi="仿宋_GB2312" w:hint="eastAsia"/>
          <w:color w:val="000000"/>
          <w:sz w:val="32"/>
        </w:rPr>
        <w:lastRenderedPageBreak/>
        <w:t>办”。</w:t>
      </w:r>
      <w:r>
        <w:rPr>
          <w:rFonts w:ascii="仿宋_GB2312" w:eastAsia="仿宋_GB2312" w:hAnsi="仿宋_GB2312" w:hint="eastAsia"/>
          <w:color w:val="000000"/>
          <w:sz w:val="32"/>
        </w:rPr>
        <w:t>推动中关村国际人才服务功能区建设，构建“国际人才引进-服务-发展-交流”全流程体系。推进国际医疗部和国际医院项目建设，进一步规范国际语言环境，提升公共服务便利化水平。在重点景区及场所增设外汇兑换点，在重点商圈配备外卡POS机，大力推动“数字人民币”APP使用。进一步提高交通出行、旅游休闲、餐饮住宿等涉外服务质量，树立良好的城市形象。</w:t>
      </w:r>
    </w:p>
    <w:p w14:paraId="1226BAC8" w14:textId="0B64EB60" w:rsidR="008475BD" w:rsidRDefault="00253BDD">
      <w:pPr>
        <w:pStyle w:val="BodyText"/>
        <w:spacing w:after="0" w:line="560" w:lineRule="exact"/>
        <w:ind w:firstLineChars="200" w:firstLine="643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11.实施外商投资促进行动。</w:t>
      </w:r>
      <w:r w:rsidR="00DD7E46">
        <w:rPr>
          <w:rFonts w:ascii="仿宋_GB2312" w:eastAsia="仿宋_GB2312" w:hAnsi="仿宋_GB2312" w:hint="eastAsia"/>
          <w:color w:val="000000"/>
          <w:sz w:val="32"/>
        </w:rPr>
        <w:t>深化本外币合一银行结算账户体系试点、本外币一体化资金</w:t>
      </w:r>
      <w:proofErr w:type="gramStart"/>
      <w:r w:rsidR="00DD7E46">
        <w:rPr>
          <w:rFonts w:ascii="仿宋_GB2312" w:eastAsia="仿宋_GB2312" w:hAnsi="仿宋_GB2312" w:hint="eastAsia"/>
          <w:color w:val="000000"/>
          <w:sz w:val="32"/>
        </w:rPr>
        <w:t>池业务</w:t>
      </w:r>
      <w:proofErr w:type="gramEnd"/>
      <w:r w:rsidR="00DD7E46">
        <w:rPr>
          <w:rFonts w:ascii="仿宋_GB2312" w:eastAsia="仿宋_GB2312" w:hAnsi="仿宋_GB2312" w:hint="eastAsia"/>
          <w:color w:val="000000"/>
          <w:sz w:val="32"/>
        </w:rPr>
        <w:t>试点。</w:t>
      </w:r>
      <w:proofErr w:type="gramStart"/>
      <w:r w:rsidR="00DD7E46">
        <w:rPr>
          <w:rFonts w:ascii="仿宋_GB2312" w:eastAsia="仿宋_GB2312" w:hAnsi="仿宋_GB2312" w:hint="eastAsia"/>
          <w:color w:val="000000"/>
          <w:sz w:val="32"/>
        </w:rPr>
        <w:t>接收市文旅局下放</w:t>
      </w:r>
      <w:proofErr w:type="gramEnd"/>
      <w:r w:rsidR="00DD7E46">
        <w:rPr>
          <w:rFonts w:ascii="仿宋_GB2312" w:eastAsia="仿宋_GB2312" w:hAnsi="仿宋_GB2312" w:hint="eastAsia"/>
          <w:color w:val="000000"/>
          <w:sz w:val="32"/>
        </w:rPr>
        <w:t>外商投资设立演出场所、娱乐场所、互联网上网服务场所的审批权。</w:t>
      </w:r>
      <w:r w:rsidR="00F877D8" w:rsidRPr="008D0457">
        <w:rPr>
          <w:rFonts w:ascii="仿宋_GB2312" w:eastAsia="仿宋_GB2312" w:hAnsi="仿宋_GB2312" w:hint="eastAsia"/>
          <w:color w:val="000000"/>
          <w:sz w:val="32"/>
        </w:rPr>
        <w:t>全面落实外商投资“准入前国民待遇加负面清单管理制度”和《北京市外商投资条例》,保障各类企业平等适用各项政策，定期评估、排查、清理各类显性和隐性壁垒。</w:t>
      </w:r>
      <w:r>
        <w:rPr>
          <w:rFonts w:ascii="仿宋_GB2312" w:eastAsia="仿宋_GB2312" w:hAnsi="仿宋_GB2312" w:hint="eastAsia"/>
          <w:color w:val="000000"/>
          <w:sz w:val="32"/>
        </w:rPr>
        <w:t>承接外商投资演出场所、娱乐场所、互联网上网服务场所设立审批权区级下放，便利外商投资企业设立。打造外商投资“一站式”服务体系，为高频事项提供综合服务和办事指南。指导企业用足用好自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贸协定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优惠政策，推动符合条件的企业获得RCEP原产地证书。</w:t>
      </w:r>
    </w:p>
    <w:p w14:paraId="72D83450" w14:textId="77777777" w:rsidR="008475BD" w:rsidRDefault="00253BDD">
      <w:pPr>
        <w:pStyle w:val="BodyText"/>
        <w:spacing w:after="0" w:line="560" w:lineRule="exact"/>
        <w:ind w:firstLineChars="200" w:firstLine="643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12.实施助企出海“护航”行动。</w:t>
      </w:r>
      <w:r>
        <w:rPr>
          <w:rFonts w:ascii="仿宋_GB2312" w:eastAsia="仿宋_GB2312" w:hAnsi="仿宋_GB2312" w:hint="eastAsia"/>
          <w:color w:val="000000"/>
          <w:sz w:val="32"/>
        </w:rPr>
        <w:t>促进海淀企业与“一带一路”沿线国家和地区、区域全面经济伙伴关系协定成员国间开展务实交流，推动科技企业开展高水平国际合作。加强企业“走出去”服务，与专业机构合作，定期开展国别政策解读、跨国税务筹划等专题活动，加大境外参展参会、市场拓展支持。加强企业“走出去”重大风险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研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判和预警评估，落实防范化解风险协作机</w:t>
      </w:r>
      <w:r>
        <w:rPr>
          <w:rFonts w:ascii="仿宋_GB2312" w:eastAsia="仿宋_GB2312" w:hAnsi="仿宋_GB2312" w:hint="eastAsia"/>
          <w:color w:val="000000"/>
          <w:sz w:val="32"/>
        </w:rPr>
        <w:lastRenderedPageBreak/>
        <w:t>制。</w:t>
      </w:r>
    </w:p>
    <w:p w14:paraId="6B5BE0F6" w14:textId="77777777" w:rsidR="008475BD" w:rsidRDefault="00253BDD">
      <w:pPr>
        <w:pStyle w:val="BodyText"/>
        <w:spacing w:after="0" w:line="560" w:lineRule="exact"/>
        <w:ind w:firstLineChars="200" w:firstLine="643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13.实施跨境贸易通达行动。</w:t>
      </w:r>
      <w:r>
        <w:rPr>
          <w:rFonts w:ascii="仿宋_GB2312" w:eastAsia="仿宋_GB2312" w:hAnsi="仿宋_GB2312" w:hint="eastAsia"/>
          <w:color w:val="000000"/>
          <w:sz w:val="32"/>
        </w:rPr>
        <w:t>积极推动外向型经济高质量发展，加快培育外贸新动能，不断巩固外贸外资基本盘。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支持综保区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建设国际医疗健康科技成果研发转化、国际检验检测科技创新等平台，创新发展科研设备、医疗设备、影视设备等租赁业务。完善数据跨境流动等服务机制，支持自由贸易试验区、数据基础制度先行区等重点区域建设数据跨境服务中心与服务平台，高效开展数据出境安全评估、个人信息保护认证和出境标准合同备案等服务，提升数据跨境传输便利度。</w:t>
      </w:r>
    </w:p>
    <w:p w14:paraId="3ED23FF8" w14:textId="77777777" w:rsidR="008475BD" w:rsidRDefault="00253BDD" w:rsidP="00514A68">
      <w:pPr>
        <w:spacing w:line="560" w:lineRule="exact"/>
        <w:ind w:firstLineChars="200" w:firstLine="640"/>
        <w:outlineLvl w:val="1"/>
        <w:rPr>
          <w:rFonts w:ascii="楷体_GB2312" w:eastAsia="楷体_GB2312" w:hAnsi="楷体_GB2312"/>
          <w:color w:val="000000"/>
          <w:sz w:val="32"/>
        </w:rPr>
      </w:pPr>
      <w:r>
        <w:rPr>
          <w:rFonts w:ascii="楷体_GB2312" w:eastAsia="楷体_GB2312" w:hAnsi="楷体_GB2312" w:hint="eastAsia"/>
          <w:color w:val="000000"/>
          <w:sz w:val="32"/>
        </w:rPr>
        <w:t>（四）涵养稳定和谐的投资发展环境</w:t>
      </w:r>
    </w:p>
    <w:p w14:paraId="22ECD7A6" w14:textId="77777777" w:rsidR="008475BD" w:rsidRDefault="00253BD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全力以赴做好建设项目审批、基础设施支撑及生活服务保障等工作，为推进重点项目建设提档加速、护航企业高质量发展提供坚强保障。</w:t>
      </w:r>
    </w:p>
    <w:p w14:paraId="7319CAE0" w14:textId="3A6C270C" w:rsidR="008475BD" w:rsidRDefault="00253BDD">
      <w:pPr>
        <w:spacing w:line="560" w:lineRule="exact"/>
        <w:ind w:firstLineChars="200" w:firstLine="643"/>
        <w:rPr>
          <w:rFonts w:ascii="楷体_GB2312" w:eastAsia="楷体_GB2312" w:hAnsi="楷体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14.实施建设审批提速行动。</w:t>
      </w:r>
      <w:r>
        <w:rPr>
          <w:rFonts w:ascii="仿宋_GB2312" w:eastAsia="仿宋_GB2312" w:hAnsi="仿宋_GB2312" w:hint="eastAsia"/>
          <w:color w:val="000000"/>
          <w:sz w:val="32"/>
        </w:rPr>
        <w:t>深入推进工程项目“多规合一”“多测合一”“验登合一”等审批改革，进一步拓展办理建设工程规划许可证豁免清单事项范围。持续推进工程招标保证金减免，推广电子保函使用；深入推进招投标全流程电子化；继续鼓励为信用良好的企业减免政府采购保证金。依托市、区两级“联合接入”服务政策，全面推动“五联”服务落实、落地。加强与管线单位对接，按照市级工作要求，对符合条件的工程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实行占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掘路“非禁免批”，对其余市政接入工程涉及的工程规划许可、绿化许可、占掘路和占道施工许可等事项实行并联审批。</w:t>
      </w:r>
    </w:p>
    <w:p w14:paraId="3F88EFD5" w14:textId="6222D9AA" w:rsidR="008475BD" w:rsidRDefault="00253BDD">
      <w:pPr>
        <w:spacing w:line="560" w:lineRule="exact"/>
        <w:ind w:firstLineChars="200" w:firstLine="643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lastRenderedPageBreak/>
        <w:t>15.实施基础支撑强化行动。</w:t>
      </w:r>
      <w:r w:rsidR="00A1459B">
        <w:rPr>
          <w:rFonts w:ascii="仿宋_GB2312" w:eastAsia="仿宋_GB2312" w:hAnsi="仿宋_GB2312" w:hint="eastAsia"/>
          <w:color w:val="000000"/>
          <w:sz w:val="32"/>
        </w:rPr>
        <w:t>鼓励盘活存量和闲置建设用地，积极推进</w:t>
      </w:r>
      <w:proofErr w:type="gramStart"/>
      <w:r w:rsidR="00A1459B">
        <w:rPr>
          <w:rFonts w:ascii="仿宋_GB2312" w:eastAsia="仿宋_GB2312" w:hAnsi="仿宋_GB2312" w:hint="eastAsia"/>
          <w:color w:val="000000"/>
          <w:sz w:val="32"/>
        </w:rPr>
        <w:t>金隅智药园</w:t>
      </w:r>
      <w:proofErr w:type="gramEnd"/>
      <w:r w:rsidR="00A1459B">
        <w:rPr>
          <w:rFonts w:ascii="仿宋_GB2312" w:eastAsia="仿宋_GB2312" w:hAnsi="仿宋_GB2312" w:hint="eastAsia"/>
          <w:color w:val="000000"/>
          <w:sz w:val="32"/>
        </w:rPr>
        <w:t>等老旧厂房以及永丰加速器一期、</w:t>
      </w:r>
      <w:proofErr w:type="gramStart"/>
      <w:r w:rsidR="00A1459B">
        <w:rPr>
          <w:rFonts w:ascii="仿宋_GB2312" w:eastAsia="仿宋_GB2312" w:hAnsi="仿宋_GB2312" w:hint="eastAsia"/>
          <w:color w:val="000000"/>
          <w:sz w:val="32"/>
        </w:rPr>
        <w:t>鼎好电子</w:t>
      </w:r>
      <w:proofErr w:type="gramEnd"/>
      <w:r w:rsidR="00A1459B">
        <w:rPr>
          <w:rFonts w:ascii="仿宋_GB2312" w:eastAsia="仿宋_GB2312" w:hAnsi="仿宋_GB2312" w:hint="eastAsia"/>
          <w:color w:val="000000"/>
          <w:sz w:val="32"/>
        </w:rPr>
        <w:t>大厦B</w:t>
      </w:r>
      <w:proofErr w:type="gramStart"/>
      <w:r w:rsidR="00A1459B">
        <w:rPr>
          <w:rFonts w:ascii="仿宋_GB2312" w:eastAsia="仿宋_GB2312" w:hAnsi="仿宋_GB2312" w:hint="eastAsia"/>
          <w:color w:val="000000"/>
          <w:sz w:val="32"/>
        </w:rPr>
        <w:t>座等</w:t>
      </w:r>
      <w:proofErr w:type="gramEnd"/>
      <w:r w:rsidR="00A1459B">
        <w:rPr>
          <w:rFonts w:ascii="仿宋_GB2312" w:eastAsia="仿宋_GB2312" w:hAnsi="仿宋_GB2312" w:hint="eastAsia"/>
          <w:color w:val="000000"/>
          <w:sz w:val="32"/>
        </w:rPr>
        <w:t>老旧楼宇业</w:t>
      </w:r>
      <w:proofErr w:type="gramStart"/>
      <w:r w:rsidR="00A1459B">
        <w:rPr>
          <w:rFonts w:ascii="仿宋_GB2312" w:eastAsia="仿宋_GB2312" w:hAnsi="仿宋_GB2312" w:hint="eastAsia"/>
          <w:color w:val="000000"/>
          <w:sz w:val="32"/>
        </w:rPr>
        <w:t>态调整</w:t>
      </w:r>
      <w:proofErr w:type="gramEnd"/>
      <w:r w:rsidR="00A1459B">
        <w:rPr>
          <w:rFonts w:ascii="仿宋_GB2312" w:eastAsia="仿宋_GB2312" w:hAnsi="仿宋_GB2312" w:hint="eastAsia"/>
          <w:color w:val="000000"/>
          <w:sz w:val="32"/>
        </w:rPr>
        <w:t>和改造升级，鼓励和引导产业空间引进科技创新企业和项目。开展商务楼宇宽带接入整治行动，在工程建设、运营等方面加强管理，规范商务楼宇宽带接入的市场秩序，保障商务楼宇宽带公平接入。</w:t>
      </w:r>
      <w:r>
        <w:rPr>
          <w:rFonts w:ascii="仿宋_GB2312" w:eastAsia="仿宋_GB2312" w:hAnsi="仿宋_GB2312" w:hint="eastAsia"/>
          <w:color w:val="000000"/>
          <w:sz w:val="32"/>
        </w:rPr>
        <w:t>试点开展免予办理强制性产品认证制度，对重点产业研发创新企业提供快速办理服务。健全公平竞争审查配套制度，破除市场准入、政府采购、招标投标等领域的隐性门槛和壁垒，对各类经营主体一视同仁、平等对待。</w:t>
      </w:r>
    </w:p>
    <w:p w14:paraId="03658CFC" w14:textId="39735816" w:rsidR="008475BD" w:rsidRDefault="00253BDD">
      <w:pPr>
        <w:spacing w:line="560" w:lineRule="exact"/>
        <w:ind w:firstLineChars="200" w:firstLine="643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16.实施宜居城市建设行动。</w:t>
      </w:r>
      <w:r>
        <w:rPr>
          <w:rFonts w:ascii="仿宋_GB2312" w:eastAsia="仿宋_GB2312" w:hAnsi="仿宋_GB2312" w:hint="eastAsia"/>
          <w:color w:val="000000"/>
          <w:sz w:val="32"/>
        </w:rPr>
        <w:t>建设曙光街道等花园城市示范街区，按照市级统一部署完成立交桥垂直绿化。以基本养老服务综合平台试点入选我区为契机，持续提升智慧养老服务平台建设，通过互联网、人工智能、大数据等多种技术融合，实现养老服务全要素记录、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全数据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互动、全流程监管、全口径分析，为老年人提供实时、高效、便捷、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物联化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与智能化的养老服务，实现养老服务数据一网融合、一网展现，即时掌握辖区养老服务数据动态。</w:t>
      </w:r>
    </w:p>
    <w:p w14:paraId="69DE416A" w14:textId="77777777" w:rsidR="008475BD" w:rsidRDefault="00253BDD" w:rsidP="00514A68">
      <w:pPr>
        <w:spacing w:line="560" w:lineRule="exact"/>
        <w:ind w:firstLineChars="200" w:firstLine="640"/>
        <w:outlineLvl w:val="1"/>
        <w:rPr>
          <w:rFonts w:ascii="楷体_GB2312" w:eastAsia="楷体_GB2312" w:hAnsi="楷体_GB2312"/>
          <w:color w:val="000000"/>
          <w:sz w:val="32"/>
        </w:rPr>
      </w:pPr>
      <w:r>
        <w:rPr>
          <w:rFonts w:ascii="楷体_GB2312" w:eastAsia="楷体_GB2312" w:hAnsi="楷体_GB2312" w:hint="eastAsia"/>
          <w:color w:val="000000"/>
          <w:sz w:val="32"/>
        </w:rPr>
        <w:t>（五）营造便捷高效的政务服务环境</w:t>
      </w:r>
    </w:p>
    <w:p w14:paraId="0E805D3F" w14:textId="77777777" w:rsidR="008475BD" w:rsidRDefault="00253BD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以数字化、智能化赋能政务服务，深入推动政务服务提质增效，加快推进政务服务运行标准化、服务供给规范化、企业和群众办事便利化，不断提升办事群众体验感和便利度。</w:t>
      </w:r>
    </w:p>
    <w:p w14:paraId="6D85F647" w14:textId="0CF3992C" w:rsidR="008475BD" w:rsidRDefault="00253BDD">
      <w:pPr>
        <w:spacing w:line="560" w:lineRule="exact"/>
        <w:ind w:firstLineChars="200" w:firstLine="643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17.实施企业办事增效行动。</w:t>
      </w:r>
      <w:r>
        <w:rPr>
          <w:rFonts w:ascii="仿宋_GB2312" w:eastAsia="仿宋_GB2312" w:hAnsi="仿宋_GB2312" w:hint="eastAsia"/>
          <w:color w:val="000000"/>
          <w:sz w:val="32"/>
        </w:rPr>
        <w:t>推出更多“一件事”集成服务，实现多件事“一次办”。依托“京策”平台建设，实现政策集中</w:t>
      </w:r>
      <w:r>
        <w:rPr>
          <w:rFonts w:ascii="仿宋_GB2312" w:eastAsia="仿宋_GB2312" w:hAnsi="仿宋_GB2312" w:hint="eastAsia"/>
          <w:color w:val="000000"/>
          <w:sz w:val="32"/>
        </w:rPr>
        <w:lastRenderedPageBreak/>
        <w:t>发布、精准推送、便捷兑现等全链条政策落地服务。加强全区帮办代办数据收集与分析。鼓励设立企业办事专区或企业专窗，为企业办理不动产登记提供“绿色通道”。对符合条件的国有企业公司制改制的土地，仅涉及权利人名称变更的，直接办理土地使用权人名称变更登记。全面开展预购商品房预告登记，加快推广存量房预告登记。积极向银行业金融机构、房地产开发企业、不动产登记代理机构等延伸登记端口，实现预告登记网上办、即时办、免费办。依托综合窗口，推进预告登记与签订不动产物权协议同步申办。</w:t>
      </w:r>
      <w:r w:rsidR="00A1459B">
        <w:rPr>
          <w:rFonts w:ascii="仿宋_GB2312" w:eastAsia="仿宋_GB2312" w:hAnsi="仿宋_GB2312" w:hint="eastAsia"/>
          <w:color w:val="000000"/>
          <w:sz w:val="32"/>
        </w:rPr>
        <w:t>聚力推动“跨省通办”，逐步增加企业高频事项“跨省通办”的数量。</w:t>
      </w:r>
    </w:p>
    <w:p w14:paraId="4745EB11" w14:textId="0CF55387" w:rsidR="008475BD" w:rsidRDefault="00253BDD">
      <w:pPr>
        <w:spacing w:line="560" w:lineRule="exact"/>
        <w:ind w:firstLineChars="200" w:firstLine="643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18.实施暖心服务“升温”行动。</w:t>
      </w:r>
      <w:r>
        <w:rPr>
          <w:rFonts w:ascii="仿宋_GB2312" w:eastAsia="仿宋_GB2312" w:hAnsi="仿宋_GB2312" w:hint="eastAsia"/>
          <w:color w:val="000000"/>
          <w:sz w:val="32"/>
        </w:rPr>
        <w:t>提升政府采购资金支付效率，鼓励采购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人完善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内部流程，进一步缩短资金支付周期，保证资金支付效率。加快推进一体化平台的推广。持续打造企业群众触手可及的“社保便民服务圈”。加强新就业形态劳动争议预防化解，完善案件调处机制，面向新就业形态企业提供个性化服务。按照税务总局、北京市税务局相关要求和规定，落实好企业所得税、增值税等税种减税政策。深入开展“一镇（街）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一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品牌”，各街镇立足属地资源禀赋，因地制宜打造内涵丰富、亮点纷呈的企业服务品牌。</w:t>
      </w:r>
      <w:r w:rsidR="00770B64">
        <w:rPr>
          <w:rFonts w:ascii="仿宋_GB2312" w:eastAsia="仿宋_GB2312" w:hAnsi="仿宋_GB2312" w:hint="eastAsia"/>
          <w:color w:val="000000"/>
          <w:sz w:val="32"/>
        </w:rPr>
        <w:t>依托线上线下政务服务渠道，积极对接</w:t>
      </w:r>
      <w:proofErr w:type="gramStart"/>
      <w:r w:rsidR="00770B64">
        <w:rPr>
          <w:rFonts w:ascii="仿宋_GB2312" w:eastAsia="仿宋_GB2312" w:hAnsi="仿宋_GB2312" w:hint="eastAsia"/>
          <w:color w:val="000000"/>
          <w:sz w:val="32"/>
        </w:rPr>
        <w:t>各类涉企</w:t>
      </w:r>
      <w:proofErr w:type="gramEnd"/>
      <w:r w:rsidR="00770B64">
        <w:rPr>
          <w:rFonts w:ascii="仿宋_GB2312" w:eastAsia="仿宋_GB2312" w:hAnsi="仿宋_GB2312" w:hint="eastAsia"/>
          <w:color w:val="000000"/>
          <w:sz w:val="32"/>
        </w:rPr>
        <w:t>服务资源，一站</w:t>
      </w:r>
      <w:proofErr w:type="gramStart"/>
      <w:r w:rsidR="00770B64">
        <w:rPr>
          <w:rFonts w:ascii="仿宋_GB2312" w:eastAsia="仿宋_GB2312" w:hAnsi="仿宋_GB2312" w:hint="eastAsia"/>
          <w:color w:val="000000"/>
          <w:sz w:val="32"/>
        </w:rPr>
        <w:t>式提供</w:t>
      </w:r>
      <w:proofErr w:type="gramEnd"/>
      <w:r w:rsidR="00770B64">
        <w:rPr>
          <w:rFonts w:ascii="仿宋_GB2312" w:eastAsia="仿宋_GB2312" w:hAnsi="仿宋_GB2312" w:hint="eastAsia"/>
          <w:color w:val="000000"/>
          <w:sz w:val="32"/>
        </w:rPr>
        <w:t>政策、法律、金融、人才、科创、国际贸易等增值服务。</w:t>
      </w:r>
    </w:p>
    <w:p w14:paraId="6057CCF5" w14:textId="75DC167F" w:rsidR="008475BD" w:rsidRDefault="00253BDD">
      <w:pPr>
        <w:spacing w:line="560" w:lineRule="exact"/>
        <w:ind w:firstLineChars="200" w:firstLine="643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19.实施数字政务“提智”行动。</w:t>
      </w:r>
      <w:r>
        <w:rPr>
          <w:rFonts w:ascii="仿宋_GB2312" w:eastAsia="仿宋_GB2312" w:hAnsi="仿宋_GB2312" w:hint="eastAsia"/>
          <w:color w:val="000000"/>
          <w:sz w:val="32"/>
        </w:rPr>
        <w:t>探索开展“图属一致”在</w:t>
      </w:r>
      <w:r>
        <w:rPr>
          <w:rFonts w:ascii="仿宋_GB2312" w:eastAsia="仿宋_GB2312" w:hAnsi="仿宋_GB2312" w:hint="eastAsia"/>
          <w:color w:val="000000"/>
          <w:sz w:val="32"/>
        </w:rPr>
        <w:lastRenderedPageBreak/>
        <w:t>线可视化查询，探索不动产权利人线上授权委托查询和利害关系人线上查询。</w:t>
      </w:r>
      <w:r w:rsidR="00770B64">
        <w:rPr>
          <w:rFonts w:ascii="仿宋_GB2312" w:eastAsia="仿宋_GB2312" w:hAnsi="仿宋_GB2312" w:hint="eastAsia"/>
          <w:color w:val="000000"/>
          <w:sz w:val="32"/>
        </w:rPr>
        <w:t>试点开展智慧收件服务，延伸政务服务触角。</w:t>
      </w:r>
      <w:r>
        <w:rPr>
          <w:rFonts w:ascii="仿宋_GB2312" w:eastAsia="仿宋_GB2312" w:hAnsi="仿宋_GB2312" w:hint="eastAsia"/>
          <w:color w:val="000000"/>
          <w:sz w:val="32"/>
        </w:rPr>
        <w:t>强化政府部门数据管理职责，完善推动数据共享和业务协同机制。进一步推动电子证照、电子印章广泛应用。加快政务服务“一码办事”，落地一批“一码调证”应用场景。推进“人工智能+政务服务”建设，试点建设大模型+政务咨询、政务办公等应用场景，推行智能审批、在线导办、智能咨询等智能服务，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推动网办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向“好办易办”转变。</w:t>
      </w:r>
    </w:p>
    <w:p w14:paraId="235EAE6B" w14:textId="77777777" w:rsidR="008475BD" w:rsidRDefault="00253BDD" w:rsidP="00514A68">
      <w:pPr>
        <w:spacing w:line="560" w:lineRule="exact"/>
        <w:ind w:firstLineChars="200" w:firstLine="640"/>
        <w:outlineLvl w:val="1"/>
        <w:rPr>
          <w:rFonts w:ascii="楷体_GB2312" w:eastAsia="楷体_GB2312" w:hAnsi="楷体_GB2312"/>
          <w:color w:val="000000"/>
          <w:sz w:val="32"/>
        </w:rPr>
      </w:pPr>
      <w:r>
        <w:rPr>
          <w:rFonts w:ascii="楷体_GB2312" w:eastAsia="楷体_GB2312" w:hAnsi="楷体_GB2312" w:hint="eastAsia"/>
          <w:color w:val="000000"/>
          <w:sz w:val="32"/>
        </w:rPr>
        <w:t>（六）构建公平公正的诚信法治环境</w:t>
      </w:r>
    </w:p>
    <w:p w14:paraId="0256096E" w14:textId="77777777" w:rsidR="008475BD" w:rsidRDefault="00253BD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更好发挥法治固根本、稳预期、利长远的作用，规范监管执法、提高司法质效，打造稳定公平透明、可预期的法治化营商环境，让企业家安心经营、放心投资、专心创业。</w:t>
      </w:r>
    </w:p>
    <w:p w14:paraId="39B46A2C" w14:textId="69C05665" w:rsidR="008475BD" w:rsidRDefault="00253BDD">
      <w:pPr>
        <w:spacing w:line="560" w:lineRule="exact"/>
        <w:ind w:firstLineChars="200" w:firstLine="643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20.实施知识产权护卫行动。</w:t>
      </w:r>
      <w:r>
        <w:rPr>
          <w:rFonts w:ascii="仿宋_GB2312" w:eastAsia="仿宋_GB2312" w:hAnsi="仿宋_GB2312" w:hint="eastAsia"/>
          <w:color w:val="000000"/>
          <w:sz w:val="32"/>
        </w:rPr>
        <w:t>推进知识产权转化运用，着力打通专利转化运用的关键堵点，服务推动一批高价值专利转移转化。优化知识产权服务，加强北京（中关村）国际知识产权服务大厅工作，推进知识产权公共服务进园区、进企业，在产业园区、孵化器等新增5家左右国际知识产权服务工作站。推进中关村科学城知识产权服务出口基地建设。发挥中关村知识产权保护中心作用，争取国家专利复审无效案件多模式审理试点，推进复审无效案件优先审查。探索推进区域专利纠纷行政裁决试点。拓宽商业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秘密服务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保障网络，培育商业秘密保护市级示范基地5家以上。推动知识产权纠纷一体化解决机制，为优化刑民交叉案件处</w:t>
      </w:r>
      <w:r>
        <w:rPr>
          <w:rFonts w:ascii="仿宋_GB2312" w:eastAsia="仿宋_GB2312" w:hAnsi="仿宋_GB2312" w:hint="eastAsia"/>
          <w:color w:val="000000"/>
          <w:sz w:val="32"/>
        </w:rPr>
        <w:lastRenderedPageBreak/>
        <w:t>理提供基层实践经验。深化知识产权“源头回溯”治理机制，进一步推进知识产权案件繁简分流工作，提升案件审理效率。</w:t>
      </w:r>
      <w:r w:rsidR="00770B64">
        <w:rPr>
          <w:rFonts w:ascii="仿宋_GB2312" w:eastAsia="仿宋_GB2312" w:hAnsi="仿宋_GB2312" w:hint="eastAsia"/>
          <w:color w:val="000000"/>
          <w:sz w:val="32"/>
        </w:rPr>
        <w:t>联合优质知识产权服务机构为出海企业提供知识产权维权援助服务。</w:t>
      </w:r>
    </w:p>
    <w:p w14:paraId="5959F014" w14:textId="3E97CDB7" w:rsidR="008475BD" w:rsidRDefault="00253BDD">
      <w:pPr>
        <w:spacing w:line="560" w:lineRule="exact"/>
        <w:ind w:firstLineChars="200" w:firstLine="643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21.实施法治监管“筑堤”行动。</w:t>
      </w:r>
      <w:r>
        <w:rPr>
          <w:rFonts w:ascii="仿宋_GB2312" w:eastAsia="仿宋_GB2312" w:hAnsi="仿宋_GB2312" w:hint="eastAsia"/>
          <w:color w:val="000000"/>
          <w:sz w:val="32"/>
        </w:rPr>
        <w:t>深化巩固“全国网络市场监管与服务示范区”建设成效，持续发挥引领示范作用，拓展网络市场治理创新成果，推广网络市场现代化治理模式，营造良好社会氛围，提升共治成效。</w:t>
      </w:r>
      <w:r w:rsidR="00770B64">
        <w:rPr>
          <w:rFonts w:ascii="仿宋_GB2312" w:eastAsia="仿宋_GB2312" w:hAnsi="仿宋_GB2312" w:hint="eastAsia"/>
          <w:color w:val="000000"/>
          <w:sz w:val="32"/>
        </w:rPr>
        <w:t>强化重点行业监管，推动各行业领域制定预付</w:t>
      </w:r>
      <w:proofErr w:type="gramStart"/>
      <w:r w:rsidR="00770B64">
        <w:rPr>
          <w:rFonts w:ascii="仿宋_GB2312" w:eastAsia="仿宋_GB2312" w:hAnsi="仿宋_GB2312" w:hint="eastAsia"/>
          <w:color w:val="000000"/>
          <w:sz w:val="32"/>
        </w:rPr>
        <w:t>费配套</w:t>
      </w:r>
      <w:proofErr w:type="gramEnd"/>
      <w:r w:rsidR="00770B64">
        <w:rPr>
          <w:rFonts w:ascii="仿宋_GB2312" w:eastAsia="仿宋_GB2312" w:hAnsi="仿宋_GB2312" w:hint="eastAsia"/>
          <w:color w:val="000000"/>
          <w:sz w:val="32"/>
        </w:rPr>
        <w:t>政策，落实发卡备案、签订合同和资金存管制度。</w:t>
      </w:r>
      <w:r>
        <w:rPr>
          <w:rFonts w:ascii="仿宋_GB2312" w:eastAsia="仿宋_GB2312" w:hAnsi="仿宋_GB2312" w:hint="eastAsia"/>
          <w:color w:val="000000"/>
          <w:sz w:val="32"/>
        </w:rPr>
        <w:t>深入推进一体化综合监管改革，加强对市场主体的事中事后监管和跨部门综合监管。实施非现场监管，实现监管行业领域全覆盖。在市场监管职能范围内，对新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业态新模式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坚持监管规范与促进发展并重，落实深化轻微违法免罚和初次违法慎罚制度，落实包容审慎监管政策，及时填补法规和标准空缺。</w:t>
      </w:r>
    </w:p>
    <w:p w14:paraId="6A5C14CB" w14:textId="77777777" w:rsidR="008475BD" w:rsidRDefault="00253BDD">
      <w:pPr>
        <w:spacing w:line="560" w:lineRule="exact"/>
        <w:ind w:firstLineChars="200" w:firstLine="643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22.实施司法保障“奠基”行动。</w:t>
      </w:r>
      <w:r>
        <w:rPr>
          <w:rFonts w:ascii="仿宋_GB2312" w:eastAsia="仿宋_GB2312" w:hAnsi="仿宋_GB2312" w:hint="eastAsia"/>
          <w:color w:val="000000"/>
          <w:sz w:val="32"/>
        </w:rPr>
        <w:t>持续推进“微微计划”。服务中小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发展，针对辖区内高等院校自主创业团队和中关村科技创新企业集群，强化知识产权司法保护，厚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植经济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发展法治土壤。建立“网络检察服务前置”机制，打造数字经济保护一体化格局。与辖区内多家互联网企业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建立检企对话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平台，为互联网企业维护自身权益、堵塞安全漏洞、内控合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规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、反舞弊建设等提供专业性意见，助力互联网企业提升法律和技术防护能力。积极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践行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公正司法为民，继续落实“为民办实事”活动。依托“七个平台”机制，大力开展巡回审判、以案释法等，及时响应社会</w:t>
      </w:r>
      <w:r>
        <w:rPr>
          <w:rFonts w:ascii="仿宋_GB2312" w:eastAsia="仿宋_GB2312" w:hAnsi="仿宋_GB2312" w:hint="eastAsia"/>
          <w:color w:val="000000"/>
          <w:sz w:val="32"/>
        </w:rPr>
        <w:lastRenderedPageBreak/>
        <w:t>各界的司法需求，发挥调研宣传在普法宣传教育方面的积极作用。</w:t>
      </w:r>
    </w:p>
    <w:p w14:paraId="69968E4E" w14:textId="77777777" w:rsidR="008475BD" w:rsidRDefault="00253BDD">
      <w:pPr>
        <w:spacing w:line="560" w:lineRule="exact"/>
        <w:ind w:firstLineChars="200" w:firstLine="643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23.实施行政执法“增压”行动。</w:t>
      </w:r>
      <w:r>
        <w:rPr>
          <w:rFonts w:ascii="仿宋_GB2312" w:eastAsia="仿宋_GB2312" w:hAnsi="仿宋_GB2312" w:hint="eastAsia"/>
          <w:color w:val="000000"/>
          <w:sz w:val="32"/>
        </w:rPr>
        <w:t>指导各行政执法单位落实行政执法“三项制度”，定期检查行政执法公示的范围、内容和标准。开展多频次行政执法案卷自查和质量抽验，规范行政执法行为。强化反不正当竞争监管执法，重点查处侵犯商业秘密、商业诋毁、虚假宣传、互联网不正当竞争等违法违规行为，加强企业技术和商业秘密保护。</w:t>
      </w:r>
    </w:p>
    <w:p w14:paraId="4FDE2904" w14:textId="61631475" w:rsidR="008475BD" w:rsidRDefault="00253BDD">
      <w:pPr>
        <w:spacing w:line="560" w:lineRule="exact"/>
        <w:ind w:firstLineChars="200" w:firstLine="643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24.实施信用体系完善行动。</w:t>
      </w:r>
      <w:r>
        <w:rPr>
          <w:rFonts w:ascii="仿宋_GB2312" w:eastAsia="仿宋_GB2312" w:hAnsi="仿宋_GB2312" w:hint="eastAsia"/>
          <w:color w:val="000000"/>
          <w:sz w:val="32"/>
        </w:rPr>
        <w:t>加大推进信用体系建设力度，完善“双公示”工作通报、沟通协调和定期调度机制，开展对失信被执行人专项治理工作，降低海淀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区严重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失信名单主体数量。开展重点商圈、老字号、品牌馆等特色集聚区商务诚信建设试点示范。健全信用修复制度机制，</w:t>
      </w:r>
      <w:r w:rsidR="00F26A99" w:rsidRPr="00F26A99">
        <w:rPr>
          <w:rFonts w:ascii="仿宋_GB2312" w:eastAsia="仿宋_GB2312" w:hAnsi="仿宋_GB2312" w:hint="eastAsia"/>
          <w:color w:val="000000"/>
          <w:sz w:val="32"/>
        </w:rPr>
        <w:t>在现行信用修复机制下，配合市级部门实现市场监管行政处罚信用修复“多口受理、同步撤下”工作。</w:t>
      </w:r>
      <w:r>
        <w:rPr>
          <w:rFonts w:ascii="仿宋_GB2312" w:eastAsia="仿宋_GB2312" w:hAnsi="仿宋_GB2312" w:hint="eastAsia"/>
          <w:color w:val="000000"/>
          <w:sz w:val="32"/>
        </w:rPr>
        <w:t>组织开展信用进企业、进社区、进校园、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进商圈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、进园区、进大厅等“六进”系列宣传活动。</w:t>
      </w:r>
    </w:p>
    <w:p w14:paraId="18D860C3" w14:textId="77777777" w:rsidR="008475BD" w:rsidRDefault="00253BDD">
      <w:pPr>
        <w:spacing w:line="560" w:lineRule="exact"/>
        <w:ind w:firstLineChars="200" w:firstLine="643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25.实施纠纷化解“破冰”行动。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探索鉴源治理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，在法官提起鉴定委托前辅助法官认清鉴定委托的必要，厘清鉴定委托思路，提高鉴定委托质效；扩大“快鉴”在诉前调解案件类型的适用范围，增加“快鉴”的鉴定类型。高效及时为企业提供法律咨询、公证服务、知识产权保护等专业法律服务。推动智慧法院建设，持续推进案件繁简分流。打造金融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诉源治理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“直通车”工作机制。立足金融审判职能，不断推进法治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化金融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营商环境工作再优化、</w:t>
      </w:r>
      <w:r>
        <w:rPr>
          <w:rFonts w:ascii="仿宋_GB2312" w:eastAsia="仿宋_GB2312" w:hAnsi="仿宋_GB2312" w:hint="eastAsia"/>
          <w:color w:val="000000"/>
          <w:sz w:val="32"/>
        </w:rPr>
        <w:lastRenderedPageBreak/>
        <w:t>再提升。深化双驱动的商事审判工作机制，实现案件分流、功能分层。</w:t>
      </w:r>
    </w:p>
    <w:p w14:paraId="4004D84E" w14:textId="77777777" w:rsidR="008475BD" w:rsidRDefault="00253BDD" w:rsidP="00514A68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三、推进“八大工程”，提升创新发展能级，聚力打造“海淀服务”新标杆</w:t>
      </w:r>
    </w:p>
    <w:p w14:paraId="14EAFC69" w14:textId="042F4240" w:rsidR="008475BD" w:rsidRDefault="00253B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6" w:name="_Toc13334"/>
      <w:bookmarkStart w:id="7" w:name="_Toc157929063"/>
      <w:bookmarkStart w:id="8" w:name="_Toc6570"/>
      <w:bookmarkStart w:id="9" w:name="_Toc155346080"/>
      <w:bookmarkStart w:id="10" w:name="_Toc15161"/>
      <w:bookmarkEnd w:id="6"/>
      <w:r>
        <w:rPr>
          <w:rFonts w:ascii="楷体_GB2312" w:eastAsia="楷体_GB2312" w:hAnsi="楷体_GB2312" w:cs="楷体_GB2312" w:hint="eastAsia"/>
          <w:color w:val="000000"/>
          <w:sz w:val="32"/>
        </w:rPr>
        <w:t>1.推进先行先试攻坚工程。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加大先行先试力度，创造更多可复制推广的先进经验，不断释放创新活力，争当创新发展的排头兵。</w:t>
      </w:r>
      <w:r w:rsidR="00273FBF">
        <w:rPr>
          <w:rFonts w:ascii="仿宋_GB2312" w:eastAsia="仿宋_GB2312" w:hint="eastAsia"/>
          <w:sz w:val="32"/>
          <w:szCs w:val="32"/>
        </w:rPr>
        <w:t>构建数据交易流通政策体系，逐步建立健全数据资产登记、评估、入表、定价、交易、流通、监管、市场技术规范、市场争议解决办法等制度，探索数据收益分配机制。</w:t>
      </w:r>
      <w:r>
        <w:rPr>
          <w:rFonts w:ascii="仿宋_GB2312" w:eastAsia="仿宋_GB2312" w:hint="eastAsia"/>
          <w:sz w:val="32"/>
          <w:szCs w:val="32"/>
        </w:rPr>
        <w:t>深化中关村</w:t>
      </w:r>
      <w:proofErr w:type="gramStart"/>
      <w:r>
        <w:rPr>
          <w:rFonts w:ascii="仿宋_GB2312" w:eastAsia="仿宋_GB2312" w:hint="eastAsia"/>
          <w:sz w:val="32"/>
          <w:szCs w:val="32"/>
        </w:rPr>
        <w:t>科创金融</w:t>
      </w:r>
      <w:proofErr w:type="gramEnd"/>
      <w:r>
        <w:rPr>
          <w:rFonts w:ascii="仿宋_GB2312" w:eastAsia="仿宋_GB2312" w:hint="eastAsia"/>
          <w:sz w:val="32"/>
          <w:szCs w:val="32"/>
        </w:rPr>
        <w:t>改革试验区建设，统筹金融资源配置，引导更多社会资本投向科技创新领域。全面</w:t>
      </w:r>
      <w:proofErr w:type="gramStart"/>
      <w:r>
        <w:rPr>
          <w:rFonts w:ascii="仿宋_GB2312" w:eastAsia="仿宋_GB2312" w:hint="eastAsia"/>
          <w:sz w:val="32"/>
          <w:szCs w:val="32"/>
        </w:rPr>
        <w:t>提升科创金融</w:t>
      </w:r>
      <w:proofErr w:type="gramEnd"/>
      <w:r>
        <w:rPr>
          <w:rFonts w:ascii="仿宋_GB2312" w:eastAsia="仿宋_GB2312" w:hint="eastAsia"/>
          <w:sz w:val="32"/>
          <w:szCs w:val="32"/>
        </w:rPr>
        <w:t>服务中心功能，进一步拓展续贷、首贷、确权贷等信贷支持，完善一揽子金融服务。加快推进全国市场监管数字化试验区（北京）建设示范区工作，搭建“创新合伙人”服务平台，推动监管业务数据整合汇聚、推行非现场监管举措落地，探索数据治理新模式、智慧监管新模式。推动</w:t>
      </w:r>
      <w:proofErr w:type="gramStart"/>
      <w:r>
        <w:rPr>
          <w:rFonts w:ascii="仿宋_GB2312" w:eastAsia="仿宋_GB2312" w:hint="eastAsia"/>
          <w:sz w:val="32"/>
          <w:szCs w:val="32"/>
        </w:rPr>
        <w:t>中关村综保区</w:t>
      </w:r>
      <w:proofErr w:type="gramEnd"/>
      <w:r>
        <w:rPr>
          <w:rFonts w:ascii="仿宋_GB2312" w:eastAsia="仿宋_GB2312" w:hint="eastAsia"/>
          <w:sz w:val="32"/>
          <w:szCs w:val="32"/>
        </w:rPr>
        <w:t>按期封关运行，</w:t>
      </w:r>
      <w:proofErr w:type="gramStart"/>
      <w:r>
        <w:rPr>
          <w:rFonts w:ascii="仿宋_GB2312" w:eastAsia="仿宋_GB2312" w:hint="eastAsia"/>
          <w:sz w:val="32"/>
          <w:szCs w:val="32"/>
        </w:rPr>
        <w:t>谋划全</w:t>
      </w:r>
      <w:proofErr w:type="gramEnd"/>
      <w:r>
        <w:rPr>
          <w:rFonts w:ascii="仿宋_GB2312" w:eastAsia="仿宋_GB2312" w:hint="eastAsia"/>
          <w:sz w:val="32"/>
          <w:szCs w:val="32"/>
        </w:rPr>
        <w:t>产业链保税、集团保税、智慧监管等政策创新。全面推行首席数据官制度，在区级部门开展先行先试，建立相应的数据</w:t>
      </w:r>
      <w:proofErr w:type="gramStart"/>
      <w:r>
        <w:rPr>
          <w:rFonts w:ascii="仿宋_GB2312" w:eastAsia="仿宋_GB2312" w:hint="eastAsia"/>
          <w:sz w:val="32"/>
          <w:szCs w:val="32"/>
        </w:rPr>
        <w:t>官组织</w:t>
      </w:r>
      <w:proofErr w:type="gramEnd"/>
      <w:r>
        <w:rPr>
          <w:rFonts w:ascii="仿宋_GB2312" w:eastAsia="仿宋_GB2312" w:hint="eastAsia"/>
          <w:sz w:val="32"/>
          <w:szCs w:val="32"/>
        </w:rPr>
        <w:t>体系，提升政务数据管理和运用。率先开展重点领域、特定场景的数据专区建设，积极</w:t>
      </w:r>
      <w:proofErr w:type="gramStart"/>
      <w:r>
        <w:rPr>
          <w:rFonts w:ascii="仿宋_GB2312" w:eastAsia="仿宋_GB2312" w:hint="eastAsia"/>
          <w:sz w:val="32"/>
          <w:szCs w:val="32"/>
        </w:rPr>
        <w:t>吸纳多元</w:t>
      </w:r>
      <w:proofErr w:type="gramEnd"/>
      <w:r>
        <w:rPr>
          <w:rFonts w:ascii="仿宋_GB2312" w:eastAsia="仿宋_GB2312" w:hint="eastAsia"/>
          <w:sz w:val="32"/>
          <w:szCs w:val="32"/>
        </w:rPr>
        <w:t>合作方，拓展政企融合应用场景，稳步构建具有专区特色的数据生态。充分发挥北京数据基础制度先行区的作用，在数据开放流动、数据流通交易、应用场景示范、安全监管治理等重点领域积极推</w:t>
      </w:r>
      <w:r>
        <w:rPr>
          <w:rFonts w:ascii="仿宋_GB2312" w:eastAsia="仿宋_GB2312" w:hint="eastAsia"/>
          <w:sz w:val="32"/>
          <w:szCs w:val="32"/>
        </w:rPr>
        <w:lastRenderedPageBreak/>
        <w:t>进先行先试。</w:t>
      </w:r>
    </w:p>
    <w:p w14:paraId="15E1F3FB" w14:textId="578181DD" w:rsidR="008475BD" w:rsidRDefault="00253B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</w:rPr>
        <w:t>2.推进公共技术平台共享工程。</w:t>
      </w:r>
      <w:r>
        <w:rPr>
          <w:rFonts w:ascii="仿宋_GB2312" w:eastAsia="仿宋_GB2312" w:hAnsi="仿宋_GB2312" w:cs="仿宋_GB2312" w:hint="eastAsia"/>
          <w:color w:val="000000"/>
          <w:sz w:val="32"/>
        </w:rPr>
        <w:t>通过整合各部门的资源优势</w:t>
      </w:r>
      <w:r w:rsidR="00A1459B">
        <w:rPr>
          <w:rFonts w:ascii="仿宋_GB2312" w:eastAsia="仿宋_GB2312" w:hAnsi="仿宋_GB2312" w:cs="仿宋_GB2312" w:hint="eastAsia"/>
          <w:color w:val="000000"/>
          <w:sz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搭建公共技术平台，为中小企业的创新研发提供服务，不断提升企业创新能力，促进高新技术产业发展。</w:t>
      </w:r>
      <w:r>
        <w:rPr>
          <w:rFonts w:ascii="仿宋_GB2312" w:eastAsia="仿宋_GB2312" w:hint="eastAsia"/>
          <w:sz w:val="32"/>
          <w:szCs w:val="32"/>
        </w:rPr>
        <w:t>支持搭建基于国产AI软硬件的人工智能训练和公共技术服务平台，研发全</w:t>
      </w:r>
      <w:proofErr w:type="gramStart"/>
      <w:r>
        <w:rPr>
          <w:rFonts w:ascii="仿宋_GB2312" w:eastAsia="仿宋_GB2312" w:hint="eastAsia"/>
          <w:sz w:val="32"/>
          <w:szCs w:val="32"/>
        </w:rPr>
        <w:t>栈</w:t>
      </w:r>
      <w:proofErr w:type="gramEnd"/>
      <w:r>
        <w:rPr>
          <w:rFonts w:ascii="仿宋_GB2312" w:eastAsia="仿宋_GB2312" w:hint="eastAsia"/>
          <w:sz w:val="32"/>
          <w:szCs w:val="32"/>
        </w:rPr>
        <w:t>国产化大模型，构建自主可控的人工智能产业创新生态。在中关村科学城北区建设北京人工智能</w:t>
      </w:r>
      <w:proofErr w:type="gramStart"/>
      <w:r>
        <w:rPr>
          <w:rFonts w:ascii="仿宋_GB2312" w:eastAsia="仿宋_GB2312" w:hint="eastAsia"/>
          <w:sz w:val="32"/>
          <w:szCs w:val="32"/>
        </w:rPr>
        <w:t>公共算力平台</w:t>
      </w:r>
      <w:proofErr w:type="gramEnd"/>
      <w:r>
        <w:rPr>
          <w:rFonts w:ascii="仿宋_GB2312" w:eastAsia="仿宋_GB2312" w:hint="eastAsia"/>
          <w:sz w:val="32"/>
          <w:szCs w:val="32"/>
        </w:rPr>
        <w:t>，高标准打造高效、稳定</w:t>
      </w:r>
      <w:proofErr w:type="gramStart"/>
      <w:r>
        <w:rPr>
          <w:rFonts w:ascii="仿宋_GB2312" w:eastAsia="仿宋_GB2312" w:hint="eastAsia"/>
          <w:sz w:val="32"/>
          <w:szCs w:val="32"/>
        </w:rPr>
        <w:t>的智算平台</w:t>
      </w:r>
      <w:proofErr w:type="gramEnd"/>
      <w:r>
        <w:rPr>
          <w:rFonts w:ascii="仿宋_GB2312" w:eastAsia="仿宋_GB2312" w:hint="eastAsia"/>
          <w:sz w:val="32"/>
          <w:szCs w:val="32"/>
        </w:rPr>
        <w:t>，为各</w:t>
      </w:r>
      <w:proofErr w:type="gramStart"/>
      <w:r>
        <w:rPr>
          <w:rFonts w:ascii="仿宋_GB2312" w:eastAsia="仿宋_GB2312" w:hint="eastAsia"/>
          <w:sz w:val="32"/>
          <w:szCs w:val="32"/>
        </w:rPr>
        <w:t>类创新</w:t>
      </w:r>
      <w:proofErr w:type="gramEnd"/>
      <w:r>
        <w:rPr>
          <w:rFonts w:ascii="仿宋_GB2312" w:eastAsia="仿宋_GB2312" w:hint="eastAsia"/>
          <w:sz w:val="32"/>
          <w:szCs w:val="32"/>
        </w:rPr>
        <w:t>主体提供普惠的</w:t>
      </w:r>
      <w:proofErr w:type="gramStart"/>
      <w:r>
        <w:rPr>
          <w:rFonts w:ascii="仿宋_GB2312" w:eastAsia="仿宋_GB2312" w:hint="eastAsia"/>
          <w:sz w:val="32"/>
          <w:szCs w:val="32"/>
        </w:rPr>
        <w:t>公共算力服务</w:t>
      </w:r>
      <w:proofErr w:type="gramEnd"/>
      <w:r>
        <w:rPr>
          <w:rFonts w:ascii="仿宋_GB2312" w:eastAsia="仿宋_GB2312" w:hint="eastAsia"/>
          <w:sz w:val="32"/>
          <w:szCs w:val="32"/>
        </w:rPr>
        <w:t>。推动领军企业、医疗机构、高校院所、特色园区加强合作，规划布局一批关键共性技术研发平台、中试技术服务平台，打造国际一流的生物医药开放共享体系。高水平建设RISC-V共性技术服务平台，支持公共EDA、IP应用与SoC开发、验证与测试、应用解决方案等专业性技术平台落地，提升流片、封装、测试、快制中试、供应链等集成电路产业化服务能力。</w:t>
      </w:r>
    </w:p>
    <w:p w14:paraId="1859A1A1" w14:textId="240D4F98" w:rsidR="008475BD" w:rsidRDefault="00253B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</w:rPr>
        <w:t>3.推进中试孵化突破工程。</w:t>
      </w:r>
      <w:r>
        <w:rPr>
          <w:rFonts w:ascii="仿宋_GB2312" w:eastAsia="仿宋_GB2312" w:hint="eastAsia"/>
          <w:sz w:val="32"/>
          <w:szCs w:val="32"/>
        </w:rPr>
        <w:t>加强产学研深度融合，促进科技成果转化，大力推进中试孵化平台建设，加速跨越从科研成果到产业化中“1到10”的沟壑，推动企业技术水平提升和区域经济可持续发展。</w:t>
      </w:r>
      <w:r w:rsidR="003E0CE7">
        <w:rPr>
          <w:rFonts w:ascii="仿宋_GB2312" w:eastAsia="仿宋_GB2312" w:hint="eastAsia"/>
          <w:sz w:val="32"/>
          <w:szCs w:val="32"/>
        </w:rPr>
        <w:t>谋划创新产业空间布局，实现企业全产业链功能布局，满足企业试验测试等特殊产业空间需求。</w:t>
      </w:r>
      <w:r>
        <w:rPr>
          <w:rFonts w:ascii="仿宋_GB2312" w:eastAsia="仿宋_GB2312" w:hint="eastAsia"/>
          <w:sz w:val="32"/>
          <w:szCs w:val="32"/>
        </w:rPr>
        <w:t>搭建前沿创新成果转化供需对接平台，分领域发布源头技术成果清单，精准引导优质项目转化落地。加强技术转移和转化服务资源整合，构建涵盖概念验证、小试中试、技术标准的全流程产业服务网络，形成科</w:t>
      </w:r>
      <w:r>
        <w:rPr>
          <w:rFonts w:ascii="仿宋_GB2312" w:eastAsia="仿宋_GB2312" w:hint="eastAsia"/>
          <w:sz w:val="32"/>
          <w:szCs w:val="32"/>
        </w:rPr>
        <w:lastRenderedPageBreak/>
        <w:t>技成果“边研发、边转化”的产业化和快速迭代机制。持续培育标杆孵化器，支持面向全球挖掘、吸引、加速优质团队和项目，加快培育高成长潜力科技企业，提升孵化器专业化、价值化、国际化发展水平。打造服务于前沿新兴领域科学家创始人的“经纪团队”，遴选一批能够为科学家提供创业引导、知识产权保护、上市辅导等服务的专业机构。做好未来产业“超前孵化”，构建面向全球的开放孵化格局。</w:t>
      </w:r>
    </w:p>
    <w:p w14:paraId="419A4EDE" w14:textId="4EA4CF0F" w:rsidR="008475BD" w:rsidRDefault="00253BDD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</w:rPr>
        <w:t>4.推进应用场景拓展工程。</w:t>
      </w:r>
      <w:r>
        <w:rPr>
          <w:rFonts w:ascii="仿宋_GB2312" w:eastAsia="仿宋_GB2312" w:hint="eastAsia"/>
          <w:sz w:val="32"/>
          <w:szCs w:val="32"/>
        </w:rPr>
        <w:t>持续拓展多领域创新性应用场景</w:t>
      </w:r>
      <w:r w:rsidR="00A1459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以更丰富的应用场景带动相关技术成熟发展，促进产业落地应用。探索在文化、医疗、教育、营商环境、</w:t>
      </w:r>
      <w:proofErr w:type="gramStart"/>
      <w:r>
        <w:rPr>
          <w:rFonts w:ascii="仿宋_GB2312" w:eastAsia="仿宋_GB2312" w:hint="eastAsia"/>
          <w:sz w:val="32"/>
          <w:szCs w:val="32"/>
        </w:rPr>
        <w:t>接诉即办</w:t>
      </w:r>
      <w:proofErr w:type="gramEnd"/>
      <w:r>
        <w:rPr>
          <w:rFonts w:ascii="仿宋_GB2312" w:eastAsia="仿宋_GB2312" w:hint="eastAsia"/>
          <w:sz w:val="32"/>
          <w:szCs w:val="32"/>
        </w:rPr>
        <w:t>等领域进一步推动垂直大模型的开发与应用。为首</w:t>
      </w:r>
      <w:proofErr w:type="gramStart"/>
      <w:r>
        <w:rPr>
          <w:rFonts w:ascii="仿宋_GB2312" w:eastAsia="仿宋_GB2312" w:hint="eastAsia"/>
          <w:sz w:val="32"/>
          <w:szCs w:val="32"/>
        </w:rPr>
        <w:t>台套项目</w:t>
      </w:r>
      <w:proofErr w:type="gramEnd"/>
      <w:r>
        <w:rPr>
          <w:rFonts w:ascii="仿宋_GB2312" w:eastAsia="仿宋_GB2312" w:hint="eastAsia"/>
          <w:sz w:val="32"/>
          <w:szCs w:val="32"/>
        </w:rPr>
        <w:t>提供产品研发、测试、试制、打样等专业化服务，将拟入选项目纳入海淀区科技应用场景项目进行支持。培育推广自动驾驶新业态，支持企业开展自动驾驶道路测试，拓展丰富测试道路场景。强化技术驱动类、业务驱动类、集成应用类等场景建设，支持底层技术跨界示范应用，实现不同场景协同联动，培育融通发展的应用场景创新生态。</w:t>
      </w:r>
      <w:r w:rsidR="003E0CE7">
        <w:rPr>
          <w:rFonts w:ascii="仿宋_GB2312" w:eastAsia="仿宋_GB2312" w:hint="eastAsia"/>
          <w:sz w:val="32"/>
          <w:szCs w:val="32"/>
        </w:rPr>
        <w:t>围绕自动驾驶、智能制造、医药健康等重点领域，打造一批应用场景，支持底层技术开展早期试验，为新技术大规模示范应用提供场景机会。加强场景资源统筹和引导，举办新场景发布会、供需对接会，推动新技术、新产品、新服务有效衔接和精准应用。</w:t>
      </w:r>
    </w:p>
    <w:p w14:paraId="57D06906" w14:textId="0B2A3D0F" w:rsidR="008475BD" w:rsidRDefault="00253B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</w:rPr>
        <w:t>5.推进园区品质提升工程。</w:t>
      </w:r>
      <w:r>
        <w:rPr>
          <w:rFonts w:ascii="仿宋_GB2312" w:eastAsia="仿宋_GB2312" w:hint="eastAsia"/>
          <w:sz w:val="32"/>
          <w:szCs w:val="32"/>
        </w:rPr>
        <w:t>聚焦新质生产力，用创新</w:t>
      </w:r>
      <w:proofErr w:type="gramStart"/>
      <w:r>
        <w:rPr>
          <w:rFonts w:ascii="仿宋_GB2312" w:eastAsia="仿宋_GB2312" w:hint="eastAsia"/>
          <w:sz w:val="32"/>
          <w:szCs w:val="32"/>
        </w:rPr>
        <w:t>引领力</w:t>
      </w:r>
      <w:proofErr w:type="gramEnd"/>
      <w:r>
        <w:rPr>
          <w:rFonts w:ascii="仿宋_GB2312" w:eastAsia="仿宋_GB2312" w:hint="eastAsia"/>
          <w:sz w:val="32"/>
          <w:szCs w:val="32"/>
        </w:rPr>
        <w:t>牵引园区未来新方向，高标准规划、高质量建设产业园区。</w:t>
      </w:r>
      <w:r w:rsidR="003E0CE7">
        <w:rPr>
          <w:rFonts w:ascii="仿宋_GB2312" w:eastAsia="仿宋_GB2312" w:hint="eastAsia"/>
          <w:sz w:val="32"/>
          <w:szCs w:val="32"/>
        </w:rPr>
        <w:t>创新</w:t>
      </w:r>
      <w:r w:rsidR="003E0CE7">
        <w:rPr>
          <w:rFonts w:ascii="仿宋_GB2312" w:eastAsia="仿宋_GB2312" w:hint="eastAsia"/>
          <w:sz w:val="32"/>
          <w:szCs w:val="32"/>
        </w:rPr>
        <w:lastRenderedPageBreak/>
        <w:t>园区精细化管家式服务模式，支持园区通过建立完善的服务体系、提供个性化定制服务等举措，提升园区对企服务品质。积极推荐园区申报北京市高品质园区建设、老旧园区改造、老旧厂房改造支持资金项目，制定中关村科学城特色产业</w:t>
      </w:r>
      <w:proofErr w:type="gramStart"/>
      <w:r w:rsidR="003E0CE7">
        <w:rPr>
          <w:rFonts w:ascii="仿宋_GB2312" w:eastAsia="仿宋_GB2312" w:hint="eastAsia"/>
          <w:sz w:val="32"/>
          <w:szCs w:val="32"/>
        </w:rPr>
        <w:t>园相关</w:t>
      </w:r>
      <w:proofErr w:type="gramEnd"/>
      <w:r w:rsidR="003E0CE7">
        <w:rPr>
          <w:rFonts w:ascii="仿宋_GB2312" w:eastAsia="仿宋_GB2312" w:hint="eastAsia"/>
          <w:sz w:val="32"/>
          <w:szCs w:val="32"/>
        </w:rPr>
        <w:t>支持政策。</w:t>
      </w:r>
      <w:r>
        <w:rPr>
          <w:rFonts w:ascii="仿宋_GB2312" w:eastAsia="仿宋_GB2312" w:hint="eastAsia"/>
          <w:sz w:val="32"/>
          <w:szCs w:val="32"/>
        </w:rPr>
        <w:t>加强中关村高品质科技园区建设，推动产业服务设施、公共服务设施提升，加快打造现代化、智能化、数字化世界一流科技园区。有序推动和引导重点产业园区、腾退低效产业空间的改造利用、功能优化、提质增效，释放高品质产业空间。聚焦科技研发、商务管理等不同类型人才需求，进一步完善产业园区优质办公、高端生活、商务社交功能，拓展开放式共享交流空间，释放园区生态发展活力。支持产业园区以市场化方式链接知识产权、检测认证、技术交易、人力资源、融资服务等第三</w:t>
      </w:r>
      <w:proofErr w:type="gramStart"/>
      <w:r>
        <w:rPr>
          <w:rFonts w:ascii="仿宋_GB2312" w:eastAsia="仿宋_GB2312" w:hint="eastAsia"/>
          <w:sz w:val="32"/>
          <w:szCs w:val="32"/>
        </w:rPr>
        <w:t>方专业</w:t>
      </w:r>
      <w:proofErr w:type="gramEnd"/>
      <w:r>
        <w:rPr>
          <w:rFonts w:ascii="仿宋_GB2312" w:eastAsia="仿宋_GB2312" w:hint="eastAsia"/>
          <w:sz w:val="32"/>
          <w:szCs w:val="32"/>
        </w:rPr>
        <w:t>机构，联合高校院所、龙头企业搭建创新服务平台，提升园区运营服务能级。</w:t>
      </w:r>
    </w:p>
    <w:p w14:paraId="7159E4DE" w14:textId="7E299A09" w:rsidR="008475BD" w:rsidRDefault="00253B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</w:rPr>
        <w:t>6.推进政策迭代升级工程。</w:t>
      </w:r>
      <w:r>
        <w:rPr>
          <w:rFonts w:ascii="仿宋_GB2312" w:eastAsia="仿宋_GB2312" w:hAnsi="仿宋_GB2312" w:hint="eastAsia"/>
          <w:color w:val="000000"/>
          <w:sz w:val="32"/>
          <w:szCs w:val="22"/>
        </w:rPr>
        <w:t>坚持系统性谋划，有序开展政策制定、修订和评估，构建“1+N+X”政策支持体系，推动政策资金从“大水漫灌”向“精准滴灌”转变，为区域高质量发展赋能增力。“1”是一个集成式、统领性支持政策，以促进重大科技创新和重点产业发展为主线，突出普惠性、标准化导向，加大自主创新、产业培育、企业发展、生态优化等支持力度，营造创新驱动力强、要素集聚度高、服务融合性广的发展环境。“N”是聚焦科技创新全要素，制定支持数据要素产业发展的若干措施，逐步形成与产业高质量发展动态匹配的要素支撑。“X”</w:t>
      </w:r>
      <w:r w:rsidR="00C31DBC">
        <w:rPr>
          <w:rFonts w:ascii="仿宋_GB2312" w:eastAsia="仿宋_GB2312" w:hAnsi="仿宋_GB2312" w:hint="eastAsia"/>
          <w:color w:val="000000"/>
          <w:sz w:val="32"/>
          <w:szCs w:val="22"/>
        </w:rPr>
        <w:t>是</w:t>
      </w:r>
      <w:r>
        <w:rPr>
          <w:rFonts w:ascii="仿宋_GB2312" w:eastAsia="仿宋_GB2312" w:hAnsi="仿宋_GB2312" w:hint="eastAsia"/>
          <w:color w:val="000000"/>
          <w:sz w:val="32"/>
          <w:szCs w:val="22"/>
        </w:rPr>
        <w:t>围绕人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>工智能、医药健康、集成电路设计、</w:t>
      </w:r>
      <w:r>
        <w:rPr>
          <w:rFonts w:ascii="仿宋_GB2312" w:eastAsia="仿宋_GB2312" w:hAnsi="仿宋_GB2312" w:hint="eastAsia"/>
          <w:color w:val="000000"/>
          <w:sz w:val="32"/>
          <w:szCs w:val="22"/>
        </w:rPr>
        <w:t>航空航天、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智能制造等</w:t>
      </w:r>
      <w:r>
        <w:rPr>
          <w:rFonts w:ascii="仿宋_GB2312" w:eastAsia="仿宋_GB2312" w:hAnsi="仿宋_GB2312" w:hint="eastAsia"/>
          <w:color w:val="000000"/>
          <w:sz w:val="32"/>
          <w:szCs w:val="22"/>
        </w:rPr>
        <w:t>战略性新兴产业和未来产业发展，出台相关行动计划、产业政策和园区规划，围绕创新链和产业</w:t>
      </w:r>
      <w:proofErr w:type="gramStart"/>
      <w:r>
        <w:rPr>
          <w:rFonts w:ascii="仿宋_GB2312" w:eastAsia="仿宋_GB2312" w:hAnsi="仿宋_GB2312" w:hint="eastAsia"/>
          <w:color w:val="000000"/>
          <w:sz w:val="32"/>
          <w:szCs w:val="22"/>
        </w:rPr>
        <w:t>链需求</w:t>
      </w:r>
      <w:proofErr w:type="gramEnd"/>
      <w:r>
        <w:rPr>
          <w:rFonts w:ascii="仿宋_GB2312" w:eastAsia="仿宋_GB2312" w:hAnsi="仿宋_GB2312" w:hint="eastAsia"/>
          <w:color w:val="000000"/>
          <w:sz w:val="32"/>
          <w:szCs w:val="22"/>
        </w:rPr>
        <w:t>设计针对性的举措，滚动推出一批行业性支持政策，确保政策“用得起、用得上、用得好”。</w:t>
      </w:r>
    </w:p>
    <w:p w14:paraId="20AE02C0" w14:textId="6E7512A2" w:rsidR="008475BD" w:rsidRDefault="00253B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</w:rPr>
        <w:t>7.推进区域协同发展工程。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发挥区域协同和“四区”政策叠加优势，以区域协同融通推进全国统一大市场建设，为企业发展提供强劲空间动力。</w:t>
      </w:r>
      <w:r>
        <w:rPr>
          <w:rFonts w:ascii="仿宋_GB2312" w:eastAsia="仿宋_GB2312" w:hint="eastAsia"/>
          <w:sz w:val="32"/>
          <w:szCs w:val="32"/>
        </w:rPr>
        <w:t>推动京</w:t>
      </w:r>
      <w:proofErr w:type="gramStart"/>
      <w:r>
        <w:rPr>
          <w:rFonts w:ascii="仿宋_GB2312" w:eastAsia="仿宋_GB2312" w:hint="eastAsia"/>
          <w:sz w:val="32"/>
          <w:szCs w:val="32"/>
        </w:rPr>
        <w:t>津冀商事</w:t>
      </w:r>
      <w:proofErr w:type="gramEnd"/>
      <w:r>
        <w:rPr>
          <w:rFonts w:ascii="仿宋_GB2312" w:eastAsia="仿宋_GB2312" w:hint="eastAsia"/>
          <w:sz w:val="32"/>
          <w:szCs w:val="32"/>
        </w:rPr>
        <w:t>制度协同改革，推进京津</w:t>
      </w:r>
      <w:proofErr w:type="gramStart"/>
      <w:r>
        <w:rPr>
          <w:rFonts w:ascii="仿宋_GB2312" w:eastAsia="仿宋_GB2312" w:hint="eastAsia"/>
          <w:sz w:val="32"/>
          <w:szCs w:val="32"/>
        </w:rPr>
        <w:t>冀企业</w:t>
      </w:r>
      <w:proofErr w:type="gramEnd"/>
      <w:r>
        <w:rPr>
          <w:rFonts w:ascii="仿宋_GB2312" w:eastAsia="仿宋_GB2312" w:hint="eastAsia"/>
          <w:sz w:val="32"/>
          <w:szCs w:val="32"/>
        </w:rPr>
        <w:t>开办、变更、注销政策一致、流程统一，实现营业执照异地“办理、发放、领取”。强化原始创新、产业发展、人才服务、生态建设等政策衔接、工作联动，推动“三城一区”统筹联动与融合发展。</w:t>
      </w:r>
      <w:r w:rsidR="00C31DBC">
        <w:rPr>
          <w:rFonts w:ascii="仿宋_GB2312" w:eastAsia="仿宋_GB2312" w:hint="eastAsia"/>
          <w:sz w:val="32"/>
          <w:szCs w:val="32"/>
        </w:rPr>
        <w:t>支持“链主”企业以“总部+基地”“前端+后台”“研发+制造”等形式，跨区域布局一批带动力强的产业项目，设立异地分支机构，实现科技创新价值回流。支持龙头企业搭建行业供应链平台，吸引国内大中小企业纳入关键环节供应链体系，推动企业之间互相采购、委托加工、协作配套，构建紧密合作的供应链关系。</w:t>
      </w:r>
    </w:p>
    <w:p w14:paraId="4EAC3B05" w14:textId="77777777" w:rsidR="008475BD" w:rsidRDefault="00253BDD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</w:rPr>
        <w:t>8.推进产业要素融合工程。</w:t>
      </w:r>
      <w:r>
        <w:rPr>
          <w:rFonts w:ascii="仿宋_GB2312" w:eastAsia="仿宋_GB2312" w:hint="eastAsia"/>
          <w:sz w:val="32"/>
          <w:szCs w:val="32"/>
        </w:rPr>
        <w:t>发挥区位优势，有序推动跨区域生产要素合理配置，加强产业间的链接和协同，形成更为紧密的发展合力，进一步提升经济实力和科技实力。充分利用科技服务资源优势，支持产业联盟、行业协会、孵化机构跨区域提供服务，促进人才、技术、资金等创新要素自由流动，提高科技成果转化和产业协作效能。落实京</w:t>
      </w:r>
      <w:proofErr w:type="gramStart"/>
      <w:r>
        <w:rPr>
          <w:rFonts w:ascii="仿宋_GB2312" w:eastAsia="仿宋_GB2312" w:hint="eastAsia"/>
          <w:sz w:val="32"/>
          <w:szCs w:val="32"/>
        </w:rPr>
        <w:t>津冀自贸</w:t>
      </w:r>
      <w:proofErr w:type="gramEnd"/>
      <w:r>
        <w:rPr>
          <w:rFonts w:ascii="仿宋_GB2312" w:eastAsia="仿宋_GB2312" w:hint="eastAsia"/>
          <w:sz w:val="32"/>
          <w:szCs w:val="32"/>
        </w:rPr>
        <w:t>试验区协同发展部署，</w:t>
      </w:r>
      <w:proofErr w:type="gramStart"/>
      <w:r>
        <w:rPr>
          <w:rFonts w:ascii="仿宋_GB2312" w:eastAsia="仿宋_GB2312" w:hint="eastAsia"/>
          <w:sz w:val="32"/>
          <w:szCs w:val="32"/>
        </w:rPr>
        <w:t>围绕商</w:t>
      </w:r>
      <w:proofErr w:type="gramEnd"/>
      <w:r>
        <w:rPr>
          <w:rFonts w:ascii="仿宋_GB2312" w:eastAsia="仿宋_GB2312" w:hint="eastAsia"/>
          <w:sz w:val="32"/>
          <w:szCs w:val="32"/>
        </w:rPr>
        <w:lastRenderedPageBreak/>
        <w:t>事制度、监管执法、政务服务、知识产权等重点领域，推动资源共享、同事同标、互认互通、高效协作、协同开放，引领一体化创新创业生态体系构建。</w:t>
      </w:r>
    </w:p>
    <w:p w14:paraId="4060FC4B" w14:textId="77777777" w:rsidR="008475BD" w:rsidRDefault="00253BDD" w:rsidP="00514A68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四、保障措施</w:t>
      </w:r>
      <w:bookmarkEnd w:id="7"/>
    </w:p>
    <w:p w14:paraId="63BB9C0A" w14:textId="2BF4DFCC" w:rsidR="008475BD" w:rsidRDefault="00253BDD">
      <w:pPr>
        <w:spacing w:line="560" w:lineRule="exact"/>
        <w:ind w:firstLineChars="200" w:firstLine="640"/>
        <w:rPr>
          <w:rFonts w:ascii="楷体_GB2312" w:eastAsia="楷体_GB2312" w:hAnsi="楷体_GB2312"/>
          <w:color w:val="000000"/>
          <w:sz w:val="32"/>
        </w:rPr>
      </w:pPr>
      <w:bookmarkStart w:id="11" w:name="_Toc32161"/>
      <w:bookmarkStart w:id="12" w:name="_Toc13385"/>
      <w:bookmarkStart w:id="13" w:name="_Toc157929064"/>
      <w:bookmarkEnd w:id="11"/>
      <w:bookmarkEnd w:id="12"/>
      <w:r>
        <w:rPr>
          <w:rFonts w:ascii="楷体_GB2312" w:eastAsia="楷体_GB2312" w:hAnsi="楷体_GB2312" w:hint="eastAsia"/>
          <w:color w:val="000000"/>
          <w:sz w:val="32"/>
        </w:rPr>
        <w:t>（一）加强组织领导</w:t>
      </w:r>
      <w:bookmarkEnd w:id="13"/>
      <w:r>
        <w:rPr>
          <w:rFonts w:ascii="楷体_GB2312" w:eastAsia="楷体_GB2312" w:hAnsi="楷体_GB2312" w:hint="eastAsia"/>
          <w:color w:val="000000"/>
          <w:sz w:val="32"/>
        </w:rPr>
        <w:t>。</w:t>
      </w:r>
      <w:r>
        <w:rPr>
          <w:rFonts w:ascii="仿宋_GB2312" w:eastAsia="仿宋_GB2312" w:hAnsi="仿宋_GB2312" w:hint="eastAsia"/>
          <w:color w:val="000000"/>
          <w:sz w:val="32"/>
        </w:rPr>
        <w:t>加强区镇（街）协同联动，各街镇、各部门、各单位要进一步提高政治站位，切实将优化营商环境、营造创新生态作为“一把手”工程，夯实主体责任，强化主动担当，真抓实干深化改革。加强协调调度，由区政府主要领导任召集人，定期组织听取营商环境改革和创新生态优化政策落地情况，相关区领导负责分管领域改革协调和推进工作，形成工作合力。建立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信息月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报送机制</w:t>
      </w:r>
      <w:r w:rsidR="00A1459B">
        <w:rPr>
          <w:rFonts w:ascii="仿宋_GB2312" w:eastAsia="仿宋_GB2312" w:hAnsi="仿宋_GB2312" w:hint="eastAsia"/>
          <w:color w:val="000000"/>
          <w:sz w:val="32"/>
        </w:rPr>
        <w:t>，</w:t>
      </w:r>
      <w:r>
        <w:rPr>
          <w:rFonts w:ascii="仿宋_GB2312" w:eastAsia="仿宋_GB2312" w:hAnsi="仿宋_GB2312" w:hint="eastAsia"/>
          <w:color w:val="000000"/>
          <w:sz w:val="32"/>
        </w:rPr>
        <w:t>及时归集展现各部门各领域优化营商环境的好经验、好做法，将各单位、各街镇在推进任务落地情况、走访企业情况、开展创新性工作情况、特色服务情况、为企业办实事情况等梳理形成工作专报，及时向区委区政府报告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充分调动基层优化营商环境积极性和创造性，鼓励探索创新，推进优化营商环境各项任务落地见效。</w:t>
      </w:r>
    </w:p>
    <w:p w14:paraId="2F5E20D2" w14:textId="77777777" w:rsidR="008475BD" w:rsidRDefault="00253B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4" w:name="_Toc31821"/>
      <w:bookmarkStart w:id="15" w:name="_Toc11597"/>
      <w:bookmarkStart w:id="16" w:name="_Toc157929065"/>
      <w:bookmarkEnd w:id="14"/>
      <w:bookmarkEnd w:id="15"/>
      <w:r>
        <w:rPr>
          <w:rFonts w:ascii="楷体_GB2312" w:eastAsia="楷体_GB2312" w:hAnsi="楷体_GB2312" w:hint="eastAsia"/>
          <w:color w:val="000000"/>
          <w:sz w:val="32"/>
        </w:rPr>
        <w:t>（二）完善共建机制</w:t>
      </w:r>
      <w:bookmarkEnd w:id="16"/>
      <w:r>
        <w:rPr>
          <w:rFonts w:ascii="楷体_GB2312" w:eastAsia="楷体_GB2312" w:hAnsi="楷体_GB2312" w:hint="eastAsia"/>
          <w:color w:val="000000"/>
          <w:sz w:val="32"/>
        </w:rPr>
        <w:t>。</w:t>
      </w:r>
      <w:r>
        <w:rPr>
          <w:rFonts w:ascii="仿宋_GB2312" w:eastAsia="仿宋_GB2312" w:hAnsi="仿宋_GB2312" w:hint="eastAsia"/>
          <w:color w:val="000000"/>
          <w:sz w:val="32"/>
        </w:rPr>
        <w:t>充分发挥营商环境社会监督员、政务服务“体验官”、第三方机构、媒体等作用，引导社会各方积极参与营商环境改革政策制定和落实情况监督。</w:t>
      </w: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深化第三方评价机制，借力第三方为政务服务等工作“把脉问诊”，为优化营商环境提供高效保障。</w:t>
      </w:r>
      <w:r>
        <w:rPr>
          <w:rFonts w:eastAsia="仿宋_GB2312" w:hint="eastAsia"/>
          <w:color w:val="000000"/>
          <w:sz w:val="32"/>
          <w:szCs w:val="32"/>
        </w:rPr>
        <w:t>定期开</w:t>
      </w:r>
      <w:r>
        <w:rPr>
          <w:rFonts w:ascii="仿宋_GB2312" w:eastAsia="仿宋_GB2312" w:hAnsi="仿宋_GB2312" w:hint="eastAsia"/>
          <w:color w:val="000000"/>
          <w:sz w:val="32"/>
        </w:rPr>
        <w:t>展满意度调查，及时整理形成改革任务清单。推动</w:t>
      </w: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“局处长走流程”工作常态化制度化，深入查找企业</w:t>
      </w: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lastRenderedPageBreak/>
        <w:t>群众办事过程中的痛点堵点，推动政策服务切实落地落实落细。</w:t>
      </w:r>
    </w:p>
    <w:p w14:paraId="03D1B401" w14:textId="08B3E140" w:rsidR="008475BD" w:rsidRPr="00413B80" w:rsidRDefault="00253BDD" w:rsidP="00413B80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17" w:name="_Toc2220"/>
      <w:bookmarkStart w:id="18" w:name="_Toc10257"/>
      <w:bookmarkStart w:id="19" w:name="_Toc157929066"/>
      <w:bookmarkEnd w:id="17"/>
      <w:bookmarkEnd w:id="18"/>
      <w:r>
        <w:rPr>
          <w:rFonts w:ascii="楷体_GB2312" w:eastAsia="楷体_GB2312" w:hAnsi="楷体_GB2312" w:hint="eastAsia"/>
          <w:color w:val="000000"/>
          <w:sz w:val="32"/>
        </w:rPr>
        <w:t>（三）</w:t>
      </w:r>
      <w:bookmarkEnd w:id="19"/>
      <w:r>
        <w:rPr>
          <w:rFonts w:ascii="楷体_GB2312" w:eastAsia="楷体_GB2312" w:hAnsi="楷体_GB2312" w:hint="eastAsia"/>
          <w:color w:val="000000"/>
          <w:sz w:val="32"/>
        </w:rPr>
        <w:t>强化能力建设。</w:t>
      </w: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全面提升一线服务人员专业化服务能力，由区发展改革委和各行业部门定期组织培训，培养一支懂经济、讲大局、会服务的“全科型”企业服务队伍。加大政策解读力度，丰富解读形式，通过文字、图片、视频、网络直播、新闻发布会等形式提高政策的传播力、影响力、落实力切实提升惠企便民服务水平。全方位加强舆论宣传能力建设，构建“空中有声、墙上有图、屏上有视频、网上有图文”的立体宣传矩阵，形成全社会广泛支持和参与营商环境建设的良好氛围。充分调动街镇力量资源，做好服务企业与开展营商环境宣传活动有机结合，持续推进“一街镇</w:t>
      </w:r>
      <w:proofErr w:type="gramStart"/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特色”政企对接宣传服务。</w:t>
      </w:r>
      <w:bookmarkEnd w:id="8"/>
      <w:bookmarkEnd w:id="9"/>
      <w:bookmarkEnd w:id="10"/>
    </w:p>
    <w:sectPr w:rsidR="008475BD" w:rsidRPr="00413B80" w:rsidSect="00413B80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CB77C" w14:textId="77777777" w:rsidR="006E7811" w:rsidRDefault="006E7811">
      <w:r>
        <w:separator/>
      </w:r>
    </w:p>
  </w:endnote>
  <w:endnote w:type="continuationSeparator" w:id="0">
    <w:p w14:paraId="1C23B225" w14:textId="77777777" w:rsidR="006E7811" w:rsidRDefault="006E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仿宋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宋体" w:hAnsi="宋体"/>
        <w:sz w:val="28"/>
        <w:szCs w:val="28"/>
      </w:rPr>
      <w:id w:val="239765919"/>
    </w:sdtPr>
    <w:sdtEndPr/>
    <w:sdtContent>
      <w:p w14:paraId="42210E10" w14:textId="77777777" w:rsidR="00F26A99" w:rsidRDefault="00F26A99">
        <w:pPr>
          <w:pStyle w:val="a7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- 1 -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9255C1A" w14:textId="77777777" w:rsidR="00F26A99" w:rsidRDefault="00F26A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宋体" w:hAnsi="宋体"/>
        <w:sz w:val="28"/>
        <w:szCs w:val="28"/>
      </w:rPr>
      <w:id w:val="-1"/>
    </w:sdtPr>
    <w:sdtEndPr/>
    <w:sdtContent>
      <w:p w14:paraId="4C5976CE" w14:textId="77777777" w:rsidR="00F26A99" w:rsidRDefault="00F26A99">
        <w:pPr>
          <w:pStyle w:val="a7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1F2F9A93" w14:textId="77777777" w:rsidR="00F26A99" w:rsidRDefault="00F26A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2F724" w14:textId="77777777" w:rsidR="006E7811" w:rsidRDefault="006E7811">
      <w:r>
        <w:separator/>
      </w:r>
    </w:p>
  </w:footnote>
  <w:footnote w:type="continuationSeparator" w:id="0">
    <w:p w14:paraId="58C8C5BB" w14:textId="77777777" w:rsidR="006E7811" w:rsidRDefault="006E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A488B"/>
    <w:multiLevelType w:val="multilevel"/>
    <w:tmpl w:val="2E6A488B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1B3D04"/>
    <w:multiLevelType w:val="multilevel"/>
    <w:tmpl w:val="6ABC2F8E"/>
    <w:lvl w:ilvl="0">
      <w:start w:val="118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7765222C"/>
    <w:multiLevelType w:val="multilevel"/>
    <w:tmpl w:val="3B2C5C22"/>
    <w:lvl w:ilvl="0">
      <w:start w:val="157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E0"/>
    <w:rsid w:val="8DFBCD4A"/>
    <w:rsid w:val="B33BF504"/>
    <w:rsid w:val="B768AD99"/>
    <w:rsid w:val="B7BFBD18"/>
    <w:rsid w:val="BBF7D821"/>
    <w:rsid w:val="DF361751"/>
    <w:rsid w:val="DF6DD482"/>
    <w:rsid w:val="EA9B972A"/>
    <w:rsid w:val="EC5824B2"/>
    <w:rsid w:val="EDBE233B"/>
    <w:rsid w:val="EF7D0CEE"/>
    <w:rsid w:val="EFFBEF34"/>
    <w:rsid w:val="EFFF1055"/>
    <w:rsid w:val="F77F09FF"/>
    <w:rsid w:val="F8FF37CE"/>
    <w:rsid w:val="FD3D9F28"/>
    <w:rsid w:val="FDD3B58E"/>
    <w:rsid w:val="FF2FFA5B"/>
    <w:rsid w:val="FFB7D09D"/>
    <w:rsid w:val="FFFF739E"/>
    <w:rsid w:val="0000317D"/>
    <w:rsid w:val="00022E6D"/>
    <w:rsid w:val="00065DD0"/>
    <w:rsid w:val="000E6849"/>
    <w:rsid w:val="00111467"/>
    <w:rsid w:val="00143594"/>
    <w:rsid w:val="001709A6"/>
    <w:rsid w:val="001A4603"/>
    <w:rsid w:val="00211EF3"/>
    <w:rsid w:val="00234D20"/>
    <w:rsid w:val="00253BDD"/>
    <w:rsid w:val="00273FBF"/>
    <w:rsid w:val="003650E3"/>
    <w:rsid w:val="003E0CE7"/>
    <w:rsid w:val="00413B80"/>
    <w:rsid w:val="004A1B19"/>
    <w:rsid w:val="004A55A3"/>
    <w:rsid w:val="004B384B"/>
    <w:rsid w:val="005026B3"/>
    <w:rsid w:val="00514399"/>
    <w:rsid w:val="00514A68"/>
    <w:rsid w:val="00574469"/>
    <w:rsid w:val="00597B37"/>
    <w:rsid w:val="00622478"/>
    <w:rsid w:val="006536AA"/>
    <w:rsid w:val="006A2BCA"/>
    <w:rsid w:val="006B5DC6"/>
    <w:rsid w:val="006E03FB"/>
    <w:rsid w:val="006E7811"/>
    <w:rsid w:val="006F6C7A"/>
    <w:rsid w:val="006F7523"/>
    <w:rsid w:val="00770B64"/>
    <w:rsid w:val="007922C6"/>
    <w:rsid w:val="007E60C3"/>
    <w:rsid w:val="008475BD"/>
    <w:rsid w:val="0087462D"/>
    <w:rsid w:val="008D0457"/>
    <w:rsid w:val="0091776D"/>
    <w:rsid w:val="00944C1D"/>
    <w:rsid w:val="00961F22"/>
    <w:rsid w:val="009E2199"/>
    <w:rsid w:val="009E5616"/>
    <w:rsid w:val="00A1459B"/>
    <w:rsid w:val="00A22377"/>
    <w:rsid w:val="00A35744"/>
    <w:rsid w:val="00A87D55"/>
    <w:rsid w:val="00AA3F8B"/>
    <w:rsid w:val="00B07345"/>
    <w:rsid w:val="00B21F89"/>
    <w:rsid w:val="00B7066C"/>
    <w:rsid w:val="00B8249A"/>
    <w:rsid w:val="00C1493F"/>
    <w:rsid w:val="00C31DBC"/>
    <w:rsid w:val="00C44E17"/>
    <w:rsid w:val="00CF6243"/>
    <w:rsid w:val="00D007EB"/>
    <w:rsid w:val="00D069B8"/>
    <w:rsid w:val="00D86B69"/>
    <w:rsid w:val="00DA02AC"/>
    <w:rsid w:val="00DB4ED9"/>
    <w:rsid w:val="00DD0AAE"/>
    <w:rsid w:val="00DD42EB"/>
    <w:rsid w:val="00DD7E46"/>
    <w:rsid w:val="00E10588"/>
    <w:rsid w:val="00E249E0"/>
    <w:rsid w:val="00E263B5"/>
    <w:rsid w:val="00E372AF"/>
    <w:rsid w:val="00E638DF"/>
    <w:rsid w:val="00E96463"/>
    <w:rsid w:val="00F060B1"/>
    <w:rsid w:val="00F2241E"/>
    <w:rsid w:val="00F26A99"/>
    <w:rsid w:val="00F300BD"/>
    <w:rsid w:val="00F877D8"/>
    <w:rsid w:val="2FFDD338"/>
    <w:rsid w:val="3D1F34C6"/>
    <w:rsid w:val="3FF36B38"/>
    <w:rsid w:val="3FFEEAB5"/>
    <w:rsid w:val="57D3F2DF"/>
    <w:rsid w:val="57EABE88"/>
    <w:rsid w:val="5F0FEAB0"/>
    <w:rsid w:val="5F5AD131"/>
    <w:rsid w:val="6DDE12EE"/>
    <w:rsid w:val="7BFA5D4E"/>
    <w:rsid w:val="7CEFFDD4"/>
    <w:rsid w:val="7CF6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9BA82"/>
  <w15:docId w15:val="{2D55A189-10AC-46BD-A297-22219346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pPr>
      <w:spacing w:after="120"/>
      <w:textAlignment w:val="baseline"/>
    </w:pPr>
  </w:style>
  <w:style w:type="paragraph" w:styleId="a3">
    <w:name w:val="Body Text"/>
    <w:basedOn w:val="a"/>
    <w:next w:val="a"/>
    <w:link w:val="a4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color w:val="auto"/>
      <w:kern w:val="2"/>
      <w:sz w:val="21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color w:val="auto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color w:val="auto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FF0000"/>
      <w:sz w:val="22"/>
      <w:szCs w:val="22"/>
      <w:u w:val="non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styleId="ae">
    <w:name w:val="Revision"/>
    <w:hidden/>
    <w:uiPriority w:val="99"/>
    <w:semiHidden/>
    <w:rsid w:val="00770B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5888-57EA-4129-941F-292154E2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21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瑄 轩</dc:creator>
  <cp:lastModifiedBy>瑄 轩</cp:lastModifiedBy>
  <cp:revision>30</cp:revision>
  <dcterms:created xsi:type="dcterms:W3CDTF">2024-03-16T16:33:00Z</dcterms:created>
  <dcterms:modified xsi:type="dcterms:W3CDTF">2024-05-08T02:00:00Z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520429FDD457EC9EBA142E66974EA8B2</vt:lpwstr>
  </property>
</Properties>
</file>