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0"/>
        <w:rPr>
          <w:rFonts w:eastAsia="黑体" w:asciiTheme="majorBidi" w:hAnsiTheme="majorBidi" w:cstheme="majorBidi"/>
          <w:sz w:val="32"/>
          <w:szCs w:val="32"/>
        </w:rPr>
      </w:pPr>
      <w:r>
        <w:rPr>
          <w:rFonts w:eastAsia="黑体" w:asciiTheme="majorBidi" w:hAnsiTheme="majorBidi" w:cstheme="majorBidi"/>
          <w:sz w:val="32"/>
          <w:szCs w:val="32"/>
        </w:rPr>
        <w:t>附件2</w:t>
      </w:r>
    </w:p>
    <w:p>
      <w:pPr>
        <w:spacing w:line="560" w:lineRule="exact"/>
        <w:ind w:firstLine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宋体"/>
          <w:bCs/>
          <w:sz w:val="44"/>
          <w:szCs w:val="2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24"/>
        </w:rPr>
        <w:t>关于《2024朝阳区汽车消费券发放方案</w:t>
      </w:r>
    </w:p>
    <w:p>
      <w:pPr>
        <w:spacing w:line="560" w:lineRule="exact"/>
        <w:jc w:val="center"/>
        <w:rPr>
          <w:rFonts w:ascii="方正小标宋简体" w:hAnsi="Times New Roman" w:eastAsia="方正小标宋简体" w:cs="宋体"/>
          <w:bCs/>
          <w:sz w:val="44"/>
          <w:szCs w:val="2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24"/>
        </w:rPr>
        <w:t>（第二批）》的起草说明</w:t>
      </w:r>
    </w:p>
    <w:p>
      <w:pPr>
        <w:spacing w:line="560" w:lineRule="exact"/>
        <w:ind w:firstLine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为进一步提振区域消费，充分挖掘区内消费潜力，区商务局研究制定了一季度汽车促消费政策，现</w:t>
      </w:r>
      <w:r>
        <w:rPr>
          <w:rFonts w:hint="eastAsia" w:ascii="Times New Roman" w:hAnsi="Times New Roman" w:eastAsia="仿宋_GB2312"/>
          <w:sz w:val="32"/>
          <w:szCs w:val="32"/>
        </w:rPr>
        <w:t>对起草情况进行说明。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起草</w:t>
      </w:r>
      <w:r>
        <w:rPr>
          <w:rFonts w:ascii="Times New Roman" w:hAnsi="Times New Roman" w:eastAsia="黑体" w:cs="Times New Roman"/>
          <w:sz w:val="32"/>
          <w:szCs w:val="32"/>
        </w:rPr>
        <w:t>考虑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</w:rPr>
        <w:t>市级下达我区社零额一季度增长5.5%、全年增长4%的指标任务。从社零额指标运行态势来看，今年消费增长的低基数效应减弱，在相对较高基数上完成一季度增长目标压力较大。</w:t>
      </w:r>
      <w:r>
        <w:rPr>
          <w:rFonts w:ascii="Times New Roman" w:hAnsi="Times New Roman" w:eastAsia="仿宋_GB2312" w:cs="Times New Roman"/>
          <w:sz w:val="32"/>
          <w:szCs w:val="40"/>
        </w:rPr>
        <w:t>从消费结构来看，汽车消费</w:t>
      </w:r>
      <w:r>
        <w:rPr>
          <w:rFonts w:ascii="Times New Roman" w:hAnsi="Times New Roman" w:eastAsia="仿宋_GB2312" w:cs="Times New Roman"/>
          <w:sz w:val="32"/>
          <w:szCs w:val="32"/>
        </w:rPr>
        <w:t>是拉动我区社零额增长的主要动力之一。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pStyle w:val="4"/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_GB2312"/>
          <w:bCs/>
          <w:sz w:val="32"/>
        </w:rPr>
      </w:pPr>
      <w:r>
        <w:rPr>
          <w:rFonts w:hint="default" w:ascii="Times New Roman" w:hAnsi="Times New Roman" w:eastAsia="仿宋_GB2312"/>
          <w:bCs/>
          <w:sz w:val="32"/>
        </w:rPr>
        <w:t>由区商务局委托第三方平台在公共平台渠道，对在我区购车的消费者发放汽车消费券</w:t>
      </w:r>
      <w:r>
        <w:rPr>
          <w:rFonts w:hint="default" w:ascii="Times New Roman" w:hAnsi="Times New Roman" w:eastAsia="楷体_GB2312"/>
          <w:kern w:val="2"/>
          <w:sz w:val="28"/>
          <w:szCs w:val="36"/>
        </w:rPr>
        <w:t>（参与活动的汽车零售企业需在我区规范经营）</w:t>
      </w:r>
      <w:r>
        <w:rPr>
          <w:rFonts w:hint="default" w:ascii="Times New Roman" w:hAnsi="Times New Roman" w:eastAsia="仿宋_GB2312"/>
          <w:bCs/>
          <w:sz w:val="32"/>
        </w:rPr>
        <w:t>。</w:t>
      </w:r>
      <w:r>
        <w:rPr>
          <w:rFonts w:hint="default" w:ascii="Times New Roman" w:hAnsi="Times New Roman" w:eastAsia="仿宋_GB2312"/>
          <w:sz w:val="32"/>
        </w:rPr>
        <w:t>借鉴其他区发放标准，我区消费券金额划分为6档，</w:t>
      </w:r>
      <w:r>
        <w:rPr>
          <w:rFonts w:hint="default" w:ascii="Times New Roman" w:hAnsi="Times New Roman" w:eastAsia="仿宋_GB2312"/>
          <w:bCs/>
          <w:sz w:val="32"/>
        </w:rPr>
        <w:t>具体标准如下：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79"/>
        <w:gridCol w:w="1179"/>
        <w:gridCol w:w="1221"/>
        <w:gridCol w:w="1218"/>
        <w:gridCol w:w="125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10万元（含）以下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-20万元（含）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60万元-100万元（含）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4000元/台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6000元/台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10000元/台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15000元/台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*共计补贴2000万元汽车消费券，总额度有限，先用先得。</w:t>
            </w:r>
          </w:p>
        </w:tc>
      </w:tr>
    </w:tbl>
    <w:p>
      <w:pPr>
        <w:pStyle w:val="5"/>
        <w:spacing w:beforeAutospacing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核销规则：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</w:rPr>
        <w:t>1.符合补贴条件的对象，在活动期间，消费者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可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</w:rPr>
        <w:t>成功领取汽车消费券，并按照规定成功核销。</w:t>
      </w:r>
    </w:p>
    <w:p>
      <w:pPr>
        <w:pStyle w:val="4"/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_GB2312"/>
          <w:bCs/>
          <w:sz w:val="32"/>
        </w:rPr>
      </w:pPr>
      <w:r>
        <w:rPr>
          <w:rFonts w:hint="default" w:ascii="Times New Roman" w:hAnsi="Times New Roman" w:eastAsia="仿宋_GB2312"/>
          <w:bCs/>
          <w:sz w:val="32"/>
        </w:rPr>
        <w:t>2.材料中《机动车消费统一发票》开具时间须在2024年5月26日0时—2024年6月30日24时内。</w:t>
      </w:r>
    </w:p>
    <w:p>
      <w:pPr>
        <w:pStyle w:val="4"/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_GB2312"/>
          <w:bCs/>
          <w:sz w:val="32"/>
        </w:rPr>
      </w:pPr>
      <w:r>
        <w:rPr>
          <w:rFonts w:hint="default" w:ascii="Times New Roman" w:hAnsi="Times New Roman" w:eastAsia="仿宋_GB2312"/>
          <w:bCs/>
          <w:sz w:val="32"/>
        </w:rPr>
        <w:t>3.材料中车辆行驶证可延长至7月5日24时前办理完成并上传材料，逾期将不予补贴。</w:t>
      </w:r>
    </w:p>
    <w:p>
      <w:pPr>
        <w:pStyle w:val="4"/>
        <w:widowControl/>
        <w:shd w:val="clear" w:color="auto" w:fill="FFFFFF"/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hint="default" w:ascii="Times New Roman" w:hAnsi="Times New Roman" w:eastAsia="仿宋_GB2312"/>
          <w:bCs/>
          <w:sz w:val="32"/>
        </w:rPr>
        <w:t>4.消费者应须在规定时间内在活动平台中清晰、完整、准确填报相关信息和提交申报补贴材料，且保证上传的全部申报材料真实有效。若逾期未申报、申报材料不齐全、申报材料不清晰的，均不予受理。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1920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MTNlZTdkZGI4ZGMyOTBjZmZkZTA3NDJkNDAwOWMifQ=="/>
  </w:docVars>
  <w:rsids>
    <w:rsidRoot w:val="006A7587"/>
    <w:rsid w:val="004A5240"/>
    <w:rsid w:val="006A7587"/>
    <w:rsid w:val="00931B26"/>
    <w:rsid w:val="00B63509"/>
    <w:rsid w:val="00BC69C4"/>
    <w:rsid w:val="1D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2024-04-22T13:24:00Z</dcterms:created>
  <dc:creator>Yong Cao</dc:creator>
  <cp:lastModifiedBy>苏磊</cp:lastModifiedBy>
  <dcterms:modified xsi:type="dcterms:W3CDTF">2024-04-25T13:04:03Z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62C06D44CAFC48439A31363F0E4A3CF2_12</vt:lpwstr>
  </property>
</Properties>
</file>