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</w:t>
      </w:r>
      <w:r>
        <w:rPr>
          <w:rFonts w:hint="eastAsia" w:ascii="方正小标宋简体" w:eastAsia="方正小标宋简体" w:cs="Times New Roman"/>
          <w:sz w:val="44"/>
          <w:szCs w:val="44"/>
        </w:rPr>
        <w:t>北京市昌平区生态文明建设规划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（2024—2035年）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rightChars="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为</w:t>
      </w:r>
      <w:r>
        <w:rPr>
          <w:rFonts w:hint="eastAsia" w:ascii="仿宋_GB2312" w:eastAsia="仿宋_GB2312"/>
          <w:sz w:val="32"/>
          <w:szCs w:val="32"/>
        </w:rPr>
        <w:t>深入推动生态环境高水平保护和经济高质量发展协同共进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持续深化“两山”实践创新基地创建成果，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根据区委区政府工作安排，由区生态环境局依托区委生态文明办平台牵头开展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生态文明示范区建设工作。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区生态环境局已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牵头起草</w:t>
      </w:r>
      <w:r>
        <w:rPr>
          <w:rFonts w:hint="eastAsia" w:ascii="仿宋_GB2312" w:eastAsia="仿宋_GB2312"/>
          <w:sz w:val="32"/>
          <w:szCs w:val="32"/>
          <w:lang w:eastAsia="zh-CN"/>
        </w:rPr>
        <w:t>《北京市昌平区生态文明建设规划（202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-2035年）（征求意见稿）》(以下简称《规划》)。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生态文明示范创建是美丽中国建设的细胞工程，是区域推动绿色发展，促进高质量发展的重要抓手，充分彰显了习近平生态文明思想的实践力量。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《生态环境部办公厅关于印发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&lt;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生态文明建设示范区建设指标、管理规程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&gt;的通知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》（环办生态〔2024〕4号）要求，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结合我区实际，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草拟了</w:t>
      </w:r>
      <w:r>
        <w:rPr>
          <w:rFonts w:hint="eastAsia" w:ascii="仿宋_GB2312" w:eastAsia="仿宋_GB2312"/>
          <w:sz w:val="32"/>
          <w:szCs w:val="32"/>
          <w:lang w:eastAsia="zh-CN"/>
        </w:rPr>
        <w:t>《规划》文本，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打造北京国际科创中心承载区、改革攻坚开放共赢试验区、城乡治理协调发展先行区、人文宜居生态优美示范区的目标，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推动美丽昌平建设，实现人与自然和谐共生的现代化。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</w:rPr>
        <w:t>、文件起草情况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起草文件环节。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根据我区实际，2023年8月至2024年4月，区生态环境局先后与市生态环境局相关处室、区有关部门就《</w:t>
      </w:r>
      <w:r>
        <w:rPr>
          <w:rFonts w:hint="eastAsia" w:ascii="仿宋_GB2312" w:eastAsia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》的背景依据、目的意义、指导思想、保障措施等内容多次沟通协调，牵头起草了《</w:t>
      </w:r>
      <w:r>
        <w:rPr>
          <w:rFonts w:hint="eastAsia" w:ascii="仿宋_GB2312" w:eastAsia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》文本。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（二）征求意见环节。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</w:rPr>
        <w:t>向区级相关部门、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highlight w:val="none"/>
        </w:rPr>
        <w:t>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（街道）共47家单位四次书面征求了意见，收到发改委、城管委、水务局、农业农村局等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意见建议共计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（三）修改完善环节。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根据各单位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、昌平区实际情况</w:t>
      </w:r>
      <w:r>
        <w:rPr>
          <w:rFonts w:hint="eastAsia" w:ascii="仿宋_GB2312" w:eastAsia="仿宋_GB2312"/>
          <w:sz w:val="32"/>
          <w:szCs w:val="32"/>
          <w:highlight w:val="none"/>
        </w:rPr>
        <w:t>对《</w:t>
      </w:r>
      <w:r>
        <w:rPr>
          <w:rFonts w:hint="eastAsia" w:ascii="仿宋_GB2312" w:eastAsia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文本</w:t>
      </w:r>
      <w:r>
        <w:rPr>
          <w:rFonts w:hint="eastAsia" w:ascii="仿宋_GB2312" w:eastAsia="仿宋_GB2312"/>
          <w:sz w:val="32"/>
          <w:szCs w:val="32"/>
          <w:highlight w:val="none"/>
        </w:rPr>
        <w:t>进行了修改完善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征求意见单位名单（排名不分先后）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、区纪委区监委、区委宣传部、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未来科学城管委会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区发展改革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市规自委昌平分局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区水务局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市公安局昌平分局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区城市管理委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区国资委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中关村科技园区昌平园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区应急局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区机关事务服务中心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昌平邮政分公司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昌平公路分局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昌平交通支队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区城管执法局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区农业服务中心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区拆违办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区融媒体中心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文旅集团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、有关镇街。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《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规划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《规划》作为昌平区践行习近平生态文明思想的重要载体，是全面推进昌平区创建生态文明建设示范区的纲领性和指导性文件，为推动美丽昌平建设，实现人与自然和谐共生的现代化夯实基础。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（二）主要目标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在编制过程中，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规划》坚持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创建生态文明建设示范区为导向，力争实现生态环境质量稳中向好，绿色低碳发展理念深入人心，首都西北部生态安全屏障稳固筑牢，生态产业倍增升级取得积极成效，努力把昌平区建设成为北京国际科创中心承载区、改革攻坚开放共赢试验区、城乡治理协调发展先行区、人文宜居生态优美示范区，形成生产空间集约高效、生活空间宜居适度、生态空间山清水秀的美丽中国“昌平样板”，助力实现美丽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规划》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以推动昌平区高质量发展为主题，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更好地统筹产业结构调整、污染治理、生态保护、应对气候变化，更好地协同推进降碳、减污、扩绿、增长，大力加快发展方式绿色转型，深入打好污染防治攻坚战，着力提升生态系统多样性、稳定性、持续性，积极稳妥推进碳达峰碳中和，推动生态环境质量持续改善。守护好首都西北部生态安全屏障，把美丽中国建设摆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全区生态文明建设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突出位置，为建设科教引领、文旅融合、宜业宜居、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人与自然和谐共生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的生态城市奠定坚实的生态环境基础。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五、意见采纳情况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共收到17家单位反馈113条意见，从内容上看，涉及“规划”建设指标意见17条，重点任务及工程表述意见25条，牵头及责任单位调整意见57条，其他相关数据及内容意见14条。从意见反馈部门看，区住建委共7条意见，全部采纳；区园林绿化局共5条意见，全部采纳；未来科学城管委会共2条意见，全部采纳；区统计局共6条意见，部分采纳，已沟通解决；区司法局共1条意见，已采纳；区水务局共22条意见，部分采纳，已沟通解决；区市场监管局共2条意见，未采纳，已沟通解决；区审计局共1条意见，未采纳，已沟通解决；区纪委区监委共2条意见，部分采纳，已沟通解决；区查违办共1条意见，已采纳；区气象局共1条意见，已采纳；区农业农村局共15条意见，部分采纳，已沟通解决；区农服中心共2条意见，已采纳；区交通局共9条意见，全部采纳；规自分局共2条意见，全部采纳；区发改委共32条意见，部分采纳，已沟通解决；区城管委共3条意见，全部采纳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50DC"/>
    <w:rsid w:val="04AE50DC"/>
    <w:rsid w:val="189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2024-04-11T06:04:00Z</dcterms:created>
  <dc:creator>wly</dc:creator>
  <cp:lastModifiedBy>wly</cp:lastModifiedBy>
  <dcterms:modified xsi:type="dcterms:W3CDTF">2024-04-11T06:11:14Z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