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  <w:t>《数字经济智城园产业园项目城市更新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  <w:t>实施方案》起草说明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一、制定背景</w:t>
      </w: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数字经济智城园产业园</w:t>
      </w: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ascii="仿宋_GB2312" w:hAnsi="仿宋_GB2312" w:eastAsia="仿宋_GB2312" w:cs="仿宋_GB2312"/>
          <w:szCs w:val="32"/>
        </w:rPr>
        <w:t>位于</w:t>
      </w:r>
      <w:r>
        <w:rPr>
          <w:rFonts w:hint="eastAsia" w:ascii="仿宋_GB2312" w:hAnsi="仿宋_GB2312" w:eastAsia="仿宋_GB2312" w:cs="仿宋_GB2312"/>
          <w:szCs w:val="32"/>
        </w:rPr>
        <w:t>通州区新华东街116号，处于长安街东沿线，新华东街南侧，</w:t>
      </w:r>
      <w:r>
        <w:rPr>
          <w:rFonts w:ascii="仿宋_GB2312" w:hAnsi="仿宋_GB2312" w:eastAsia="仿宋_GB2312" w:cs="仿宋_GB2312"/>
          <w:szCs w:val="32"/>
        </w:rPr>
        <w:t>南侧邻南大街历史文化保护街区，北侧邻新建商务服务区，是新老建筑之间过渡的纽带</w:t>
      </w:r>
      <w:r>
        <w:rPr>
          <w:rFonts w:hint="eastAsia" w:ascii="仿宋_GB2312" w:hAnsi="仿宋_GB2312" w:eastAsia="仿宋_GB2312" w:cs="仿宋_GB2312"/>
          <w:szCs w:val="32"/>
        </w:rPr>
        <w:t>。该项目用地现状为</w:t>
      </w:r>
      <w:r>
        <w:rPr>
          <w:rFonts w:ascii="仿宋_GB2312" w:hAnsi="仿宋_GB2312" w:eastAsia="仿宋_GB2312" w:cs="仿宋_GB2312"/>
          <w:szCs w:val="32"/>
        </w:rPr>
        <w:t>人民商场</w:t>
      </w:r>
      <w:r>
        <w:rPr>
          <w:rFonts w:hint="eastAsia" w:ascii="仿宋_GB2312" w:hAnsi="仿宋_GB2312" w:eastAsia="仿宋_GB2312" w:cs="仿宋_GB2312"/>
          <w:szCs w:val="32"/>
        </w:rPr>
        <w:t>，该商场</w:t>
      </w:r>
      <w:r>
        <w:rPr>
          <w:rFonts w:ascii="仿宋_GB2312" w:hAnsi="仿宋_GB2312" w:eastAsia="仿宋_GB2312" w:cs="仿宋_GB2312"/>
          <w:szCs w:val="32"/>
        </w:rPr>
        <w:t>于1986年9月正式营业，曾获得过</w:t>
      </w:r>
      <w:r>
        <w:rPr>
          <w:rFonts w:hint="eastAsia" w:ascii="仿宋_GB2312" w:hAnsi="仿宋_GB2312" w:eastAsia="仿宋_GB2312" w:cs="仿宋_GB2312"/>
          <w:szCs w:val="32"/>
        </w:rPr>
        <w:t>“</w:t>
      </w:r>
      <w:r>
        <w:rPr>
          <w:rFonts w:ascii="仿宋_GB2312" w:hAnsi="仿宋_GB2312" w:eastAsia="仿宋_GB2312" w:cs="仿宋_GB2312"/>
          <w:szCs w:val="32"/>
        </w:rPr>
        <w:t>京郊商海之航空母舰</w:t>
      </w:r>
      <w:r>
        <w:rPr>
          <w:rFonts w:hint="eastAsia" w:ascii="仿宋_GB2312" w:hAnsi="仿宋_GB2312" w:eastAsia="仿宋_GB2312" w:cs="仿宋_GB2312"/>
          <w:szCs w:val="32"/>
        </w:rPr>
        <w:t>”</w:t>
      </w:r>
      <w:r>
        <w:rPr>
          <w:rFonts w:ascii="仿宋_GB2312" w:hAnsi="仿宋_GB2312" w:eastAsia="仿宋_GB2312" w:cs="仿宋_GB2312"/>
          <w:szCs w:val="32"/>
        </w:rPr>
        <w:t>的美誉</w:t>
      </w:r>
      <w:r>
        <w:rPr>
          <w:rFonts w:hint="eastAsia" w:ascii="仿宋_GB2312" w:hAnsi="仿宋_GB2312" w:eastAsia="仿宋_GB2312" w:cs="仿宋_GB2312"/>
          <w:szCs w:val="32"/>
        </w:rPr>
        <w:t>。近年来，人民</w:t>
      </w:r>
      <w:r>
        <w:rPr>
          <w:rFonts w:ascii="仿宋_GB2312" w:hAnsi="仿宋_GB2312" w:eastAsia="仿宋_GB2312" w:cs="仿宋_GB2312"/>
          <w:szCs w:val="32"/>
        </w:rPr>
        <w:t>商场的硬件软件设施都已相当落后，于2020年7月闭店停业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ascii="仿宋_GB2312" w:hAnsi="仿宋_GB2312" w:eastAsia="仿宋_GB2312" w:cs="仿宋_GB2312"/>
          <w:szCs w:val="32"/>
        </w:rPr>
        <w:t>至今</w:t>
      </w:r>
      <w:r>
        <w:rPr>
          <w:rFonts w:hint="eastAsia" w:ascii="仿宋_GB2312" w:hAnsi="仿宋_GB2312" w:eastAsia="仿宋_GB2312" w:cs="仿宋_GB2312"/>
          <w:szCs w:val="32"/>
        </w:rPr>
        <w:t>已3年有余。</w:t>
      </w: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为实现人民商场的转型升级，拟将人民商场改造为数字经济智城园，充分激活低效楼宇新活力、提供数智化产业承载空间</w:t>
      </w:r>
      <w:r>
        <w:rPr>
          <w:rFonts w:ascii="仿宋_GB2312" w:hAnsi="仿宋_GB2312" w:eastAsia="仿宋_GB2312" w:cs="仿宋_GB2312"/>
          <w:szCs w:val="32"/>
        </w:rPr>
        <w:t>，完善配套设施，改善周边居民的生活环境和生活品质。</w:t>
      </w:r>
      <w:r>
        <w:rPr>
          <w:rFonts w:hint="eastAsia" w:ascii="仿宋_GB2312" w:hAnsi="仿宋_GB2312" w:eastAsia="仿宋_GB2312" w:cs="仿宋_GB2312"/>
          <w:szCs w:val="32"/>
        </w:rPr>
        <w:t>为推动项目的顺利实施，实施主体</w:t>
      </w:r>
      <w:r>
        <w:rPr>
          <w:rFonts w:hint="eastAsia" w:ascii="仿宋_GB2312" w:hAnsi="仿宋_GB2312" w:eastAsia="仿宋_GB2312" w:cs="仿宋_GB2312"/>
          <w:bCs/>
          <w:szCs w:val="32"/>
        </w:rPr>
        <w:t>按照</w:t>
      </w:r>
      <w:r>
        <w:rPr>
          <w:rFonts w:hint="eastAsia" w:ascii="仿宋_GB2312" w:hAnsi="仿宋_GB2312" w:eastAsia="仿宋_GB2312" w:cs="仿宋_GB2312"/>
          <w:szCs w:val="32"/>
        </w:rPr>
        <w:t>《北京市城市更新条例》相关要求，编制了项目实施方案。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主要内容说明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实施方案的主要内容分为七个部分。第一部分为实施主体及项目概况。第二部分为城市更新实施方案，含项目设计方案、项目施工方案、方案报批程序、成本测算及资金筹措、项目招投标等内容。第三部分为发展规划（区域和空间规划符合性分析）、产业政策和行业准入分析。第四部分为资源综合利用分析。此部分介绍了资源利用方案、资源节约措施。第五部分为建设用地、征地拆迁及移民安置分析。分析了项目建设地点、项目用地情况、项目选址分析、土地利用合理性分析及征地拆迁及补偿方案。第六部分为经济影响分析。分别对投资估算、经济费用效益或费用效果分析、行业影响分析、区域经济影响分析做了阐述。第七部分为社会影响分析，主要介绍了社会影响效果分析、社会适应性分析、社会风险及对策分析、社会影响分析结论。</w:t>
      </w: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6080" w:hanging="6080" w:hangingChars="19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通州区住房和城乡建设委员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</w:t>
      </w:r>
      <w:r>
        <w:rPr>
          <w:rFonts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10"/>
        <w:spacing w:after="0" w:line="560" w:lineRule="exact"/>
        <w:rPr>
          <w:rFonts w:ascii="仿宋_GB2312"/>
          <w:sz w:val="32"/>
          <w:szCs w:val="32"/>
        </w:rPr>
      </w:pPr>
    </w:p>
    <w:p>
      <w:pPr>
        <w:pStyle w:val="9"/>
        <w:ind w:firstLine="640" w:firstLineChars="200"/>
        <w:rPr>
          <w:rFonts w:ascii="仿宋_GB2312" w:hAnsi="仿宋_GB2312" w:eastAsia="仿宋_GB2312" w:cs="仿宋_GB2312"/>
          <w:szCs w:val="32"/>
        </w:rPr>
      </w:pPr>
    </w:p>
    <w:sectPr>
      <w:pgSz w:w="11906" w:h="16838"/>
      <w:pgMar w:top="1588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6E914"/>
    <w:multiLevelType w:val="singleLevel"/>
    <w:tmpl w:val="21B6E9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jM0ZGFjY2ZjNGQxNWRmOGM1NjY2YWYzODVkNWIifQ=="/>
  </w:docVars>
  <w:rsids>
    <w:rsidRoot w:val="40743CDB"/>
    <w:rsid w:val="000708D4"/>
    <w:rsid w:val="00103C6B"/>
    <w:rsid w:val="00176868"/>
    <w:rsid w:val="001F6606"/>
    <w:rsid w:val="002074BB"/>
    <w:rsid w:val="00236754"/>
    <w:rsid w:val="002405D7"/>
    <w:rsid w:val="00243AC1"/>
    <w:rsid w:val="0025258A"/>
    <w:rsid w:val="002E20B9"/>
    <w:rsid w:val="003073F7"/>
    <w:rsid w:val="00332508"/>
    <w:rsid w:val="003A67EE"/>
    <w:rsid w:val="003F0DFE"/>
    <w:rsid w:val="00423503"/>
    <w:rsid w:val="004770DB"/>
    <w:rsid w:val="00520E52"/>
    <w:rsid w:val="00560C08"/>
    <w:rsid w:val="005D3D14"/>
    <w:rsid w:val="006124DB"/>
    <w:rsid w:val="00684931"/>
    <w:rsid w:val="006871BA"/>
    <w:rsid w:val="0073754F"/>
    <w:rsid w:val="007D59C5"/>
    <w:rsid w:val="0083165E"/>
    <w:rsid w:val="00857F8B"/>
    <w:rsid w:val="008C22D9"/>
    <w:rsid w:val="008C7479"/>
    <w:rsid w:val="008E6FB6"/>
    <w:rsid w:val="0090001C"/>
    <w:rsid w:val="0090043C"/>
    <w:rsid w:val="00933879"/>
    <w:rsid w:val="00964F4C"/>
    <w:rsid w:val="009B4A00"/>
    <w:rsid w:val="009C479C"/>
    <w:rsid w:val="00A17F3E"/>
    <w:rsid w:val="00A35F91"/>
    <w:rsid w:val="00AF0984"/>
    <w:rsid w:val="00B11FCF"/>
    <w:rsid w:val="00B365EC"/>
    <w:rsid w:val="00B44F27"/>
    <w:rsid w:val="00B564DC"/>
    <w:rsid w:val="00BA4EA6"/>
    <w:rsid w:val="00C13D3C"/>
    <w:rsid w:val="00C467A7"/>
    <w:rsid w:val="00CB4A1A"/>
    <w:rsid w:val="00CC2892"/>
    <w:rsid w:val="00CC2EE4"/>
    <w:rsid w:val="00D26459"/>
    <w:rsid w:val="00DB3037"/>
    <w:rsid w:val="00E04B49"/>
    <w:rsid w:val="00EC62A2"/>
    <w:rsid w:val="00EE0812"/>
    <w:rsid w:val="00F75E6E"/>
    <w:rsid w:val="00FD18CF"/>
    <w:rsid w:val="00FF2086"/>
    <w:rsid w:val="041354E7"/>
    <w:rsid w:val="111F0EFA"/>
    <w:rsid w:val="1A426E93"/>
    <w:rsid w:val="1D860B2F"/>
    <w:rsid w:val="29036568"/>
    <w:rsid w:val="3C3B4C56"/>
    <w:rsid w:val="40743CDB"/>
    <w:rsid w:val="42BB3841"/>
    <w:rsid w:val="4B9921D8"/>
    <w:rsid w:val="596F22E6"/>
    <w:rsid w:val="5F2ED6B5"/>
    <w:rsid w:val="60942B44"/>
    <w:rsid w:val="65A62730"/>
    <w:rsid w:val="6D71400C"/>
    <w:rsid w:val="6F6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BodyText"/>
    <w:basedOn w:val="1"/>
    <w:next w:val="10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paragraph" w:customStyle="1" w:styleId="10">
    <w:name w:val="BodyText2"/>
    <w:basedOn w:val="1"/>
    <w:qFormat/>
    <w:uiPriority w:val="0"/>
    <w:pPr>
      <w:spacing w:after="120" w:line="480" w:lineRule="auto"/>
    </w:pPr>
  </w:style>
  <w:style w:type="character" w:customStyle="1" w:styleId="11">
    <w:name w:val="标题 2 字符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73</TotalTime>
  <ScaleCrop>false</ScaleCrop>
  <LinksUpToDate>false</LinksUpToDate>
  <CharactersWithSpaces>805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2023-05-29T09:02:00Z</dcterms:created>
  <dc:creator>sck913</dc:creator>
  <cp:lastModifiedBy>user</cp:lastModifiedBy>
  <dcterms:modified xsi:type="dcterms:W3CDTF">2024-04-12T10:14:52Z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EE3AE609B7824C969D9E0EE7AF5F3ABB_12</vt:lpwstr>
  </property>
</Properties>
</file>