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8A" w:rsidRDefault="00D634D3" w:rsidP="00AF5B8A">
      <w:pPr>
        <w:pStyle w:val="1"/>
        <w:spacing w:line="600" w:lineRule="exact"/>
        <w:jc w:val="center"/>
        <w:rPr>
          <w:rFonts w:ascii="方正小标宋简体" w:eastAsia="方正小标宋简体" w:hAnsi="方正小标宋简体"/>
        </w:rPr>
      </w:pPr>
      <w:r w:rsidRPr="00AF5B8A">
        <w:rPr>
          <w:rFonts w:ascii="方正小标宋简体" w:eastAsia="方正小标宋简体" w:hAnsi="方正小标宋简体" w:hint="eastAsia"/>
        </w:rPr>
        <w:t>门头沟区关于促进工业经济高质量发展的</w:t>
      </w:r>
    </w:p>
    <w:p w:rsidR="00DF04C3" w:rsidRDefault="00D634D3" w:rsidP="00D34659">
      <w:pPr>
        <w:pStyle w:val="1"/>
        <w:jc w:val="center"/>
        <w:rPr>
          <w:rFonts w:ascii="方正小标宋简体" w:eastAsia="方正小标宋简体" w:hAnsi="方正小标宋简体"/>
        </w:rPr>
      </w:pPr>
      <w:r w:rsidRPr="00AF5B8A">
        <w:rPr>
          <w:rFonts w:ascii="方正小标宋简体" w:eastAsia="方正小标宋简体" w:hAnsi="方正小标宋简体" w:hint="eastAsia"/>
        </w:rPr>
        <w:t>若干措施</w:t>
      </w:r>
    </w:p>
    <w:p w:rsidR="005A7F15" w:rsidRDefault="00D634D3" w:rsidP="00935A6E">
      <w:pPr>
        <w:spacing w:line="560" w:lineRule="exact"/>
        <w:ind w:firstLine="641"/>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为深入贯彻落实</w:t>
      </w:r>
      <w:r w:rsidR="001D790A">
        <w:rPr>
          <w:rFonts w:ascii="仿宋_GB2312" w:eastAsia="仿宋_GB2312" w:hAnsi="仿宋_GB2312" w:cs="仿宋_GB2312" w:hint="eastAsia"/>
          <w:color w:val="000000"/>
          <w:sz w:val="32"/>
          <w:szCs w:val="32"/>
          <w:shd w:val="clear" w:color="auto" w:fill="FFFFFF"/>
        </w:rPr>
        <w:t>中央和北京市</w:t>
      </w:r>
      <w:r w:rsidR="00113B46">
        <w:rPr>
          <w:rFonts w:ascii="仿宋_GB2312" w:eastAsia="仿宋_GB2312" w:hAnsi="仿宋_GB2312" w:cs="仿宋_GB2312" w:hint="eastAsia"/>
          <w:color w:val="000000"/>
          <w:sz w:val="32"/>
          <w:szCs w:val="32"/>
          <w:shd w:val="clear" w:color="auto" w:fill="FFFFFF"/>
        </w:rPr>
        <w:t>有关</w:t>
      </w:r>
      <w:r>
        <w:rPr>
          <w:rFonts w:ascii="仿宋_GB2312" w:eastAsia="仿宋_GB2312" w:hAnsi="仿宋_GB2312" w:cs="仿宋_GB2312" w:hint="eastAsia"/>
          <w:color w:val="000000"/>
          <w:sz w:val="32"/>
          <w:szCs w:val="32"/>
          <w:shd w:val="clear" w:color="auto" w:fill="FFFFFF"/>
        </w:rPr>
        <w:t>工作部署，</w:t>
      </w:r>
      <w:r w:rsidR="005A7F15">
        <w:rPr>
          <w:rFonts w:ascii="仿宋_GB2312" w:eastAsia="仿宋_GB2312" w:hAnsi="仿宋_GB2312" w:cs="仿宋_GB2312" w:hint="eastAsia"/>
          <w:color w:val="000000"/>
          <w:sz w:val="32"/>
          <w:szCs w:val="32"/>
          <w:shd w:val="clear" w:color="auto" w:fill="FFFFFF"/>
        </w:rPr>
        <w:t>坚持</w:t>
      </w:r>
      <w:r w:rsidR="005A7F15" w:rsidRPr="005300A1">
        <w:rPr>
          <w:rFonts w:ascii="仿宋_GB2312" w:eastAsia="仿宋_GB2312" w:hAnsi="仿宋_GB2312" w:cs="仿宋_GB2312" w:hint="eastAsia"/>
          <w:color w:val="000000"/>
          <w:sz w:val="32"/>
          <w:szCs w:val="32"/>
          <w:shd w:val="clear" w:color="auto" w:fill="FFFFFF"/>
        </w:rPr>
        <w:t>稳中求进</w:t>
      </w:r>
      <w:r w:rsidR="005A7F15">
        <w:rPr>
          <w:rFonts w:ascii="仿宋_GB2312" w:eastAsia="仿宋_GB2312" w:hAnsi="仿宋_GB2312" w:cs="仿宋_GB2312" w:hint="eastAsia"/>
          <w:color w:val="000000"/>
          <w:sz w:val="32"/>
          <w:szCs w:val="32"/>
          <w:shd w:val="clear" w:color="auto" w:fill="FFFFFF"/>
        </w:rPr>
        <w:t>、以进促稳，</w:t>
      </w:r>
      <w:r w:rsidR="00DF0790">
        <w:rPr>
          <w:rFonts w:ascii="仿宋_GB2312" w:eastAsia="仿宋_GB2312" w:hAnsi="仿宋_GB2312" w:cs="仿宋_GB2312" w:hint="eastAsia"/>
          <w:color w:val="000000"/>
          <w:sz w:val="32"/>
          <w:szCs w:val="32"/>
          <w:shd w:val="clear" w:color="auto" w:fill="FFFFFF"/>
        </w:rPr>
        <w:t>着力</w:t>
      </w:r>
      <w:r w:rsidR="005A7F15">
        <w:rPr>
          <w:rFonts w:ascii="仿宋_GB2312" w:eastAsia="仿宋_GB2312" w:hAnsi="仿宋_GB2312" w:cs="仿宋_GB2312" w:hint="eastAsia"/>
          <w:color w:val="000000"/>
          <w:sz w:val="32"/>
          <w:szCs w:val="32"/>
          <w:shd w:val="clear" w:color="auto" w:fill="FFFFFF"/>
        </w:rPr>
        <w:t>建设专精特新产业集群，</w:t>
      </w:r>
      <w:r w:rsidR="00935A6E">
        <w:rPr>
          <w:rFonts w:ascii="仿宋_GB2312" w:eastAsia="仿宋_GB2312" w:hAnsi="仿宋_GB2312" w:cs="仿宋_GB2312" w:hint="eastAsia"/>
          <w:color w:val="000000"/>
          <w:sz w:val="32"/>
          <w:szCs w:val="32"/>
          <w:shd w:val="clear" w:color="auto" w:fill="FFFFFF"/>
        </w:rPr>
        <w:t>扎实推动地区工业经济扩总量、提质量，</w:t>
      </w:r>
      <w:r w:rsidR="00AE761A">
        <w:rPr>
          <w:rFonts w:ascii="仿宋_GB2312" w:eastAsia="仿宋_GB2312" w:hAnsi="仿宋_GB2312" w:cs="仿宋_GB2312" w:hint="eastAsia"/>
          <w:color w:val="000000"/>
          <w:sz w:val="32"/>
          <w:szCs w:val="32"/>
          <w:shd w:val="clear" w:color="auto" w:fill="FFFFFF"/>
        </w:rPr>
        <w:t>加快发展新质生产力，</w:t>
      </w:r>
      <w:r w:rsidR="005A7F15">
        <w:rPr>
          <w:rFonts w:ascii="仿宋_GB2312" w:eastAsia="仿宋_GB2312" w:hAnsi="仿宋_GB2312" w:cs="仿宋_GB2312" w:hint="eastAsia"/>
          <w:color w:val="000000"/>
          <w:sz w:val="32"/>
          <w:szCs w:val="32"/>
          <w:shd w:val="clear" w:color="auto" w:fill="FFFFFF"/>
        </w:rPr>
        <w:t>不断塑造地区发展新动能新优势，为</w:t>
      </w:r>
      <w:r w:rsidR="005A7F15" w:rsidRPr="005A7F15">
        <w:rPr>
          <w:rFonts w:ascii="仿宋_GB2312" w:eastAsia="仿宋_GB2312" w:hAnsi="仿宋_GB2312" w:cs="仿宋_GB2312" w:hint="eastAsia"/>
          <w:color w:val="000000"/>
          <w:sz w:val="32"/>
          <w:szCs w:val="32"/>
          <w:shd w:val="clear" w:color="auto" w:fill="FFFFFF"/>
        </w:rPr>
        <w:t>奋力打好灾后恢复重建和绿色高质量转型发展攻坚战</w:t>
      </w:r>
      <w:r w:rsidR="00381869">
        <w:rPr>
          <w:rFonts w:ascii="仿宋_GB2312" w:eastAsia="仿宋_GB2312" w:hAnsi="仿宋_GB2312" w:cs="仿宋_GB2312" w:hint="eastAsia"/>
          <w:color w:val="000000"/>
          <w:sz w:val="32"/>
          <w:szCs w:val="32"/>
          <w:shd w:val="clear" w:color="auto" w:fill="FFFFFF"/>
        </w:rPr>
        <w:t>、高水平建设首都西大门做出更大贡献，结合门头沟</w:t>
      </w:r>
      <w:r w:rsidR="005A7F15">
        <w:rPr>
          <w:rFonts w:ascii="仿宋_GB2312" w:eastAsia="仿宋_GB2312" w:hAnsi="仿宋_GB2312" w:cs="仿宋_GB2312" w:hint="eastAsia"/>
          <w:color w:val="000000"/>
          <w:sz w:val="32"/>
          <w:szCs w:val="32"/>
          <w:shd w:val="clear" w:color="auto" w:fill="FFFFFF"/>
        </w:rPr>
        <w:t>区实际，现</w:t>
      </w:r>
      <w:r w:rsidR="00DF0790">
        <w:rPr>
          <w:rFonts w:ascii="仿宋_GB2312" w:eastAsia="仿宋_GB2312" w:hAnsi="仿宋_GB2312" w:cs="仿宋_GB2312" w:hint="eastAsia"/>
          <w:color w:val="000000"/>
          <w:sz w:val="32"/>
          <w:szCs w:val="32"/>
          <w:shd w:val="clear" w:color="auto" w:fill="FFFFFF"/>
        </w:rPr>
        <w:t>制定</w:t>
      </w:r>
      <w:r w:rsidR="005A7F15">
        <w:rPr>
          <w:rFonts w:ascii="仿宋_GB2312" w:eastAsia="仿宋_GB2312" w:hAnsi="仿宋_GB2312" w:cs="仿宋_GB2312" w:hint="eastAsia"/>
          <w:color w:val="000000"/>
          <w:sz w:val="32"/>
          <w:szCs w:val="32"/>
          <w:shd w:val="clear" w:color="auto" w:fill="FFFFFF"/>
        </w:rPr>
        <w:t>如下措施。</w:t>
      </w:r>
    </w:p>
    <w:p w:rsidR="00935A6E" w:rsidRDefault="00935A6E" w:rsidP="00935A6E">
      <w:pPr>
        <w:spacing w:line="560" w:lineRule="exact"/>
        <w:ind w:firstLine="641"/>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一</w:t>
      </w:r>
      <w:r w:rsidRPr="00AF5B8A">
        <w:rPr>
          <w:rFonts w:ascii="黑体" w:eastAsia="黑体" w:hAnsi="黑体" w:cs="仿宋_GB2312" w:hint="eastAsia"/>
          <w:color w:val="000000"/>
          <w:sz w:val="32"/>
          <w:szCs w:val="32"/>
          <w:shd w:val="clear" w:color="auto" w:fill="FFFFFF"/>
        </w:rPr>
        <w:t>、</w:t>
      </w:r>
      <w:r>
        <w:rPr>
          <w:rFonts w:ascii="黑体" w:eastAsia="黑体" w:hAnsi="黑体" w:cs="仿宋_GB2312" w:hint="eastAsia"/>
          <w:color w:val="000000"/>
          <w:sz w:val="32"/>
          <w:szCs w:val="32"/>
          <w:shd w:val="clear" w:color="auto" w:fill="FFFFFF"/>
        </w:rPr>
        <w:t>加强工业企业梯队式培育</w:t>
      </w:r>
    </w:p>
    <w:p w:rsidR="00935A6E" w:rsidRDefault="00935A6E" w:rsidP="00381869">
      <w:pPr>
        <w:spacing w:line="560" w:lineRule="exact"/>
        <w:ind w:firstLineChars="200" w:firstLine="640"/>
        <w:rPr>
          <w:rFonts w:ascii="仿宋_GB2312" w:eastAsia="仿宋_GB2312" w:hAnsi="仿宋_GB2312"/>
          <w:color w:val="000000"/>
          <w:sz w:val="32"/>
          <w:szCs w:val="32"/>
        </w:rPr>
      </w:pPr>
      <w:r w:rsidRPr="00795A41">
        <w:rPr>
          <w:rFonts w:ascii="仿宋_GB2312" w:eastAsia="仿宋_GB2312" w:hAnsi="仿宋_GB2312" w:hint="eastAsia"/>
          <w:color w:val="000000"/>
          <w:sz w:val="32"/>
          <w:szCs w:val="32"/>
        </w:rPr>
        <w:t>加强</w:t>
      </w:r>
      <w:r w:rsidR="00381869">
        <w:rPr>
          <w:rFonts w:ascii="仿宋_GB2312" w:eastAsia="仿宋_GB2312" w:hAnsi="仿宋_GB2312" w:hint="eastAsia"/>
          <w:color w:val="000000"/>
          <w:sz w:val="32"/>
          <w:szCs w:val="32"/>
        </w:rPr>
        <w:t>工业企业梯队式培育，</w:t>
      </w:r>
      <w:r w:rsidR="00495196">
        <w:rPr>
          <w:rFonts w:ascii="仿宋_GB2312" w:eastAsia="仿宋_GB2312" w:hAnsi="仿宋_GB2312" w:hint="eastAsia"/>
          <w:color w:val="000000"/>
          <w:sz w:val="32"/>
          <w:szCs w:val="32"/>
        </w:rPr>
        <w:t>鼓励和支持企业扩大规模,加快发展</w:t>
      </w:r>
      <w:r>
        <w:rPr>
          <w:rFonts w:ascii="仿宋_GB2312" w:eastAsia="仿宋_GB2312" w:hAnsi="仿宋_GB2312" w:hint="eastAsia"/>
          <w:color w:val="000000"/>
          <w:sz w:val="32"/>
          <w:szCs w:val="32"/>
        </w:rPr>
        <w:t>。</w:t>
      </w:r>
      <w:r w:rsidR="001840B6">
        <w:rPr>
          <w:rFonts w:ascii="仿宋_GB2312" w:eastAsia="仿宋_GB2312" w:hint="eastAsia"/>
          <w:sz w:val="32"/>
          <w:szCs w:val="32"/>
        </w:rPr>
        <w:t>对2024年度年产值首次达到2000万元及以上的我区制造业企业给予一次性奖励</w:t>
      </w:r>
      <w:r w:rsidR="0027725C">
        <w:rPr>
          <w:rFonts w:ascii="仿宋_GB2312" w:eastAsia="仿宋_GB2312" w:hint="eastAsia"/>
          <w:sz w:val="32"/>
          <w:szCs w:val="32"/>
        </w:rPr>
        <w:t>1</w:t>
      </w:r>
      <w:r w:rsidR="001840B6">
        <w:rPr>
          <w:rFonts w:ascii="仿宋_GB2312" w:eastAsia="仿宋_GB2312" w:hint="eastAsia"/>
          <w:sz w:val="32"/>
          <w:szCs w:val="32"/>
        </w:rPr>
        <w:t>0万</w:t>
      </w:r>
      <w:r>
        <w:rPr>
          <w:rFonts w:ascii="仿宋_GB2312" w:eastAsia="仿宋_GB2312" w:hAnsi="仿宋_GB2312" w:hint="eastAsia"/>
          <w:color w:val="000000"/>
          <w:sz w:val="32"/>
          <w:szCs w:val="32"/>
        </w:rPr>
        <w:t>，对其中产值首次突破</w:t>
      </w:r>
      <w:r w:rsidRPr="000A4C16">
        <w:rPr>
          <w:rFonts w:ascii="仿宋_GB2312" w:eastAsia="仿宋_GB2312" w:hAnsi="仿宋_GB2312" w:hint="eastAsia"/>
          <w:color w:val="000000"/>
          <w:sz w:val="32"/>
          <w:szCs w:val="32"/>
        </w:rPr>
        <w:t>1亿元（含）</w:t>
      </w:r>
      <w:r>
        <w:rPr>
          <w:rFonts w:ascii="仿宋_GB2312" w:eastAsia="仿宋_GB2312" w:hAnsi="仿宋_GB2312" w:hint="eastAsia"/>
          <w:color w:val="000000"/>
          <w:sz w:val="32"/>
          <w:szCs w:val="32"/>
        </w:rPr>
        <w:t>的企业额外给予</w:t>
      </w:r>
      <w:r w:rsidRPr="000A4C16">
        <w:rPr>
          <w:rFonts w:ascii="仿宋_GB2312" w:eastAsia="仿宋_GB2312" w:hAnsi="仿宋_GB2312" w:hint="eastAsia"/>
          <w:color w:val="000000"/>
          <w:sz w:val="32"/>
          <w:szCs w:val="32"/>
        </w:rPr>
        <w:t>一次性奖励10万元。</w:t>
      </w:r>
    </w:p>
    <w:p w:rsidR="00DF04C3" w:rsidRPr="00AF5B8A" w:rsidRDefault="00935A6E" w:rsidP="00AF5B8A">
      <w:pPr>
        <w:spacing w:line="560" w:lineRule="exact"/>
        <w:ind w:firstLine="641"/>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二、</w:t>
      </w:r>
      <w:r w:rsidR="001D790A" w:rsidRPr="00AF5B8A">
        <w:rPr>
          <w:rFonts w:ascii="黑体" w:eastAsia="黑体" w:hAnsi="黑体" w:cs="仿宋_GB2312" w:hint="eastAsia"/>
          <w:color w:val="000000"/>
          <w:sz w:val="32"/>
          <w:szCs w:val="32"/>
          <w:shd w:val="clear" w:color="auto" w:fill="FFFFFF"/>
        </w:rPr>
        <w:t>鼓励企业加快发展稳步增长</w:t>
      </w:r>
    </w:p>
    <w:p w:rsidR="004A0DDF" w:rsidRDefault="00381869" w:rsidP="00AF5B8A">
      <w:pPr>
        <w:spacing w:line="56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鼓励</w:t>
      </w:r>
      <w:r w:rsidR="001D790A">
        <w:rPr>
          <w:rFonts w:ascii="仿宋_GB2312" w:eastAsia="仿宋_GB2312" w:hAnsi="仿宋_GB2312" w:hint="eastAsia"/>
          <w:color w:val="000000"/>
          <w:sz w:val="32"/>
          <w:szCs w:val="32"/>
        </w:rPr>
        <w:t>工业企业加快发展稳步增长</w:t>
      </w:r>
      <w:r w:rsidR="00CA2601">
        <w:rPr>
          <w:rFonts w:ascii="仿宋_GB2312" w:eastAsia="仿宋_GB2312" w:hAnsi="仿宋_GB2312" w:hint="eastAsia"/>
          <w:color w:val="000000"/>
          <w:sz w:val="32"/>
          <w:szCs w:val="32"/>
        </w:rPr>
        <w:t>。</w:t>
      </w:r>
      <w:r w:rsidR="001D790A">
        <w:rPr>
          <w:rFonts w:ascii="仿宋_GB2312" w:eastAsia="仿宋_GB2312" w:hAnsi="仿宋_GB2312" w:hint="eastAsia"/>
          <w:color w:val="000000"/>
          <w:sz w:val="32"/>
          <w:szCs w:val="32"/>
        </w:rPr>
        <w:t>对2024年第一季度工业</w:t>
      </w:r>
      <w:r w:rsidR="00D67BE1" w:rsidRPr="00040CD0">
        <w:rPr>
          <w:rFonts w:ascii="仿宋_GB2312" w:eastAsia="仿宋_GB2312" w:hAnsi="仿宋_GB2312"/>
          <w:color w:val="000000"/>
          <w:sz w:val="32"/>
          <w:szCs w:val="32"/>
        </w:rPr>
        <w:t>产值</w:t>
      </w:r>
      <w:r w:rsidR="001D790A">
        <w:rPr>
          <w:rFonts w:ascii="仿宋_GB2312" w:eastAsia="仿宋_GB2312" w:hAnsi="仿宋_GB2312" w:hint="eastAsia"/>
          <w:color w:val="000000"/>
          <w:sz w:val="32"/>
          <w:szCs w:val="32"/>
        </w:rPr>
        <w:t>较2023年同期</w:t>
      </w:r>
      <w:r w:rsidR="001D790A">
        <w:rPr>
          <w:rFonts w:ascii="仿宋_GB2312" w:eastAsia="仿宋_GB2312" w:hAnsi="仿宋_GB2312"/>
          <w:color w:val="000000"/>
          <w:sz w:val="32"/>
          <w:szCs w:val="32"/>
        </w:rPr>
        <w:t>实现</w:t>
      </w:r>
      <w:r w:rsidR="00D67BE1" w:rsidRPr="00040CD0">
        <w:rPr>
          <w:rFonts w:ascii="仿宋_GB2312" w:eastAsia="仿宋_GB2312" w:hAnsi="仿宋_GB2312"/>
          <w:color w:val="000000"/>
          <w:sz w:val="32"/>
          <w:szCs w:val="32"/>
        </w:rPr>
        <w:t>增长</w:t>
      </w:r>
      <w:r w:rsidR="001D790A">
        <w:rPr>
          <w:rFonts w:ascii="仿宋_GB2312" w:eastAsia="仿宋_GB2312" w:hAnsi="仿宋_GB2312" w:hint="eastAsia"/>
          <w:color w:val="000000"/>
          <w:sz w:val="32"/>
          <w:szCs w:val="32"/>
        </w:rPr>
        <w:t>且2023年度主营业务收入超过2000万元的工业企业给予奖励支持</w:t>
      </w:r>
      <w:r w:rsidR="004A0DDF">
        <w:rPr>
          <w:rFonts w:ascii="仿宋_GB2312" w:eastAsia="仿宋_GB2312" w:hAnsi="仿宋_GB2312" w:hint="eastAsia"/>
          <w:color w:val="000000"/>
          <w:sz w:val="32"/>
          <w:szCs w:val="32"/>
        </w:rPr>
        <w:t>：</w:t>
      </w:r>
      <w:r w:rsidR="00D67BE1">
        <w:rPr>
          <w:rFonts w:ascii="仿宋_GB2312" w:eastAsia="仿宋_GB2312" w:hAnsi="仿宋_GB2312" w:hint="eastAsia"/>
          <w:color w:val="000000"/>
          <w:sz w:val="32"/>
          <w:szCs w:val="32"/>
        </w:rPr>
        <w:t>对</w:t>
      </w:r>
      <w:r w:rsidR="00D67BE1" w:rsidRPr="00040CD0">
        <w:rPr>
          <w:rFonts w:ascii="仿宋_GB2312" w:eastAsia="仿宋_GB2312" w:hAnsi="仿宋_GB2312"/>
          <w:color w:val="000000"/>
          <w:sz w:val="32"/>
          <w:szCs w:val="32"/>
        </w:rPr>
        <w:t>2024年第一季度</w:t>
      </w:r>
      <w:r w:rsidR="00187142">
        <w:rPr>
          <w:rFonts w:ascii="仿宋_GB2312" w:eastAsia="仿宋_GB2312" w:hAnsi="仿宋_GB2312" w:hint="eastAsia"/>
          <w:color w:val="000000"/>
          <w:sz w:val="32"/>
          <w:szCs w:val="32"/>
        </w:rPr>
        <w:t>完成工业</w:t>
      </w:r>
      <w:r w:rsidR="00D67BE1" w:rsidRPr="00040CD0">
        <w:rPr>
          <w:rFonts w:ascii="仿宋_GB2312" w:eastAsia="仿宋_GB2312" w:hAnsi="仿宋_GB2312"/>
          <w:color w:val="000000"/>
          <w:sz w:val="32"/>
          <w:szCs w:val="32"/>
        </w:rPr>
        <w:t>产值</w:t>
      </w:r>
      <w:r w:rsidR="001D790A">
        <w:rPr>
          <w:rFonts w:ascii="仿宋_GB2312" w:eastAsia="仿宋_GB2312" w:hAnsi="仿宋_GB2312" w:hint="eastAsia"/>
          <w:color w:val="000000"/>
          <w:sz w:val="32"/>
          <w:szCs w:val="32"/>
        </w:rPr>
        <w:t>不足3000万元但</w:t>
      </w:r>
      <w:r w:rsidR="004A0DDF">
        <w:rPr>
          <w:rFonts w:ascii="仿宋_GB2312" w:eastAsia="仿宋_GB2312" w:hAnsi="仿宋_GB2312" w:hint="eastAsia"/>
          <w:color w:val="000000"/>
          <w:sz w:val="32"/>
          <w:szCs w:val="32"/>
        </w:rPr>
        <w:t>产值同比</w:t>
      </w:r>
      <w:r w:rsidR="001D790A">
        <w:rPr>
          <w:rFonts w:ascii="仿宋_GB2312" w:eastAsia="仿宋_GB2312" w:hAnsi="仿宋_GB2312" w:hint="eastAsia"/>
          <w:color w:val="000000"/>
          <w:sz w:val="32"/>
          <w:szCs w:val="32"/>
        </w:rPr>
        <w:t>增速大于10%的企业奖励10万元；对</w:t>
      </w:r>
      <w:r w:rsidR="001D790A" w:rsidRPr="00040CD0">
        <w:rPr>
          <w:rFonts w:ascii="仿宋_GB2312" w:eastAsia="仿宋_GB2312" w:hAnsi="仿宋_GB2312"/>
          <w:color w:val="000000"/>
          <w:sz w:val="32"/>
          <w:szCs w:val="32"/>
        </w:rPr>
        <w:t>2024年第一季度</w:t>
      </w:r>
      <w:r w:rsidR="00187142">
        <w:rPr>
          <w:rFonts w:ascii="仿宋_GB2312" w:eastAsia="仿宋_GB2312" w:hAnsi="仿宋_GB2312" w:hint="eastAsia"/>
          <w:color w:val="000000"/>
          <w:sz w:val="32"/>
          <w:szCs w:val="32"/>
        </w:rPr>
        <w:t>完成工业</w:t>
      </w:r>
      <w:r w:rsidR="001D790A" w:rsidRPr="00040CD0">
        <w:rPr>
          <w:rFonts w:ascii="仿宋_GB2312" w:eastAsia="仿宋_GB2312" w:hAnsi="仿宋_GB2312"/>
          <w:color w:val="000000"/>
          <w:sz w:val="32"/>
          <w:szCs w:val="32"/>
        </w:rPr>
        <w:t>产值</w:t>
      </w:r>
      <w:r w:rsidR="001D790A">
        <w:rPr>
          <w:rFonts w:ascii="仿宋_GB2312" w:eastAsia="仿宋_GB2312" w:hAnsi="仿宋_GB2312" w:hint="eastAsia"/>
          <w:color w:val="000000"/>
          <w:sz w:val="32"/>
          <w:szCs w:val="32"/>
        </w:rPr>
        <w:t>3000万元</w:t>
      </w:r>
      <w:r w:rsidR="00935A6E" w:rsidRPr="000A4C16">
        <w:rPr>
          <w:rFonts w:ascii="仿宋_GB2312" w:eastAsia="仿宋_GB2312" w:hAnsi="仿宋_GB2312" w:hint="eastAsia"/>
          <w:color w:val="000000"/>
          <w:sz w:val="32"/>
          <w:szCs w:val="32"/>
        </w:rPr>
        <w:t>（含）</w:t>
      </w:r>
      <w:r w:rsidR="001D790A">
        <w:rPr>
          <w:rFonts w:ascii="仿宋_GB2312" w:eastAsia="仿宋_GB2312" w:hAnsi="仿宋_GB2312" w:hint="eastAsia"/>
          <w:color w:val="000000"/>
          <w:sz w:val="32"/>
          <w:szCs w:val="32"/>
        </w:rPr>
        <w:t>至1亿元</w:t>
      </w:r>
      <w:r w:rsidR="00935A6E" w:rsidRPr="000A4C16">
        <w:rPr>
          <w:rFonts w:ascii="仿宋_GB2312" w:eastAsia="仿宋_GB2312" w:hAnsi="仿宋_GB2312" w:hint="eastAsia"/>
          <w:color w:val="000000"/>
          <w:sz w:val="32"/>
          <w:szCs w:val="32"/>
        </w:rPr>
        <w:t>（含）</w:t>
      </w:r>
      <w:r w:rsidR="001D790A">
        <w:rPr>
          <w:rFonts w:ascii="仿宋_GB2312" w:eastAsia="仿宋_GB2312" w:hAnsi="仿宋_GB2312" w:hint="eastAsia"/>
          <w:color w:val="000000"/>
          <w:sz w:val="32"/>
          <w:szCs w:val="32"/>
        </w:rPr>
        <w:t>且实现</w:t>
      </w:r>
      <w:r w:rsidR="004A0DDF">
        <w:rPr>
          <w:rFonts w:ascii="仿宋_GB2312" w:eastAsia="仿宋_GB2312" w:hAnsi="仿宋_GB2312" w:hint="eastAsia"/>
          <w:color w:val="000000"/>
          <w:sz w:val="32"/>
          <w:szCs w:val="32"/>
        </w:rPr>
        <w:t>同比</w:t>
      </w:r>
      <w:r w:rsidR="001D790A">
        <w:rPr>
          <w:rFonts w:ascii="仿宋_GB2312" w:eastAsia="仿宋_GB2312" w:hAnsi="仿宋_GB2312" w:hint="eastAsia"/>
          <w:color w:val="000000"/>
          <w:sz w:val="32"/>
          <w:szCs w:val="32"/>
        </w:rPr>
        <w:t>增长的企业奖励</w:t>
      </w:r>
      <w:r w:rsidR="004A0DDF">
        <w:rPr>
          <w:rFonts w:ascii="仿宋_GB2312" w:eastAsia="仿宋_GB2312" w:hAnsi="仿宋_GB2312" w:hint="eastAsia"/>
          <w:color w:val="000000"/>
          <w:sz w:val="32"/>
          <w:szCs w:val="32"/>
        </w:rPr>
        <w:t>1</w:t>
      </w:r>
      <w:r w:rsidR="001D790A">
        <w:rPr>
          <w:rFonts w:ascii="仿宋_GB2312" w:eastAsia="仿宋_GB2312" w:hAnsi="仿宋_GB2312" w:hint="eastAsia"/>
          <w:color w:val="000000"/>
          <w:sz w:val="32"/>
          <w:szCs w:val="32"/>
        </w:rPr>
        <w:t>0万元，并</w:t>
      </w:r>
      <w:r w:rsidR="00187142">
        <w:rPr>
          <w:rFonts w:ascii="仿宋_GB2312" w:eastAsia="仿宋_GB2312" w:hAnsi="仿宋_GB2312" w:hint="eastAsia"/>
          <w:color w:val="000000"/>
          <w:sz w:val="32"/>
          <w:szCs w:val="32"/>
        </w:rPr>
        <w:t>按</w:t>
      </w:r>
      <w:r w:rsidR="001D790A">
        <w:rPr>
          <w:rFonts w:ascii="仿宋_GB2312" w:eastAsia="仿宋_GB2312" w:hAnsi="仿宋_GB2312" w:hint="eastAsia"/>
          <w:color w:val="000000"/>
          <w:sz w:val="32"/>
          <w:szCs w:val="32"/>
        </w:rPr>
        <w:t>一季度产值增量部分</w:t>
      </w:r>
      <w:r w:rsidR="00935A6E">
        <w:rPr>
          <w:rFonts w:ascii="仿宋_GB2312" w:eastAsia="仿宋_GB2312" w:hAnsi="仿宋_GB2312" w:hint="eastAsia"/>
          <w:color w:val="000000"/>
          <w:sz w:val="32"/>
          <w:szCs w:val="32"/>
        </w:rPr>
        <w:t>的</w:t>
      </w:r>
      <w:r w:rsidR="001D790A">
        <w:rPr>
          <w:rFonts w:ascii="仿宋_GB2312" w:eastAsia="仿宋_GB2312" w:hAnsi="仿宋_GB2312" w:hint="eastAsia"/>
          <w:color w:val="000000"/>
          <w:sz w:val="32"/>
          <w:szCs w:val="32"/>
        </w:rPr>
        <w:t>2%</w:t>
      </w:r>
      <w:r w:rsidR="004A0DDF">
        <w:rPr>
          <w:rFonts w:ascii="仿宋_GB2312" w:eastAsia="仿宋_GB2312" w:hAnsi="仿宋_GB2312" w:hint="eastAsia"/>
          <w:color w:val="000000"/>
          <w:sz w:val="32"/>
          <w:szCs w:val="32"/>
        </w:rPr>
        <w:t>进行额外奖励，单体企业累计奖励资金不超过30万元</w:t>
      </w:r>
      <w:r w:rsidR="001D790A">
        <w:rPr>
          <w:rFonts w:ascii="仿宋_GB2312" w:eastAsia="仿宋_GB2312" w:hAnsi="仿宋_GB2312" w:hint="eastAsia"/>
          <w:color w:val="000000"/>
          <w:sz w:val="32"/>
          <w:szCs w:val="32"/>
        </w:rPr>
        <w:t>；</w:t>
      </w:r>
      <w:r w:rsidR="004A0DDF">
        <w:rPr>
          <w:rFonts w:ascii="仿宋_GB2312" w:eastAsia="仿宋_GB2312" w:hAnsi="仿宋_GB2312" w:hint="eastAsia"/>
          <w:color w:val="000000"/>
          <w:sz w:val="32"/>
          <w:szCs w:val="32"/>
        </w:rPr>
        <w:t>对</w:t>
      </w:r>
      <w:r w:rsidR="004A0DDF" w:rsidRPr="00040CD0">
        <w:rPr>
          <w:rFonts w:ascii="仿宋_GB2312" w:eastAsia="仿宋_GB2312" w:hAnsi="仿宋_GB2312"/>
          <w:color w:val="000000"/>
          <w:sz w:val="32"/>
          <w:szCs w:val="32"/>
        </w:rPr>
        <w:t>2024年第一季度</w:t>
      </w:r>
      <w:r w:rsidR="00187142">
        <w:rPr>
          <w:rFonts w:ascii="仿宋_GB2312" w:eastAsia="仿宋_GB2312" w:hAnsi="仿宋_GB2312" w:hint="eastAsia"/>
          <w:color w:val="000000"/>
          <w:sz w:val="32"/>
          <w:szCs w:val="32"/>
        </w:rPr>
        <w:t>完成工业</w:t>
      </w:r>
      <w:r w:rsidR="004A0DDF" w:rsidRPr="00040CD0">
        <w:rPr>
          <w:rFonts w:ascii="仿宋_GB2312" w:eastAsia="仿宋_GB2312" w:hAnsi="仿宋_GB2312"/>
          <w:color w:val="000000"/>
          <w:sz w:val="32"/>
          <w:szCs w:val="32"/>
        </w:rPr>
        <w:t>产值</w:t>
      </w:r>
      <w:r w:rsidR="004A0DDF">
        <w:rPr>
          <w:rFonts w:ascii="仿宋_GB2312" w:eastAsia="仿宋_GB2312" w:hAnsi="仿宋_GB2312" w:hint="eastAsia"/>
          <w:color w:val="000000"/>
          <w:sz w:val="32"/>
          <w:szCs w:val="32"/>
        </w:rPr>
        <w:t>超过1亿元且实现同比增长的企业奖励20万元，并</w:t>
      </w:r>
      <w:r w:rsidR="00187142">
        <w:rPr>
          <w:rFonts w:ascii="仿宋_GB2312" w:eastAsia="仿宋_GB2312" w:hAnsi="仿宋_GB2312" w:hint="eastAsia"/>
          <w:color w:val="000000"/>
          <w:sz w:val="32"/>
          <w:szCs w:val="32"/>
        </w:rPr>
        <w:t>按</w:t>
      </w:r>
      <w:r w:rsidR="004A0DDF">
        <w:rPr>
          <w:rFonts w:ascii="仿宋_GB2312" w:eastAsia="仿宋_GB2312" w:hAnsi="仿宋_GB2312" w:hint="eastAsia"/>
          <w:color w:val="000000"/>
          <w:sz w:val="32"/>
          <w:szCs w:val="32"/>
        </w:rPr>
        <w:t>一季度产值增量部分</w:t>
      </w:r>
      <w:r w:rsidR="00935A6E">
        <w:rPr>
          <w:rFonts w:ascii="仿宋_GB2312" w:eastAsia="仿宋_GB2312" w:hAnsi="仿宋_GB2312" w:hint="eastAsia"/>
          <w:color w:val="000000"/>
          <w:sz w:val="32"/>
          <w:szCs w:val="32"/>
        </w:rPr>
        <w:t>的</w:t>
      </w:r>
      <w:r w:rsidR="004A0DDF">
        <w:rPr>
          <w:rFonts w:ascii="仿宋_GB2312" w:eastAsia="仿宋_GB2312" w:hAnsi="仿宋_GB2312" w:hint="eastAsia"/>
          <w:color w:val="000000"/>
          <w:sz w:val="32"/>
          <w:szCs w:val="32"/>
        </w:rPr>
        <w:t>2%进行额外奖励，单体企业累计奖励</w:t>
      </w:r>
      <w:r w:rsidR="004A0DDF">
        <w:rPr>
          <w:rFonts w:ascii="仿宋_GB2312" w:eastAsia="仿宋_GB2312" w:hAnsi="仿宋_GB2312" w:hint="eastAsia"/>
          <w:color w:val="000000"/>
          <w:sz w:val="32"/>
          <w:szCs w:val="32"/>
        </w:rPr>
        <w:lastRenderedPageBreak/>
        <w:t>资金不超过</w:t>
      </w:r>
      <w:r w:rsidR="0027725C">
        <w:rPr>
          <w:rFonts w:ascii="仿宋_GB2312" w:eastAsia="仿宋_GB2312" w:hAnsi="仿宋_GB2312" w:hint="eastAsia"/>
          <w:color w:val="000000"/>
          <w:sz w:val="32"/>
          <w:szCs w:val="32"/>
        </w:rPr>
        <w:t>5</w:t>
      </w:r>
      <w:r w:rsidR="004A0DDF">
        <w:rPr>
          <w:rFonts w:ascii="仿宋_GB2312" w:eastAsia="仿宋_GB2312" w:hAnsi="仿宋_GB2312" w:hint="eastAsia"/>
          <w:color w:val="000000"/>
          <w:sz w:val="32"/>
          <w:szCs w:val="32"/>
        </w:rPr>
        <w:t>0万元</w:t>
      </w:r>
      <w:r w:rsidR="00187142">
        <w:rPr>
          <w:rFonts w:ascii="仿宋_GB2312" w:eastAsia="仿宋_GB2312" w:hAnsi="仿宋_GB2312" w:hint="eastAsia"/>
          <w:color w:val="000000"/>
          <w:sz w:val="32"/>
          <w:szCs w:val="32"/>
        </w:rPr>
        <w:t>。</w:t>
      </w:r>
    </w:p>
    <w:p w:rsidR="00935A6E" w:rsidRPr="00AF5B8A" w:rsidRDefault="000A4C16" w:rsidP="00935A6E">
      <w:pPr>
        <w:spacing w:line="560" w:lineRule="exact"/>
        <w:ind w:firstLine="641"/>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三、</w:t>
      </w:r>
      <w:r w:rsidR="0009335B">
        <w:rPr>
          <w:rFonts w:ascii="黑体" w:eastAsia="黑体" w:hAnsi="黑体" w:cs="仿宋_GB2312" w:hint="eastAsia"/>
          <w:color w:val="000000"/>
          <w:sz w:val="32"/>
          <w:szCs w:val="32"/>
          <w:shd w:val="clear" w:color="auto" w:fill="FFFFFF"/>
        </w:rPr>
        <w:t>推动</w:t>
      </w:r>
      <w:r w:rsidR="00702676">
        <w:rPr>
          <w:rFonts w:ascii="黑体" w:eastAsia="黑体" w:hAnsi="黑体" w:cs="仿宋_GB2312" w:hint="eastAsia"/>
          <w:color w:val="000000"/>
          <w:sz w:val="32"/>
          <w:szCs w:val="32"/>
          <w:shd w:val="clear" w:color="auto" w:fill="FFFFFF"/>
        </w:rPr>
        <w:t>数字化、</w:t>
      </w:r>
      <w:r w:rsidR="0069380B">
        <w:rPr>
          <w:rFonts w:ascii="黑体" w:eastAsia="黑体" w:hAnsi="黑体" w:cs="仿宋_GB2312" w:hint="eastAsia"/>
          <w:color w:val="000000"/>
          <w:sz w:val="32"/>
          <w:szCs w:val="32"/>
          <w:shd w:val="clear" w:color="auto" w:fill="FFFFFF"/>
        </w:rPr>
        <w:t>智能化、绿色化转型</w:t>
      </w:r>
    </w:p>
    <w:p w:rsidR="0069380B" w:rsidRDefault="00381869" w:rsidP="00935A6E">
      <w:pPr>
        <w:spacing w:line="56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鼓励</w:t>
      </w:r>
      <w:r w:rsidR="00702676">
        <w:rPr>
          <w:rFonts w:ascii="仿宋_GB2312" w:eastAsia="仿宋_GB2312" w:hAnsi="仿宋_GB2312" w:hint="eastAsia"/>
          <w:color w:val="000000"/>
          <w:sz w:val="32"/>
          <w:szCs w:val="32"/>
        </w:rPr>
        <w:t>制造业企业开展</w:t>
      </w:r>
      <w:r w:rsidR="00702676" w:rsidRPr="00702676">
        <w:rPr>
          <w:rFonts w:ascii="仿宋_GB2312" w:eastAsia="仿宋_GB2312" w:hAnsi="仿宋_GB2312" w:hint="eastAsia"/>
          <w:color w:val="000000"/>
          <w:sz w:val="32"/>
          <w:szCs w:val="32"/>
        </w:rPr>
        <w:t>数字化、智能化、绿色化</w:t>
      </w:r>
      <w:r w:rsidR="00702676">
        <w:rPr>
          <w:rFonts w:ascii="仿宋_GB2312" w:eastAsia="仿宋_GB2312" w:hAnsi="仿宋_GB2312" w:hint="eastAsia"/>
          <w:color w:val="000000"/>
          <w:sz w:val="32"/>
          <w:szCs w:val="32"/>
        </w:rPr>
        <w:t>改造，</w:t>
      </w:r>
      <w:r w:rsidR="0069380B">
        <w:rPr>
          <w:rFonts w:ascii="仿宋_GB2312" w:eastAsia="仿宋_GB2312" w:hAnsi="仿宋_GB2312" w:hint="eastAsia"/>
          <w:color w:val="000000"/>
          <w:sz w:val="32"/>
          <w:szCs w:val="32"/>
        </w:rPr>
        <w:t>积极协调市级部门、第三方评估公司为企业提供免费诊断服务，精准定位制约企业</w:t>
      </w:r>
      <w:r w:rsidR="00702676">
        <w:rPr>
          <w:rFonts w:ascii="仿宋_GB2312" w:eastAsia="仿宋_GB2312" w:hAnsi="仿宋_GB2312" w:hint="eastAsia"/>
          <w:color w:val="000000"/>
          <w:sz w:val="32"/>
          <w:szCs w:val="32"/>
        </w:rPr>
        <w:t>数字化、</w:t>
      </w:r>
      <w:r w:rsidR="0069380B">
        <w:rPr>
          <w:rFonts w:ascii="仿宋_GB2312" w:eastAsia="仿宋_GB2312" w:hAnsi="仿宋_GB2312" w:hint="eastAsia"/>
          <w:color w:val="000000"/>
          <w:sz w:val="32"/>
          <w:szCs w:val="32"/>
        </w:rPr>
        <w:t>智能化、绿色化转型升级的痛点、难点问题，并联合制定解决方案</w:t>
      </w:r>
      <w:r w:rsidR="00702676">
        <w:rPr>
          <w:rFonts w:ascii="仿宋_GB2312" w:eastAsia="仿宋_GB2312" w:hAnsi="仿宋_GB2312" w:hint="eastAsia"/>
          <w:color w:val="000000"/>
          <w:sz w:val="32"/>
          <w:szCs w:val="32"/>
        </w:rPr>
        <w:t>。加强数字化转型示范推广，有力推动制造业企业数字化达标，为创建国家智能制造标杆企业、智能制造示范工厂、世界灯塔工厂等标杆工厂奠定坚实工作基础。</w:t>
      </w:r>
      <w:r w:rsidR="0069380B">
        <w:rPr>
          <w:rFonts w:ascii="仿宋_GB2312" w:eastAsia="仿宋_GB2312" w:hAnsi="仿宋_GB2312" w:hint="eastAsia"/>
          <w:color w:val="000000"/>
          <w:sz w:val="32"/>
          <w:szCs w:val="32"/>
        </w:rPr>
        <w:t>积极引导企业实施节能、节水、减</w:t>
      </w:r>
      <w:r>
        <w:rPr>
          <w:rFonts w:ascii="仿宋_GB2312" w:eastAsia="仿宋_GB2312" w:hAnsi="仿宋_GB2312" w:hint="eastAsia"/>
          <w:color w:val="000000"/>
          <w:sz w:val="32"/>
          <w:szCs w:val="32"/>
        </w:rPr>
        <w:t>污、降碳、清洁生产等绿色低碳改造，对创建达标国家级绿色工厂的</w:t>
      </w:r>
      <w:r w:rsidR="0069380B">
        <w:rPr>
          <w:rFonts w:ascii="仿宋_GB2312" w:eastAsia="仿宋_GB2312" w:hAnsi="仿宋_GB2312" w:hint="eastAsia"/>
          <w:color w:val="000000"/>
          <w:sz w:val="32"/>
          <w:szCs w:val="32"/>
        </w:rPr>
        <w:t>企业，给予一次性奖励10万元。</w:t>
      </w:r>
    </w:p>
    <w:p w:rsidR="00702676" w:rsidRPr="00AF5B8A" w:rsidRDefault="00702676" w:rsidP="00702676">
      <w:pPr>
        <w:spacing w:line="560" w:lineRule="exact"/>
        <w:ind w:firstLine="641"/>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四</w:t>
      </w:r>
      <w:r w:rsidRPr="00AF5B8A">
        <w:rPr>
          <w:rFonts w:ascii="黑体" w:eastAsia="黑体" w:hAnsi="黑体" w:cs="仿宋_GB2312" w:hint="eastAsia"/>
          <w:color w:val="000000"/>
          <w:sz w:val="32"/>
          <w:szCs w:val="32"/>
          <w:shd w:val="clear" w:color="auto" w:fill="FFFFFF"/>
        </w:rPr>
        <w:t>、有序推进一般制造业退出</w:t>
      </w:r>
    </w:p>
    <w:p w:rsidR="00702676" w:rsidRDefault="00381869" w:rsidP="00702676">
      <w:pPr>
        <w:spacing w:line="560" w:lineRule="exact"/>
        <w:ind w:firstLineChars="200" w:firstLine="640"/>
        <w:rPr>
          <w:rFonts w:ascii="仿宋_GB2312" w:eastAsia="仿宋_GB2312"/>
          <w:color w:val="000000"/>
          <w:sz w:val="32"/>
          <w:szCs w:val="36"/>
        </w:rPr>
      </w:pPr>
      <w:r>
        <w:rPr>
          <w:rFonts w:ascii="仿宋_GB2312" w:eastAsia="仿宋_GB2312" w:hint="eastAsia"/>
          <w:color w:val="000000"/>
          <w:sz w:val="32"/>
          <w:szCs w:val="36"/>
        </w:rPr>
        <w:t>充分调动</w:t>
      </w:r>
      <w:r w:rsidR="00702676">
        <w:rPr>
          <w:rFonts w:ascii="仿宋_GB2312" w:eastAsia="仿宋_GB2312" w:hint="eastAsia"/>
          <w:color w:val="000000"/>
          <w:sz w:val="32"/>
          <w:szCs w:val="36"/>
        </w:rPr>
        <w:t>一般制造业企业调整退出的积极性、主动性，有效疏解不符合首都城市战略定位的产业，加快调整存量，促进产业转型升级，发展“高精尖”产业。对于符合条件的退出企业依照《门头沟区疏解一般制造业企业腾退发展“高精尖”产业奖励资金管理办法》予以奖励。</w:t>
      </w:r>
    </w:p>
    <w:p w:rsidR="00702676" w:rsidRDefault="00702676" w:rsidP="00AF5B8A">
      <w:pPr>
        <w:spacing w:line="560" w:lineRule="exact"/>
        <w:ind w:firstLine="641"/>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五</w:t>
      </w:r>
      <w:r w:rsidR="005C1A1E">
        <w:rPr>
          <w:rFonts w:ascii="黑体" w:eastAsia="黑体" w:hAnsi="黑体" w:cs="仿宋_GB2312" w:hint="eastAsia"/>
          <w:color w:val="000000"/>
          <w:sz w:val="32"/>
          <w:szCs w:val="32"/>
          <w:shd w:val="clear" w:color="auto" w:fill="FFFFFF"/>
        </w:rPr>
        <w:t>、</w:t>
      </w:r>
      <w:r>
        <w:rPr>
          <w:rFonts w:ascii="黑体" w:eastAsia="黑体" w:hAnsi="黑体" w:cs="仿宋_GB2312" w:hint="eastAsia"/>
          <w:color w:val="000000"/>
          <w:sz w:val="32"/>
          <w:szCs w:val="32"/>
          <w:shd w:val="clear" w:color="auto" w:fill="FFFFFF"/>
        </w:rPr>
        <w:t>为受灾制造业企业恢复和发展提供支持</w:t>
      </w:r>
    </w:p>
    <w:p w:rsidR="00712737" w:rsidRDefault="00702676" w:rsidP="0001564F">
      <w:pPr>
        <w:spacing w:line="560" w:lineRule="exact"/>
        <w:ind w:firstLineChars="200" w:firstLine="640"/>
        <w:rPr>
          <w:rFonts w:ascii="仿宋_GB2312" w:eastAsia="仿宋_GB2312"/>
          <w:sz w:val="32"/>
          <w:szCs w:val="32"/>
        </w:rPr>
      </w:pPr>
      <w:r>
        <w:rPr>
          <w:rFonts w:ascii="仿宋_GB2312" w:eastAsia="仿宋_GB2312" w:hint="eastAsia"/>
          <w:sz w:val="32"/>
          <w:szCs w:val="32"/>
        </w:rPr>
        <w:t>为</w:t>
      </w:r>
      <w:r w:rsidR="00712737">
        <w:rPr>
          <w:rFonts w:ascii="仿宋_GB2312" w:eastAsia="仿宋_GB2312" w:hint="eastAsia"/>
          <w:sz w:val="32"/>
          <w:szCs w:val="32"/>
        </w:rPr>
        <w:t>在海河“23</w:t>
      </w:r>
      <w:r>
        <w:rPr>
          <w:rFonts w:ascii="仿宋_GB2312" w:eastAsia="仿宋_GB2312" w:hint="eastAsia"/>
          <w:sz w:val="32"/>
          <w:szCs w:val="32"/>
        </w:rPr>
        <w:t>·</w:t>
      </w:r>
      <w:r w:rsidR="00712737">
        <w:rPr>
          <w:rFonts w:ascii="仿宋_GB2312" w:eastAsia="仿宋_GB2312" w:hint="eastAsia"/>
          <w:sz w:val="32"/>
          <w:szCs w:val="32"/>
        </w:rPr>
        <w:t>7”流域性特大洪水中受灾</w:t>
      </w:r>
      <w:r>
        <w:rPr>
          <w:rFonts w:ascii="仿宋_GB2312" w:eastAsia="仿宋_GB2312" w:hint="eastAsia"/>
          <w:sz w:val="32"/>
          <w:szCs w:val="32"/>
        </w:rPr>
        <w:t>且损失</w:t>
      </w:r>
      <w:r w:rsidR="00712737">
        <w:rPr>
          <w:rFonts w:ascii="仿宋_GB2312" w:eastAsia="仿宋_GB2312" w:hint="eastAsia"/>
          <w:sz w:val="32"/>
          <w:szCs w:val="32"/>
        </w:rPr>
        <w:t>超过100万元</w:t>
      </w:r>
      <w:r w:rsidR="00381869">
        <w:rPr>
          <w:rFonts w:ascii="仿宋_GB2312" w:eastAsia="仿宋_GB2312" w:hint="eastAsia"/>
          <w:sz w:val="32"/>
          <w:szCs w:val="32"/>
        </w:rPr>
        <w:t>的</w:t>
      </w:r>
      <w:r w:rsidR="00712737">
        <w:rPr>
          <w:rFonts w:ascii="仿宋_GB2312" w:eastAsia="仿宋_GB2312" w:hint="eastAsia"/>
          <w:sz w:val="32"/>
          <w:szCs w:val="32"/>
        </w:rPr>
        <w:t>制造业小微企业</w:t>
      </w:r>
      <w:r w:rsidR="00BD4F22">
        <w:rPr>
          <w:rFonts w:ascii="仿宋_GB2312" w:eastAsia="仿宋_GB2312" w:hint="eastAsia"/>
          <w:sz w:val="32"/>
          <w:szCs w:val="32"/>
        </w:rPr>
        <w:t>恢复和发展提供支持。</w:t>
      </w:r>
      <w:r w:rsidR="00495196">
        <w:rPr>
          <w:rFonts w:ascii="仿宋_GB2312" w:eastAsia="仿宋_GB2312" w:hint="eastAsia"/>
          <w:sz w:val="32"/>
          <w:szCs w:val="32"/>
        </w:rPr>
        <w:t>对于企业或企业法人以个人名义申请的用于企业生产经营的银行贷款</w:t>
      </w:r>
      <w:r w:rsidR="002F14E9">
        <w:rPr>
          <w:rFonts w:ascii="仿宋_GB2312" w:eastAsia="仿宋_GB2312" w:hint="eastAsia"/>
          <w:sz w:val="32"/>
          <w:szCs w:val="32"/>
        </w:rPr>
        <w:t>所实际发生的利息</w:t>
      </w:r>
      <w:r w:rsidR="00495196">
        <w:rPr>
          <w:rFonts w:ascii="仿宋_GB2312" w:eastAsia="仿宋_GB2312" w:hint="eastAsia"/>
          <w:sz w:val="32"/>
          <w:szCs w:val="32"/>
        </w:rPr>
        <w:t>予以</w:t>
      </w:r>
      <w:r w:rsidR="002F14E9">
        <w:rPr>
          <w:rFonts w:ascii="仿宋_GB2312" w:eastAsia="仿宋_GB2312" w:hint="eastAsia"/>
          <w:sz w:val="32"/>
          <w:szCs w:val="32"/>
        </w:rPr>
        <w:t>补贴</w:t>
      </w:r>
      <w:r w:rsidR="00495196">
        <w:rPr>
          <w:rFonts w:ascii="仿宋_GB2312" w:eastAsia="仿宋_GB2312" w:hint="eastAsia"/>
          <w:sz w:val="32"/>
          <w:szCs w:val="32"/>
        </w:rPr>
        <w:t>，贷款贴息率不超过人民银行公布的贷款市场报价利率（LPR）。</w:t>
      </w:r>
      <w:r w:rsidR="00FB4A90">
        <w:rPr>
          <w:rFonts w:ascii="仿宋_GB2312" w:eastAsia="仿宋_GB2312" w:hAnsi="仿宋_GB2312" w:hint="eastAsia"/>
          <w:color w:val="000000"/>
          <w:sz w:val="32"/>
          <w:szCs w:val="32"/>
        </w:rPr>
        <w:t>单体企业补贴</w:t>
      </w:r>
      <w:r w:rsidR="008A743D">
        <w:rPr>
          <w:rFonts w:ascii="仿宋_GB2312" w:eastAsia="仿宋_GB2312" w:hAnsi="仿宋_GB2312" w:hint="eastAsia"/>
          <w:color w:val="000000"/>
          <w:sz w:val="32"/>
          <w:szCs w:val="32"/>
        </w:rPr>
        <w:t>贷款（本金）累计总额不超过1000万元，</w:t>
      </w:r>
      <w:r w:rsidR="00094BE5">
        <w:rPr>
          <w:rFonts w:ascii="仿宋_GB2312" w:eastAsia="仿宋_GB2312" w:hint="eastAsia"/>
          <w:sz w:val="32"/>
          <w:szCs w:val="32"/>
        </w:rPr>
        <w:t>原则上补贴期限不超过一</w:t>
      </w:r>
      <w:r w:rsidR="00094BE5">
        <w:rPr>
          <w:rFonts w:ascii="仿宋_GB2312" w:eastAsia="仿宋_GB2312" w:hint="eastAsia"/>
          <w:sz w:val="32"/>
          <w:szCs w:val="32"/>
        </w:rPr>
        <w:lastRenderedPageBreak/>
        <w:t>年。</w:t>
      </w:r>
    </w:p>
    <w:p w:rsidR="00702676" w:rsidRDefault="00702676" w:rsidP="00702676">
      <w:pPr>
        <w:spacing w:line="560" w:lineRule="exact"/>
        <w:ind w:firstLine="641"/>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六、为专精特新企业加速发展提供支持</w:t>
      </w:r>
    </w:p>
    <w:p w:rsidR="00712737" w:rsidRDefault="00F41E78" w:rsidP="00AF3FB1">
      <w:pPr>
        <w:spacing w:line="560" w:lineRule="exact"/>
        <w:ind w:firstLineChars="200" w:firstLine="640"/>
        <w:rPr>
          <w:rFonts w:ascii="仿宋_GB2312" w:eastAsia="仿宋_GB2312"/>
          <w:sz w:val="32"/>
          <w:szCs w:val="32"/>
        </w:rPr>
      </w:pPr>
      <w:r>
        <w:rPr>
          <w:rFonts w:ascii="仿宋_GB2312" w:eastAsia="仿宋_GB2312" w:hint="eastAsia"/>
          <w:sz w:val="32"/>
          <w:szCs w:val="32"/>
        </w:rPr>
        <w:t>帮助</w:t>
      </w:r>
      <w:r w:rsidR="0027725C">
        <w:rPr>
          <w:rFonts w:ascii="仿宋_GB2312" w:eastAsia="仿宋_GB2312" w:hint="eastAsia"/>
          <w:sz w:val="32"/>
          <w:szCs w:val="32"/>
        </w:rPr>
        <w:t>“专精特新”</w:t>
      </w:r>
      <w:r w:rsidR="00712737">
        <w:rPr>
          <w:rFonts w:ascii="仿宋_GB2312" w:eastAsia="仿宋_GB2312" w:hint="eastAsia"/>
          <w:sz w:val="32"/>
          <w:szCs w:val="32"/>
        </w:rPr>
        <w:t>小微企业</w:t>
      </w:r>
      <w:r w:rsidR="00EA106D">
        <w:rPr>
          <w:rFonts w:ascii="仿宋_GB2312" w:eastAsia="仿宋_GB2312" w:hint="eastAsia"/>
          <w:sz w:val="32"/>
          <w:szCs w:val="32"/>
        </w:rPr>
        <w:t>解决</w:t>
      </w:r>
      <w:r>
        <w:rPr>
          <w:rFonts w:ascii="仿宋_GB2312" w:eastAsia="仿宋_GB2312" w:hint="eastAsia"/>
          <w:sz w:val="32"/>
          <w:szCs w:val="32"/>
        </w:rPr>
        <w:t>融资难问题，支持</w:t>
      </w:r>
      <w:r w:rsidR="00EA106D">
        <w:rPr>
          <w:rFonts w:ascii="仿宋_GB2312" w:eastAsia="仿宋_GB2312" w:hint="eastAsia"/>
          <w:sz w:val="32"/>
          <w:szCs w:val="32"/>
        </w:rPr>
        <w:t>企业</w:t>
      </w:r>
      <w:r w:rsidR="00BD4F22">
        <w:rPr>
          <w:rFonts w:ascii="仿宋_GB2312" w:eastAsia="仿宋_GB2312" w:hint="eastAsia"/>
          <w:sz w:val="32"/>
          <w:szCs w:val="32"/>
        </w:rPr>
        <w:t>加速发展。对于</w:t>
      </w:r>
      <w:r w:rsidR="00712737">
        <w:rPr>
          <w:rFonts w:ascii="仿宋_GB2312" w:eastAsia="仿宋_GB2312" w:hint="eastAsia"/>
          <w:sz w:val="32"/>
          <w:szCs w:val="32"/>
        </w:rPr>
        <w:t>企业或企业法人以个人名义</w:t>
      </w:r>
      <w:r>
        <w:rPr>
          <w:rFonts w:ascii="仿宋_GB2312" w:eastAsia="仿宋_GB2312" w:hint="eastAsia"/>
          <w:sz w:val="32"/>
          <w:szCs w:val="32"/>
        </w:rPr>
        <w:t>申请的</w:t>
      </w:r>
      <w:r w:rsidR="00AF3FB1">
        <w:rPr>
          <w:rFonts w:ascii="仿宋_GB2312" w:eastAsia="仿宋_GB2312" w:hint="eastAsia"/>
          <w:sz w:val="32"/>
          <w:szCs w:val="32"/>
        </w:rPr>
        <w:t>用于企业生产经营的银行贷款</w:t>
      </w:r>
      <w:r w:rsidR="002F14E9">
        <w:rPr>
          <w:rFonts w:ascii="仿宋_GB2312" w:eastAsia="仿宋_GB2312" w:hint="eastAsia"/>
          <w:sz w:val="32"/>
          <w:szCs w:val="32"/>
        </w:rPr>
        <w:t>所实际发生的利息予以补贴</w:t>
      </w:r>
      <w:r w:rsidR="00AF3FB1">
        <w:rPr>
          <w:rFonts w:ascii="仿宋_GB2312" w:eastAsia="仿宋_GB2312" w:hint="eastAsia"/>
          <w:sz w:val="32"/>
          <w:szCs w:val="32"/>
        </w:rPr>
        <w:t>，贷款贴息率</w:t>
      </w:r>
      <w:r w:rsidR="00712737">
        <w:rPr>
          <w:rFonts w:ascii="仿宋_GB2312" w:eastAsia="仿宋_GB2312" w:hint="eastAsia"/>
          <w:sz w:val="32"/>
          <w:szCs w:val="32"/>
        </w:rPr>
        <w:t>不超过人民银行公布的贷款市场报价利率（LPR）</w:t>
      </w:r>
      <w:r w:rsidR="00AF3FB1">
        <w:rPr>
          <w:rFonts w:ascii="仿宋_GB2312" w:eastAsia="仿宋_GB2312" w:hint="eastAsia"/>
          <w:sz w:val="32"/>
          <w:szCs w:val="32"/>
        </w:rPr>
        <w:t>。</w:t>
      </w:r>
      <w:r w:rsidR="008A743D">
        <w:rPr>
          <w:rFonts w:ascii="仿宋_GB2312" w:eastAsia="仿宋_GB2312" w:hAnsi="仿宋_GB2312" w:hint="eastAsia"/>
          <w:color w:val="000000"/>
          <w:sz w:val="32"/>
          <w:szCs w:val="32"/>
        </w:rPr>
        <w:t>单体企业补贴贷款（本金）累计总额不超过1000万元，</w:t>
      </w:r>
      <w:r w:rsidR="008A743D">
        <w:rPr>
          <w:rFonts w:ascii="仿宋_GB2312" w:eastAsia="仿宋_GB2312" w:hint="eastAsia"/>
          <w:sz w:val="32"/>
          <w:szCs w:val="32"/>
        </w:rPr>
        <w:t>原则上补贴期限不超过一年，且不与第五条重复享受。</w:t>
      </w:r>
    </w:p>
    <w:p w:rsidR="00712737" w:rsidRPr="00AF5B8A" w:rsidRDefault="00D01AAF" w:rsidP="00AF5B8A">
      <w:pPr>
        <w:spacing w:line="560" w:lineRule="exact"/>
        <w:ind w:firstLine="641"/>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七</w:t>
      </w:r>
      <w:r w:rsidR="00712737" w:rsidRPr="00AF5B8A">
        <w:rPr>
          <w:rFonts w:ascii="黑体" w:eastAsia="黑体" w:hAnsi="黑体" w:cs="仿宋_GB2312" w:hint="eastAsia"/>
          <w:color w:val="000000"/>
          <w:sz w:val="32"/>
          <w:szCs w:val="32"/>
          <w:shd w:val="clear" w:color="auto" w:fill="FFFFFF"/>
        </w:rPr>
        <w:t>、</w:t>
      </w:r>
      <w:r w:rsidR="00CD3A25">
        <w:rPr>
          <w:rFonts w:ascii="黑体" w:eastAsia="黑体" w:hAnsi="黑体" w:cs="仿宋_GB2312" w:hint="eastAsia"/>
          <w:color w:val="000000"/>
          <w:sz w:val="32"/>
          <w:szCs w:val="32"/>
          <w:shd w:val="clear" w:color="auto" w:fill="FFFFFF"/>
        </w:rPr>
        <w:t>为</w:t>
      </w:r>
      <w:r w:rsidR="00712737" w:rsidRPr="00AF5B8A">
        <w:rPr>
          <w:rFonts w:ascii="黑体" w:eastAsia="黑体" w:hAnsi="黑体" w:cs="仿宋_GB2312" w:hint="eastAsia"/>
          <w:color w:val="000000"/>
          <w:sz w:val="32"/>
          <w:szCs w:val="32"/>
          <w:shd w:val="clear" w:color="auto" w:fill="FFFFFF"/>
        </w:rPr>
        <w:t>企业申报政策</w:t>
      </w:r>
      <w:r w:rsidR="00CD3A25">
        <w:rPr>
          <w:rFonts w:ascii="黑体" w:eastAsia="黑体" w:hAnsi="黑体" w:cs="仿宋_GB2312" w:hint="eastAsia"/>
          <w:color w:val="000000"/>
          <w:sz w:val="32"/>
          <w:szCs w:val="32"/>
          <w:shd w:val="clear" w:color="auto" w:fill="FFFFFF"/>
        </w:rPr>
        <w:t>做好</w:t>
      </w:r>
      <w:r w:rsidR="00712737" w:rsidRPr="00AF5B8A">
        <w:rPr>
          <w:rFonts w:ascii="黑体" w:eastAsia="黑体" w:hAnsi="黑体" w:cs="仿宋_GB2312" w:hint="eastAsia"/>
          <w:color w:val="000000"/>
          <w:sz w:val="32"/>
          <w:szCs w:val="32"/>
          <w:shd w:val="clear" w:color="auto" w:fill="FFFFFF"/>
        </w:rPr>
        <w:t>服务</w:t>
      </w:r>
    </w:p>
    <w:p w:rsidR="00712737" w:rsidRDefault="00712737" w:rsidP="00AF5B8A">
      <w:pPr>
        <w:spacing w:line="560" w:lineRule="exact"/>
        <w:ind w:firstLineChars="200" w:firstLine="640"/>
        <w:rPr>
          <w:rFonts w:ascii="仿宋_GB2312" w:eastAsia="仿宋_GB2312"/>
          <w:color w:val="000000"/>
          <w:sz w:val="32"/>
          <w:szCs w:val="36"/>
        </w:rPr>
      </w:pPr>
      <w:r>
        <w:rPr>
          <w:rFonts w:ascii="仿宋_GB2312" w:eastAsia="仿宋_GB2312" w:hint="eastAsia"/>
          <w:color w:val="000000"/>
          <w:sz w:val="32"/>
          <w:szCs w:val="36"/>
        </w:rPr>
        <w:t>统筹利用好</w:t>
      </w:r>
      <w:r w:rsidR="00705370">
        <w:rPr>
          <w:rFonts w:ascii="仿宋_GB2312" w:eastAsia="仿宋_GB2312" w:hint="eastAsia"/>
          <w:color w:val="000000"/>
          <w:sz w:val="32"/>
          <w:szCs w:val="36"/>
        </w:rPr>
        <w:t>包括</w:t>
      </w:r>
      <w:r>
        <w:rPr>
          <w:rFonts w:ascii="仿宋_GB2312" w:eastAsia="仿宋_GB2312" w:hint="eastAsia"/>
          <w:color w:val="000000"/>
          <w:sz w:val="32"/>
          <w:szCs w:val="36"/>
        </w:rPr>
        <w:t>北京市“高精尖”发展专项资金在内的国家</w:t>
      </w:r>
      <w:r w:rsidR="00705370">
        <w:rPr>
          <w:rFonts w:ascii="仿宋_GB2312" w:eastAsia="仿宋_GB2312" w:hint="eastAsia"/>
          <w:color w:val="000000"/>
          <w:sz w:val="32"/>
          <w:szCs w:val="36"/>
        </w:rPr>
        <w:t>和北京市关于鼓励和支持工业经济发展的各项政策措施，协调</w:t>
      </w:r>
      <w:r>
        <w:rPr>
          <w:rFonts w:ascii="仿宋_GB2312" w:eastAsia="仿宋_GB2312" w:hint="eastAsia"/>
          <w:color w:val="000000"/>
          <w:sz w:val="32"/>
          <w:szCs w:val="36"/>
        </w:rPr>
        <w:t>相关部门、专家</w:t>
      </w:r>
      <w:r w:rsidR="00D01AAF">
        <w:rPr>
          <w:rFonts w:ascii="仿宋_GB2312" w:eastAsia="仿宋_GB2312" w:hint="eastAsia"/>
          <w:color w:val="000000"/>
          <w:sz w:val="32"/>
          <w:szCs w:val="36"/>
        </w:rPr>
        <w:t>和</w:t>
      </w:r>
      <w:r>
        <w:rPr>
          <w:rFonts w:ascii="仿宋_GB2312" w:eastAsia="仿宋_GB2312" w:hint="eastAsia"/>
          <w:color w:val="000000"/>
          <w:sz w:val="32"/>
          <w:szCs w:val="36"/>
        </w:rPr>
        <w:t>第三方评估机构等</w:t>
      </w:r>
      <w:r w:rsidR="00705370">
        <w:rPr>
          <w:rFonts w:ascii="仿宋_GB2312" w:eastAsia="仿宋_GB2312" w:hint="eastAsia"/>
          <w:color w:val="000000"/>
          <w:sz w:val="32"/>
          <w:szCs w:val="36"/>
        </w:rPr>
        <w:t>力量</w:t>
      </w:r>
      <w:r>
        <w:rPr>
          <w:rFonts w:ascii="仿宋_GB2312" w:eastAsia="仿宋_GB2312" w:hint="eastAsia"/>
          <w:color w:val="000000"/>
          <w:sz w:val="32"/>
          <w:szCs w:val="36"/>
        </w:rPr>
        <w:t>，为企业</w:t>
      </w:r>
      <w:r w:rsidR="00BC6ADB">
        <w:rPr>
          <w:rFonts w:ascii="仿宋_GB2312" w:eastAsia="仿宋_GB2312" w:hint="eastAsia"/>
          <w:color w:val="000000"/>
          <w:sz w:val="32"/>
          <w:szCs w:val="36"/>
        </w:rPr>
        <w:t>做好</w:t>
      </w:r>
      <w:r>
        <w:rPr>
          <w:rFonts w:ascii="仿宋_GB2312" w:eastAsia="仿宋_GB2312" w:hint="eastAsia"/>
          <w:color w:val="000000"/>
          <w:sz w:val="32"/>
          <w:szCs w:val="36"/>
        </w:rPr>
        <w:t>政策培训，并结合实际提供“一对一”</w:t>
      </w:r>
      <w:r w:rsidR="00705370">
        <w:rPr>
          <w:rFonts w:ascii="仿宋_GB2312" w:eastAsia="仿宋_GB2312" w:hint="eastAsia"/>
          <w:color w:val="000000"/>
          <w:sz w:val="32"/>
          <w:szCs w:val="36"/>
        </w:rPr>
        <w:t>申报</w:t>
      </w:r>
      <w:r>
        <w:rPr>
          <w:rFonts w:ascii="仿宋_GB2312" w:eastAsia="仿宋_GB2312" w:hint="eastAsia"/>
          <w:color w:val="000000"/>
          <w:sz w:val="32"/>
          <w:szCs w:val="36"/>
        </w:rPr>
        <w:t>辅导</w:t>
      </w:r>
      <w:r w:rsidR="00705370">
        <w:rPr>
          <w:rFonts w:ascii="仿宋_GB2312" w:eastAsia="仿宋_GB2312" w:hint="eastAsia"/>
          <w:color w:val="000000"/>
          <w:sz w:val="32"/>
          <w:szCs w:val="36"/>
        </w:rPr>
        <w:t>服务，</w:t>
      </w:r>
      <w:r w:rsidR="00531A4A">
        <w:rPr>
          <w:rFonts w:ascii="仿宋_GB2312" w:eastAsia="仿宋_GB2312" w:hint="eastAsia"/>
          <w:color w:val="000000"/>
          <w:sz w:val="32"/>
          <w:szCs w:val="36"/>
        </w:rPr>
        <w:t>帮助</w:t>
      </w:r>
      <w:r w:rsidR="00705370">
        <w:rPr>
          <w:rFonts w:ascii="仿宋_GB2312" w:eastAsia="仿宋_GB2312" w:hint="eastAsia"/>
          <w:color w:val="000000"/>
          <w:sz w:val="32"/>
          <w:szCs w:val="36"/>
        </w:rPr>
        <w:t>企业准确把握和运用政策措施，充分享受政策</w:t>
      </w:r>
      <w:r>
        <w:rPr>
          <w:rFonts w:ascii="仿宋_GB2312" w:eastAsia="仿宋_GB2312" w:hint="eastAsia"/>
          <w:color w:val="000000"/>
          <w:sz w:val="32"/>
          <w:szCs w:val="36"/>
        </w:rPr>
        <w:t>红利。</w:t>
      </w:r>
    </w:p>
    <w:p w:rsidR="00DF04C3" w:rsidRPr="001E345C" w:rsidRDefault="00FE5139" w:rsidP="00AF5B8A">
      <w:pPr>
        <w:spacing w:line="560" w:lineRule="exact"/>
        <w:ind w:firstLineChars="200" w:firstLine="640"/>
        <w:rPr>
          <w:rFonts w:ascii="仿宋_GB2312" w:eastAsia="仿宋_GB2312" w:hAnsi="仿宋_GB2312"/>
          <w:color w:val="000000"/>
          <w:sz w:val="32"/>
          <w:szCs w:val="32"/>
        </w:rPr>
      </w:pPr>
      <w:r>
        <w:rPr>
          <w:rFonts w:ascii="仿宋_GB2312" w:eastAsia="仿宋_GB2312" w:hint="eastAsia"/>
          <w:sz w:val="32"/>
          <w:szCs w:val="32"/>
        </w:rPr>
        <w:t>本措施</w:t>
      </w:r>
      <w:r w:rsidR="00D01AAF">
        <w:rPr>
          <w:rFonts w:ascii="仿宋_GB2312" w:eastAsia="仿宋_GB2312" w:hint="eastAsia"/>
          <w:sz w:val="32"/>
          <w:szCs w:val="32"/>
        </w:rPr>
        <w:t>由门头沟区科学技术和信息化局负责解释，</w:t>
      </w:r>
      <w:r>
        <w:rPr>
          <w:rFonts w:ascii="仿宋_GB2312" w:eastAsia="仿宋_GB2312" w:hint="eastAsia"/>
          <w:sz w:val="32"/>
          <w:szCs w:val="32"/>
        </w:rPr>
        <w:t>自发布之日起施行，有效期至202</w:t>
      </w:r>
      <w:r w:rsidR="00003266">
        <w:rPr>
          <w:rFonts w:ascii="仿宋_GB2312" w:eastAsia="仿宋_GB2312" w:hint="eastAsia"/>
          <w:sz w:val="32"/>
          <w:szCs w:val="32"/>
        </w:rPr>
        <w:t>5</w:t>
      </w:r>
      <w:r>
        <w:rPr>
          <w:rFonts w:ascii="仿宋_GB2312" w:eastAsia="仿宋_GB2312" w:hint="eastAsia"/>
          <w:sz w:val="32"/>
          <w:szCs w:val="32"/>
        </w:rPr>
        <w:t>年</w:t>
      </w:r>
      <w:r w:rsidR="008F52A6">
        <w:rPr>
          <w:rFonts w:ascii="仿宋_GB2312" w:eastAsia="仿宋_GB2312" w:hint="eastAsia"/>
          <w:sz w:val="32"/>
          <w:szCs w:val="32"/>
        </w:rPr>
        <w:t>2</w:t>
      </w:r>
      <w:r>
        <w:rPr>
          <w:rFonts w:ascii="仿宋_GB2312" w:eastAsia="仿宋_GB2312" w:hint="eastAsia"/>
          <w:sz w:val="32"/>
          <w:szCs w:val="32"/>
        </w:rPr>
        <w:t>月</w:t>
      </w:r>
      <w:r w:rsidR="00705370">
        <w:rPr>
          <w:rFonts w:ascii="仿宋_GB2312" w:eastAsia="仿宋_GB2312" w:hint="eastAsia"/>
          <w:sz w:val="32"/>
          <w:szCs w:val="32"/>
        </w:rPr>
        <w:t>28日</w:t>
      </w:r>
      <w:r>
        <w:rPr>
          <w:rFonts w:ascii="仿宋_GB2312" w:eastAsia="仿宋_GB2312" w:hint="eastAsia"/>
          <w:sz w:val="32"/>
          <w:szCs w:val="32"/>
        </w:rPr>
        <w:t>。</w:t>
      </w:r>
    </w:p>
    <w:sectPr w:rsidR="00DF04C3" w:rsidRPr="001E345C" w:rsidSect="00DF04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106" w:rsidRDefault="00476106" w:rsidP="00C33276">
      <w:r>
        <w:separator/>
      </w:r>
    </w:p>
  </w:endnote>
  <w:endnote w:type="continuationSeparator" w:id="1">
    <w:p w:rsidR="00476106" w:rsidRDefault="00476106" w:rsidP="00C332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106" w:rsidRDefault="00476106" w:rsidP="00C33276">
      <w:r>
        <w:separator/>
      </w:r>
    </w:p>
  </w:footnote>
  <w:footnote w:type="continuationSeparator" w:id="1">
    <w:p w:rsidR="00476106" w:rsidRDefault="00476106" w:rsidP="00C33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654FE"/>
    <w:multiLevelType w:val="hybridMultilevel"/>
    <w:tmpl w:val="B1489BF0"/>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c2NTBlYWY4YzI2ODBiNWFhMTk1M2RlMjRmNjIzMDMifQ=="/>
  </w:docVars>
  <w:rsids>
    <w:rsidRoot w:val="00DF04C3"/>
    <w:rsid w:val="00003266"/>
    <w:rsid w:val="0001564F"/>
    <w:rsid w:val="00026C60"/>
    <w:rsid w:val="0009335B"/>
    <w:rsid w:val="00094BE5"/>
    <w:rsid w:val="000A4C16"/>
    <w:rsid w:val="000C036B"/>
    <w:rsid w:val="000C3D5B"/>
    <w:rsid w:val="000E04B8"/>
    <w:rsid w:val="000E0E96"/>
    <w:rsid w:val="000F2F59"/>
    <w:rsid w:val="00113B46"/>
    <w:rsid w:val="00125FA2"/>
    <w:rsid w:val="001401F8"/>
    <w:rsid w:val="00140EB3"/>
    <w:rsid w:val="001466DB"/>
    <w:rsid w:val="001840B6"/>
    <w:rsid w:val="00187142"/>
    <w:rsid w:val="001D790A"/>
    <w:rsid w:val="001E345C"/>
    <w:rsid w:val="001F0198"/>
    <w:rsid w:val="00224D12"/>
    <w:rsid w:val="0022527E"/>
    <w:rsid w:val="002410C0"/>
    <w:rsid w:val="0027725C"/>
    <w:rsid w:val="002A35C9"/>
    <w:rsid w:val="002E755C"/>
    <w:rsid w:val="002F14E9"/>
    <w:rsid w:val="003474E3"/>
    <w:rsid w:val="003707C2"/>
    <w:rsid w:val="00381869"/>
    <w:rsid w:val="003A5483"/>
    <w:rsid w:val="003D50CC"/>
    <w:rsid w:val="003D645E"/>
    <w:rsid w:val="00421B1E"/>
    <w:rsid w:val="0042416D"/>
    <w:rsid w:val="00435EE8"/>
    <w:rsid w:val="00476106"/>
    <w:rsid w:val="00482E63"/>
    <w:rsid w:val="004907E9"/>
    <w:rsid w:val="00495196"/>
    <w:rsid w:val="004A0DDF"/>
    <w:rsid w:val="004A4678"/>
    <w:rsid w:val="004B2345"/>
    <w:rsid w:val="004D46BF"/>
    <w:rsid w:val="004E0261"/>
    <w:rsid w:val="004E61C7"/>
    <w:rsid w:val="004F287D"/>
    <w:rsid w:val="00504273"/>
    <w:rsid w:val="00515B13"/>
    <w:rsid w:val="005300A1"/>
    <w:rsid w:val="00531A4A"/>
    <w:rsid w:val="0053789B"/>
    <w:rsid w:val="00547B90"/>
    <w:rsid w:val="00570717"/>
    <w:rsid w:val="00573358"/>
    <w:rsid w:val="005944C9"/>
    <w:rsid w:val="005A2BE7"/>
    <w:rsid w:val="005A7F15"/>
    <w:rsid w:val="005B1238"/>
    <w:rsid w:val="005C1A1E"/>
    <w:rsid w:val="005E5E11"/>
    <w:rsid w:val="005F0D4C"/>
    <w:rsid w:val="00612F2B"/>
    <w:rsid w:val="0069380B"/>
    <w:rsid w:val="006A594C"/>
    <w:rsid w:val="006D2A13"/>
    <w:rsid w:val="00702676"/>
    <w:rsid w:val="00705370"/>
    <w:rsid w:val="00712737"/>
    <w:rsid w:val="007266D8"/>
    <w:rsid w:val="0077612C"/>
    <w:rsid w:val="00781A84"/>
    <w:rsid w:val="00795A41"/>
    <w:rsid w:val="00841BB9"/>
    <w:rsid w:val="00850AC9"/>
    <w:rsid w:val="008A743D"/>
    <w:rsid w:val="008D223E"/>
    <w:rsid w:val="008F4C11"/>
    <w:rsid w:val="008F52A6"/>
    <w:rsid w:val="00927F66"/>
    <w:rsid w:val="00935A6E"/>
    <w:rsid w:val="00977442"/>
    <w:rsid w:val="00991DA4"/>
    <w:rsid w:val="009949D9"/>
    <w:rsid w:val="009A40DE"/>
    <w:rsid w:val="009C3BEA"/>
    <w:rsid w:val="009C6FA6"/>
    <w:rsid w:val="00A73125"/>
    <w:rsid w:val="00A864C4"/>
    <w:rsid w:val="00A9770E"/>
    <w:rsid w:val="00AE7524"/>
    <w:rsid w:val="00AE761A"/>
    <w:rsid w:val="00AF3FB1"/>
    <w:rsid w:val="00AF5B8A"/>
    <w:rsid w:val="00B072A9"/>
    <w:rsid w:val="00B6571B"/>
    <w:rsid w:val="00B9342F"/>
    <w:rsid w:val="00B96356"/>
    <w:rsid w:val="00BC6ADB"/>
    <w:rsid w:val="00BD4F22"/>
    <w:rsid w:val="00BE145E"/>
    <w:rsid w:val="00BE2930"/>
    <w:rsid w:val="00C23DF3"/>
    <w:rsid w:val="00C33276"/>
    <w:rsid w:val="00C3587C"/>
    <w:rsid w:val="00CA2601"/>
    <w:rsid w:val="00CB5C01"/>
    <w:rsid w:val="00CD3A25"/>
    <w:rsid w:val="00CF164B"/>
    <w:rsid w:val="00D01AAF"/>
    <w:rsid w:val="00D34659"/>
    <w:rsid w:val="00D634D3"/>
    <w:rsid w:val="00D67BE1"/>
    <w:rsid w:val="00D848FF"/>
    <w:rsid w:val="00DA1615"/>
    <w:rsid w:val="00DB113C"/>
    <w:rsid w:val="00DC6069"/>
    <w:rsid w:val="00DF04C3"/>
    <w:rsid w:val="00DF0790"/>
    <w:rsid w:val="00E2199A"/>
    <w:rsid w:val="00E3239F"/>
    <w:rsid w:val="00E83B9C"/>
    <w:rsid w:val="00E93C6B"/>
    <w:rsid w:val="00EA106D"/>
    <w:rsid w:val="00F41E78"/>
    <w:rsid w:val="00F51CAC"/>
    <w:rsid w:val="00F90781"/>
    <w:rsid w:val="00FB4A90"/>
    <w:rsid w:val="00FE5139"/>
    <w:rsid w:val="1F2C4645"/>
    <w:rsid w:val="42AD1ABD"/>
    <w:rsid w:val="43F518A8"/>
    <w:rsid w:val="543319E0"/>
    <w:rsid w:val="74890514"/>
    <w:rsid w:val="7FCC57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F04C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F04C3"/>
    <w:pPr>
      <w:keepNext/>
      <w:keepLines/>
      <w:spacing w:line="576" w:lineRule="auto"/>
      <w:outlineLvl w:val="0"/>
    </w:pPr>
    <w:rPr>
      <w:b/>
      <w:kern w:val="44"/>
      <w:sz w:val="44"/>
    </w:rPr>
  </w:style>
  <w:style w:type="paragraph" w:styleId="2">
    <w:name w:val="heading 2"/>
    <w:basedOn w:val="a"/>
    <w:next w:val="a"/>
    <w:link w:val="2Char"/>
    <w:unhideWhenUsed/>
    <w:qFormat/>
    <w:rsid w:val="00026C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332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3276"/>
    <w:rPr>
      <w:rFonts w:asciiTheme="minorHAnsi" w:eastAsiaTheme="minorEastAsia" w:hAnsiTheme="minorHAnsi" w:cstheme="minorBidi"/>
      <w:kern w:val="2"/>
      <w:sz w:val="18"/>
      <w:szCs w:val="18"/>
    </w:rPr>
  </w:style>
  <w:style w:type="paragraph" w:styleId="a4">
    <w:name w:val="footer"/>
    <w:basedOn w:val="a"/>
    <w:link w:val="Char0"/>
    <w:rsid w:val="00C33276"/>
    <w:pPr>
      <w:tabs>
        <w:tab w:val="center" w:pos="4153"/>
        <w:tab w:val="right" w:pos="8306"/>
      </w:tabs>
      <w:snapToGrid w:val="0"/>
      <w:jc w:val="left"/>
    </w:pPr>
    <w:rPr>
      <w:sz w:val="18"/>
      <w:szCs w:val="18"/>
    </w:rPr>
  </w:style>
  <w:style w:type="character" w:customStyle="1" w:styleId="Char0">
    <w:name w:val="页脚 Char"/>
    <w:basedOn w:val="a0"/>
    <w:link w:val="a4"/>
    <w:rsid w:val="00C33276"/>
    <w:rPr>
      <w:rFonts w:asciiTheme="minorHAnsi" w:eastAsiaTheme="minorEastAsia" w:hAnsiTheme="minorHAnsi" w:cstheme="minorBidi"/>
      <w:kern w:val="2"/>
      <w:sz w:val="18"/>
      <w:szCs w:val="18"/>
    </w:rPr>
  </w:style>
  <w:style w:type="paragraph" w:styleId="a5">
    <w:name w:val="List Paragraph"/>
    <w:basedOn w:val="a"/>
    <w:uiPriority w:val="99"/>
    <w:unhideWhenUsed/>
    <w:rsid w:val="00795A41"/>
    <w:pPr>
      <w:ind w:firstLineChars="200" w:firstLine="420"/>
    </w:pPr>
  </w:style>
  <w:style w:type="character" w:customStyle="1" w:styleId="2Char">
    <w:name w:val="标题 2 Char"/>
    <w:basedOn w:val="a0"/>
    <w:link w:val="2"/>
    <w:rsid w:val="00026C60"/>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24EA2-5395-43EF-8E49-5078EA8D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Words>
  <Characters>1283</Characters>
  <Application>Microsoft Office Word</Application>
  <DocSecurity>0</DocSecurity>
  <Lines>10</Lines>
  <Paragraphs>3</Paragraphs>
  <ScaleCrop>false</ScaleCrop>
  <Company>iTianKong.com</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2024-03-07T01:51:00Z</cp:lastPrinted>
  <dcterms:created xsi:type="dcterms:W3CDTF">2024-03-19T06:54:00Z</dcterms:created>
  <dcterms:modified xsi:type="dcterms:W3CDTF">2024-03-19T06:54:00Z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5472EDF138A3445BBA492CC1DC49A31C_12</vt:lpwstr>
  </property>
</Properties>
</file>