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黑体" w:eastAsia="方正小标宋简体" w:cs="黑体"/>
          <w:sz w:val="44"/>
          <w:szCs w:val="44"/>
        </w:rPr>
      </w:pPr>
      <w:bookmarkStart w:id="0" w:name="_GoBack"/>
      <w:r>
        <w:rPr>
          <w:rFonts w:hint="eastAsia" w:ascii="方正小标宋简体" w:hAnsi="黑体" w:eastAsia="方正小标宋简体" w:cs="黑体"/>
          <w:sz w:val="44"/>
          <w:szCs w:val="44"/>
        </w:rPr>
        <w:t>北京市通州区关于加快推进北京数据基础 制度先行区高质量发展的若干措施</w:t>
      </w:r>
    </w:p>
    <w:bookmarkEnd w:id="0"/>
    <w:p>
      <w:pPr>
        <w:spacing w:line="600" w:lineRule="exact"/>
        <w:jc w:val="center"/>
        <w:rPr>
          <w:rFonts w:ascii="楷体_GB2312" w:hAnsi="楷体" w:eastAsia="楷体_GB2312" w:cs="楷体"/>
          <w:sz w:val="32"/>
        </w:rPr>
      </w:pPr>
      <w:r>
        <w:rPr>
          <w:rFonts w:hint="eastAsia" w:ascii="楷体_GB2312" w:hAnsi="楷体" w:eastAsia="楷体_GB2312" w:cs="楷体"/>
          <w:sz w:val="32"/>
        </w:rPr>
        <w:t>（征求意见稿）</w:t>
      </w:r>
    </w:p>
    <w:p>
      <w:pPr>
        <w:spacing w:line="600" w:lineRule="exact"/>
        <w:ind w:firstLine="640" w:firstLineChars="200"/>
        <w:rPr>
          <w:rFonts w:eastAsia="仿宋_GB2312"/>
          <w:sz w:val="32"/>
        </w:rPr>
      </w:pPr>
      <w:r>
        <w:rPr>
          <w:rFonts w:hint="eastAsia" w:eastAsia="仿宋_GB2312"/>
          <w:sz w:val="32"/>
        </w:rPr>
        <w:t>为贯彻落实《中共中央国务院关于构建数据基础制度更好发挥数据要素作用的意见》和中共北京市委、北京市人民政府《关于更好发挥数据要素作用进一步加快发展数字经济的实施意见》，深入实施《北京市数字经济促进条例》，立足先行区打造数据要素市场化配置的政策高地、可信空间和数据工场的战略定位，坚持先行先试、改革创新、开放合作的原则，加快汇聚高价值数据资源、培育</w:t>
      </w:r>
      <w:r>
        <w:rPr>
          <w:rFonts w:hint="eastAsia" w:ascii="仿宋_GB2312" w:hAnsi="等线" w:eastAsia="仿宋_GB2312" w:cs="仿宋_GB2312"/>
          <w:color w:val="000000"/>
          <w:kern w:val="0"/>
          <w:sz w:val="32"/>
          <w:szCs w:val="32"/>
          <w:lang w:bidi="ar"/>
        </w:rPr>
        <w:t>数据服务产业、发展数据要素市场、形成数据要素企业聚集高地</w:t>
      </w:r>
      <w:r>
        <w:rPr>
          <w:rFonts w:hint="eastAsia" w:eastAsia="仿宋_GB2312"/>
          <w:sz w:val="32"/>
        </w:rPr>
        <w:t>，结合通州区实际，制定本措施。</w:t>
      </w:r>
    </w:p>
    <w:p>
      <w:pPr>
        <w:spacing w:line="600" w:lineRule="exact"/>
        <w:ind w:firstLine="640" w:firstLineChars="200"/>
        <w:rPr>
          <w:rFonts w:hint="eastAsia" w:eastAsia="仿宋_GB2312"/>
          <w:sz w:val="32"/>
        </w:rPr>
      </w:pPr>
      <w:r>
        <w:rPr>
          <w:rFonts w:hint="eastAsia" w:eastAsia="仿宋_GB2312"/>
          <w:sz w:val="32"/>
        </w:rPr>
        <w:t>本措施适用于在北京数据基础制度先行区（通州片区）工商注册、税务登记，并办公经营的数据要素相关企业。</w:t>
      </w:r>
    </w:p>
    <w:p>
      <w:pPr>
        <w:numPr>
          <w:ilvl w:val="0"/>
          <w:numId w:val="1"/>
        </w:numPr>
        <w:spacing w:line="600" w:lineRule="exact"/>
        <w:ind w:firstLine="642" w:firstLineChars="200"/>
      </w:pPr>
      <w:r>
        <w:rPr>
          <w:rFonts w:hint="eastAsia" w:eastAsia="仿宋_GB2312"/>
          <w:b/>
          <w:bCs/>
          <w:sz w:val="32"/>
        </w:rPr>
        <w:t>支持</w:t>
      </w:r>
      <w:r>
        <w:rPr>
          <w:rFonts w:hint="eastAsia" w:eastAsia="仿宋_GB2312"/>
          <w:b/>
          <w:bCs/>
          <w:sz w:val="32"/>
          <w:lang w:val="en-US" w:eastAsia="zh-CN"/>
        </w:rPr>
        <w:t>数据供应商</w:t>
      </w:r>
      <w:r>
        <w:rPr>
          <w:rFonts w:hint="eastAsia" w:eastAsia="仿宋_GB2312"/>
          <w:b/>
          <w:bCs/>
          <w:sz w:val="32"/>
        </w:rPr>
        <w:t>先行先试。</w:t>
      </w:r>
      <w:r>
        <w:rPr>
          <w:rFonts w:hint="eastAsia" w:eastAsia="仿宋_GB2312"/>
          <w:b w:val="0"/>
          <w:bCs w:val="0"/>
          <w:sz w:val="32"/>
          <w:lang w:val="en-US" w:eastAsia="zh-CN"/>
        </w:rPr>
        <w:t>围绕</w:t>
      </w:r>
      <w:r>
        <w:rPr>
          <w:rFonts w:hint="eastAsia" w:eastAsia="仿宋_GB2312"/>
          <w:sz w:val="32"/>
        </w:rPr>
        <w:t>文旅、金融等重点领域，</w:t>
      </w:r>
      <w:r>
        <w:rPr>
          <w:rFonts w:hint="eastAsia" w:eastAsia="仿宋_GB2312"/>
          <w:sz w:val="32"/>
          <w:lang w:val="en-US" w:eastAsia="zh-CN"/>
        </w:rPr>
        <w:t>设立企业“白名单”，</w:t>
      </w:r>
      <w:r>
        <w:rPr>
          <w:rFonts w:hint="eastAsia" w:eastAsia="仿宋_GB2312"/>
          <w:sz w:val="32"/>
        </w:rPr>
        <w:t>按照北京市</w:t>
      </w:r>
      <w:r>
        <w:rPr>
          <w:rFonts w:hint="eastAsia" w:ascii="仿宋_GB2312" w:eastAsia="仿宋_GB2312"/>
          <w:sz w:val="32"/>
        </w:rPr>
        <w:t>监管沙盒机制</w:t>
      </w:r>
      <w:r>
        <w:rPr>
          <w:rFonts w:hint="eastAsia" w:eastAsia="仿宋_GB2312"/>
          <w:sz w:val="32"/>
        </w:rPr>
        <w:t>申请沙盒测试审核通过后，</w:t>
      </w:r>
      <w:r>
        <w:rPr>
          <w:rFonts w:hint="eastAsia" w:eastAsia="仿宋_GB2312"/>
          <w:sz w:val="32"/>
          <w:lang w:val="en-US" w:eastAsia="zh-CN"/>
        </w:rPr>
        <w:t>支持</w:t>
      </w:r>
      <w:r>
        <w:rPr>
          <w:rFonts w:hint="eastAsia" w:eastAsia="仿宋_GB2312"/>
          <w:sz w:val="32"/>
        </w:rPr>
        <w:t>基于通州区文旅数据专区和金融数据专区开展应用服务先行先试，探索建设基于真实底层资产和交易场景的数字资产交易平台，构建数据可信服务生态体系，率先</w:t>
      </w:r>
      <w:r>
        <w:rPr>
          <w:rFonts w:hint="eastAsia" w:ascii="Calibri" w:hAnsi="Calibri" w:eastAsia="仿宋_GB2312"/>
          <w:sz w:val="32"/>
          <w:szCs w:val="21"/>
        </w:rPr>
        <w:t>开展税务征收、不良贷金融风险化解、互联网和政府网站用户留资身份补齐等业务</w:t>
      </w:r>
      <w:r>
        <w:rPr>
          <w:rFonts w:hint="eastAsia" w:eastAsia="仿宋_GB2312"/>
          <w:sz w:val="32"/>
        </w:rPr>
        <w:t xml:space="preserve">。 </w:t>
      </w:r>
    </w:p>
    <w:p>
      <w:pPr>
        <w:numPr>
          <w:ilvl w:val="0"/>
          <w:numId w:val="1"/>
        </w:numPr>
        <w:spacing w:line="600" w:lineRule="exact"/>
        <w:ind w:firstLine="641"/>
        <w:rPr>
          <w:rFonts w:hint="eastAsia" w:eastAsia="仿宋_GB2312"/>
          <w:sz w:val="32"/>
        </w:rPr>
      </w:pPr>
      <w:r>
        <w:rPr>
          <w:rFonts w:hint="eastAsia" w:eastAsia="仿宋_GB2312"/>
          <w:b/>
          <w:sz w:val="32"/>
        </w:rPr>
        <w:t>支持技术创新与应用。</w:t>
      </w:r>
      <w:r>
        <w:rPr>
          <w:rFonts w:hint="eastAsia" w:eastAsia="仿宋_GB2312"/>
          <w:sz w:val="32"/>
        </w:rPr>
        <w:t>支持开展</w:t>
      </w:r>
      <w:r>
        <w:rPr>
          <w:rFonts w:hint="eastAsia" w:eastAsia="仿宋_GB2312"/>
          <w:sz w:val="32"/>
          <w:lang w:eastAsia="zh-Hans"/>
        </w:rPr>
        <w:t>数据资产保护、监测、确权、定价评估等</w:t>
      </w:r>
      <w:r>
        <w:rPr>
          <w:rFonts w:hint="eastAsia" w:eastAsia="仿宋_GB2312"/>
          <w:sz w:val="32"/>
        </w:rPr>
        <w:t>基础</w:t>
      </w:r>
      <w:r>
        <w:rPr>
          <w:rFonts w:hint="eastAsia" w:eastAsia="仿宋_GB2312"/>
          <w:sz w:val="32"/>
          <w:lang w:eastAsia="zh-Hans"/>
        </w:rPr>
        <w:t>理论研究。</w:t>
      </w:r>
      <w:r>
        <w:rPr>
          <w:rFonts w:hint="eastAsia" w:eastAsia="仿宋_GB2312"/>
          <w:sz w:val="32"/>
        </w:rPr>
        <w:t>聚焦数据安全、人工智能、元宇宙等重点领域，支持模型算法、数据管理、数据认证授权、安全交换等数据要素相关技术创新，突破隐私计算、全同态加密、湖仓一体、数据编织、多模态智能体、空间计算、跨尺度采集重建等技术，对牵头承担国家级、市级、区级数据要素相关重大专项的企业，或取得首创性成效的应用产品及解决方案，给予最高300万元的项目资金奖励。</w:t>
      </w:r>
    </w:p>
    <w:p>
      <w:pPr>
        <w:numPr>
          <w:ilvl w:val="0"/>
          <w:numId w:val="1"/>
        </w:numPr>
        <w:spacing w:line="600" w:lineRule="exact"/>
        <w:ind w:firstLine="642" w:firstLineChars="200"/>
        <w:rPr>
          <w:rFonts w:eastAsia="仿宋_GB2312"/>
        </w:rPr>
      </w:pPr>
      <w:r>
        <w:rPr>
          <w:rFonts w:hint="eastAsia" w:ascii="仿宋_GB2312" w:eastAsia="仿宋_GB2312"/>
          <w:b/>
          <w:bCs/>
          <w:sz w:val="32"/>
          <w:szCs w:val="32"/>
        </w:rPr>
        <w:t>支持场景开放和应用创新。</w:t>
      </w:r>
      <w:r>
        <w:rPr>
          <w:rFonts w:hint="eastAsia" w:eastAsia="仿宋_GB2312"/>
          <w:sz w:val="32"/>
          <w:szCs w:val="32"/>
        </w:rPr>
        <w:t>围绕文旅、金融等重点领域推动开放一批高价值数据应用场景，</w:t>
      </w:r>
      <w:r>
        <w:rPr>
          <w:rFonts w:hint="eastAsia" w:ascii="仿宋_GB2312" w:eastAsia="仿宋_GB2312"/>
          <w:sz w:val="32"/>
          <w:szCs w:val="32"/>
        </w:rPr>
        <w:t>创新虚拟演出、沉浸式游览、信贷融资评估、信用卡反欺诈等应用形态。</w:t>
      </w:r>
      <w:r>
        <w:rPr>
          <w:rFonts w:hint="eastAsia" w:eastAsia="仿宋_GB2312"/>
          <w:sz w:val="32"/>
          <w:szCs w:val="32"/>
        </w:rPr>
        <w:t>对经认定的示范数据产品及示范应用场景建设项目，按照项目研发与建设投资额给予最高300万元的投资补贴，对于产业重大基础平台或具有产业集聚性、带动性的重大项目一事一议予以支持。</w:t>
      </w:r>
    </w:p>
    <w:p>
      <w:pPr>
        <w:numPr>
          <w:ilvl w:val="0"/>
          <w:numId w:val="1"/>
        </w:numPr>
        <w:spacing w:line="600" w:lineRule="exact"/>
        <w:ind w:firstLine="641"/>
      </w:pPr>
      <w:r>
        <w:rPr>
          <w:rFonts w:hint="eastAsia" w:eastAsia="仿宋_GB2312"/>
          <w:b/>
          <w:bCs/>
          <w:sz w:val="32"/>
        </w:rPr>
        <w:t>支持数据跨境流动。</w:t>
      </w:r>
      <w:r>
        <w:rPr>
          <w:rFonts w:hint="eastAsia" w:eastAsia="仿宋_GB2312"/>
          <w:sz w:val="32"/>
        </w:rPr>
        <w:t>鼓励企业在安全合规前提下探索数据跨境流动与场景应用试点，经认定有引领示范效应的场景应用给予最高300万元的资金奖励。制定数据跨境自由流动的一般数据清单，鼓励企业在更大范围内探索数据跨境流动与业务创新。支持专业数据服务机构发展，提供评估、认证、安全等数据跨境流动合规服务，对经认定服务成效显著的服务机构给予最高20万元的资金奖励。</w:t>
      </w:r>
    </w:p>
    <w:p>
      <w:pPr>
        <w:numPr>
          <w:ilvl w:val="0"/>
          <w:numId w:val="1"/>
        </w:numPr>
        <w:spacing w:line="600" w:lineRule="exact"/>
        <w:ind w:firstLine="642" w:firstLineChars="200"/>
        <w:rPr>
          <w:rFonts w:eastAsia="仿宋_GB2312"/>
          <w:sz w:val="32"/>
        </w:rPr>
      </w:pPr>
      <w:r>
        <w:rPr>
          <w:rFonts w:hint="eastAsia" w:eastAsia="仿宋_GB2312"/>
          <w:b/>
          <w:bCs/>
          <w:sz w:val="32"/>
        </w:rPr>
        <w:t>支持数据汇聚与创新。</w:t>
      </w:r>
      <w:r>
        <w:rPr>
          <w:rFonts w:hint="eastAsia" w:eastAsia="仿宋_GB2312"/>
          <w:sz w:val="32"/>
        </w:rPr>
        <w:t>聚焦文旅、金融等重点领域，</w:t>
      </w:r>
      <w:r>
        <w:rPr>
          <w:rFonts w:hint="eastAsia" w:ascii="仿宋_GB2312" w:eastAsia="仿宋_GB2312"/>
          <w:sz w:val="32"/>
          <w:szCs w:val="32"/>
        </w:rPr>
        <w:t>鼓励开发数字孪生景区、数字藏品、沉浸式数字内容等数据资源，推动金融、公共和商业等信用数据等接入，积极建设高水平人工智能语料数据集，对经过数据资产评估达到交易级别的数据资源</w:t>
      </w:r>
      <w:r>
        <w:rPr>
          <w:rFonts w:hint="eastAsia" w:eastAsia="仿宋_GB2312"/>
          <w:sz w:val="32"/>
        </w:rPr>
        <w:t>给予最高100万元资金奖励。支持</w:t>
      </w:r>
      <w:r>
        <w:rPr>
          <w:rFonts w:hint="eastAsia" w:ascii="仿宋_GB2312" w:eastAsia="仿宋_GB2312"/>
          <w:sz w:val="32"/>
          <w:szCs w:val="32"/>
        </w:rPr>
        <w:t>企业搭建文旅、金融等数据服务平台，提供数据标识编码、分析加工、匹配交易等服务，对具有示范作用的平台按照投资的30%给予最高100万元的资金补助。</w:t>
      </w:r>
    </w:p>
    <w:p>
      <w:pPr>
        <w:numPr>
          <w:ilvl w:val="0"/>
          <w:numId w:val="1"/>
        </w:numPr>
        <w:spacing w:line="600" w:lineRule="exact"/>
        <w:ind w:firstLine="642" w:firstLineChars="200"/>
      </w:pPr>
      <w:r>
        <w:rPr>
          <w:rFonts w:hint="eastAsia" w:eastAsia="仿宋_GB2312"/>
          <w:b/>
          <w:bCs/>
          <w:sz w:val="32"/>
        </w:rPr>
        <w:t>支持数据要素市场建设。</w:t>
      </w:r>
      <w:r>
        <w:rPr>
          <w:rFonts w:hint="eastAsia" w:eastAsia="仿宋_GB2312"/>
          <w:sz w:val="32"/>
        </w:rPr>
        <w:t>对实现数据资</w:t>
      </w:r>
      <w:r>
        <w:rPr>
          <w:rFonts w:hint="eastAsia" w:eastAsia="仿宋_GB2312"/>
          <w:sz w:val="32"/>
          <w:lang w:val="en-US" w:eastAsia="zh-CN"/>
        </w:rPr>
        <w:t>产</w:t>
      </w:r>
      <w:r>
        <w:rPr>
          <w:rFonts w:hint="eastAsia" w:eastAsia="仿宋_GB2312"/>
          <w:sz w:val="32"/>
        </w:rPr>
        <w:t>的首登记、首挂牌、首交易、首开放的企业，分别按照国家和北京市奖励标准1:1和1:0.5的比例给予配套资金支持，同一企业所获配套资金奖励总额不超过100万元。对在数据资产登记、数据资产评估和入表、数据资产金融创新等方面获得国家或北京市资金奖励的企业，分别按照1:1和1:0.5的比例给予配套资金支持，同一企业所获配套资金奖励总额不超过100万元。</w:t>
      </w:r>
    </w:p>
    <w:p>
      <w:pPr>
        <w:numPr>
          <w:ilvl w:val="0"/>
          <w:numId w:val="1"/>
        </w:numPr>
        <w:spacing w:line="600" w:lineRule="exact"/>
        <w:ind w:firstLine="642" w:firstLineChars="200"/>
        <w:rPr>
          <w:rFonts w:eastAsia="仿宋_GB2312"/>
        </w:rPr>
      </w:pPr>
      <w:r>
        <w:rPr>
          <w:rFonts w:hint="eastAsia" w:eastAsia="仿宋_GB2312"/>
          <w:b/>
          <w:bCs/>
          <w:sz w:val="32"/>
        </w:rPr>
        <w:t>支持数据总部基地建设。</w:t>
      </w:r>
      <w:r>
        <w:rPr>
          <w:rFonts w:hint="eastAsia" w:eastAsia="仿宋_GB2312"/>
          <w:sz w:val="32"/>
        </w:rPr>
        <w:t>对在先行区首次租赁场地用于研发、办公、生产等实体化经营的企业，租金按照实际单价的</w:t>
      </w:r>
      <w:r>
        <w:rPr>
          <w:rFonts w:eastAsia="仿宋_GB2312"/>
          <w:sz w:val="32"/>
        </w:rPr>
        <w:t>5</w:t>
      </w:r>
      <w:r>
        <w:rPr>
          <w:rFonts w:hint="eastAsia" w:eastAsia="仿宋_GB2312"/>
          <w:sz w:val="32"/>
        </w:rPr>
        <w:t>0%给予最高2元/平方米·天的标准补贴，装修按照实际装修费用的</w:t>
      </w:r>
      <w:r>
        <w:rPr>
          <w:rFonts w:eastAsia="仿宋_GB2312"/>
          <w:sz w:val="32"/>
        </w:rPr>
        <w:t>5</w:t>
      </w:r>
      <w:r>
        <w:rPr>
          <w:rFonts w:hint="eastAsia" w:eastAsia="仿宋_GB2312"/>
          <w:sz w:val="32"/>
        </w:rPr>
        <w:t>0%给予补贴，租赁和装修补贴面积最高支持2000平方米，最多连续支持3年。租赁和装修补贴不得同时享受，从优不重复。</w:t>
      </w:r>
    </w:p>
    <w:p>
      <w:pPr>
        <w:numPr>
          <w:ilvl w:val="0"/>
          <w:numId w:val="1"/>
        </w:numPr>
        <w:spacing w:line="600" w:lineRule="exact"/>
        <w:ind w:firstLine="642" w:firstLineChars="200"/>
      </w:pPr>
      <w:r>
        <w:rPr>
          <w:rFonts w:hint="eastAsia" w:eastAsia="仿宋_GB2312"/>
          <w:b/>
          <w:bCs/>
          <w:sz w:val="32"/>
        </w:rPr>
        <w:t>支持重大活动举办。</w:t>
      </w:r>
      <w:r>
        <w:rPr>
          <w:rFonts w:hint="eastAsia" w:eastAsia="仿宋_GB2312"/>
          <w:sz w:val="32"/>
        </w:rPr>
        <w:t>支持企业在先行区举办具有国际、全国影响力的数据要素相关峰会论坛、展览展示、创新创业大赛等活动，开展数据要素相关培训。对事前认定备案的重大活动，对活动期间发生的场租费、会议服务费给予补贴，单个申报主体年度给予最高补贴100万元。</w:t>
      </w:r>
    </w:p>
    <w:p>
      <w:pPr>
        <w:spacing w:line="600" w:lineRule="exact"/>
        <w:ind w:firstLine="640" w:firstLineChars="200"/>
        <w:rPr>
          <w:rFonts w:hint="eastAsia" w:eastAsia="仿宋_GB2312"/>
          <w:b/>
          <w:bCs/>
          <w:sz w:val="32"/>
        </w:rPr>
      </w:pPr>
      <w:r>
        <w:rPr>
          <w:rFonts w:eastAsia="仿宋_GB2312"/>
          <w:bCs/>
          <w:sz w:val="32"/>
        </w:rPr>
        <w:t>本措施</w:t>
      </w:r>
      <w:r>
        <w:rPr>
          <w:rFonts w:hint="eastAsia" w:eastAsia="仿宋_GB2312"/>
          <w:bCs/>
          <w:sz w:val="32"/>
        </w:rPr>
        <w:t>自发布之日起实施，</w:t>
      </w:r>
      <w:r>
        <w:rPr>
          <w:rFonts w:eastAsia="仿宋_GB2312"/>
          <w:bCs/>
          <w:sz w:val="32"/>
        </w:rPr>
        <w:t>由</w:t>
      </w:r>
      <w:r>
        <w:rPr>
          <w:rFonts w:hint="eastAsia" w:eastAsia="仿宋_GB2312"/>
          <w:bCs/>
          <w:sz w:val="32"/>
          <w:lang w:val="en-US" w:eastAsia="zh-CN"/>
        </w:rPr>
        <w:t>北京市</w:t>
      </w:r>
      <w:r>
        <w:rPr>
          <w:rFonts w:hint="eastAsia" w:eastAsia="仿宋_GB2312"/>
          <w:bCs/>
          <w:sz w:val="32"/>
        </w:rPr>
        <w:t>通州区经济</w:t>
      </w:r>
      <w:r>
        <w:rPr>
          <w:rFonts w:hint="eastAsia" w:eastAsia="仿宋_GB2312"/>
          <w:bCs/>
          <w:sz w:val="32"/>
          <w:lang w:val="en-US" w:eastAsia="zh-CN"/>
        </w:rPr>
        <w:t>和</w:t>
      </w:r>
      <w:r>
        <w:rPr>
          <w:rFonts w:hint="eastAsia" w:eastAsia="仿宋_GB2312"/>
          <w:bCs/>
          <w:sz w:val="32"/>
        </w:rPr>
        <w:t>信息化</w:t>
      </w:r>
      <w:r>
        <w:rPr>
          <w:rFonts w:eastAsia="仿宋_GB2312"/>
          <w:bCs/>
          <w:sz w:val="32"/>
        </w:rPr>
        <w:t>局负责解释。</w:t>
      </w:r>
      <w:r>
        <w:rPr>
          <w:rFonts w:hint="eastAsia" w:eastAsia="仿宋_GB2312"/>
          <w:bCs/>
          <w:sz w:val="32"/>
        </w:rPr>
        <w:t>企业</w:t>
      </w:r>
      <w:r>
        <w:rPr>
          <w:rFonts w:eastAsia="仿宋_GB2312"/>
          <w:bCs/>
          <w:sz w:val="32"/>
        </w:rPr>
        <w:t>的同一项目、同一事项同时符合本措施和</w:t>
      </w:r>
      <w:r>
        <w:rPr>
          <w:rFonts w:hint="eastAsia" w:eastAsia="仿宋_GB2312"/>
          <w:bCs/>
          <w:sz w:val="32"/>
        </w:rPr>
        <w:t>通州</w:t>
      </w:r>
      <w:r>
        <w:rPr>
          <w:rFonts w:eastAsia="仿宋_GB2312"/>
          <w:bCs/>
          <w:sz w:val="32"/>
        </w:rPr>
        <w:t>区其他专项支持政策的，按照从高从优不重复的原则给予支持。</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onsolas">
    <w:altName w:val="Noto Sans Mono"/>
    <w:panose1 w:val="020B0609020204030204"/>
    <w:charset w:val="00"/>
    <w:family w:val="modern"/>
    <w:pitch w:val="default"/>
    <w:sig w:usb0="E00006FF" w:usb1="0000FCFF" w:usb2="00000001" w:usb3="00000000" w:csb0="6000019F" w:csb1="DFD70000"/>
  </w:font>
  <w:font w:name="Lucida Grande">
    <w:altName w:val="汉仪叶叶相思体简"/>
    <w:panose1 w:val="00000000000000000000"/>
    <w:charset w:val="00"/>
    <w:family w:val="auto"/>
    <w:pitch w:val="default"/>
    <w:sig w:usb0="00000000" w:usb1="00000000" w:usb2="00000000" w:usb3="00000000" w:csb0="00000001" w:csb1="00000000"/>
  </w:font>
  <w:font w:name="ヒラギノ角ゴ Pro W3">
    <w:altName w:val="汉仪中秀体简"/>
    <w:panose1 w:val="00000000000000000000"/>
    <w:charset w:val="00"/>
    <w:family w:val="roman"/>
    <w:pitch w:val="default"/>
    <w:sig w:usb0="00000000" w:usb1="00000000" w:usb2="00000010" w:usb3="00000000" w:csb0="0008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宋体"/>
    <w:panose1 w:val="02010600030101010101"/>
    <w:charset w:val="00"/>
    <w:family w:val="auto"/>
    <w:pitch w:val="default"/>
    <w:sig w:usb0="A00002BF" w:usb1="38CF7CFA" w:usb2="00000016" w:usb3="00000000" w:csb0="0004000F" w:csb1="00000000"/>
  </w:font>
  <w:font w:name="DejaVu Sans">
    <w:panose1 w:val="020B0603030804020204"/>
    <w:charset w:val="00"/>
    <w:family w:val="auto"/>
    <w:pitch w:val="default"/>
    <w:sig w:usb0="E7006EFF" w:usb1="D200FDFF" w:usb2="0A246029" w:usb3="0400200C" w:csb0="600001FF" w:csb1="DFFF0000"/>
  </w:font>
  <w:font w:name="Noto Sans Mono">
    <w:panose1 w:val="020B0509040504020204"/>
    <w:charset w:val="00"/>
    <w:family w:val="auto"/>
    <w:pitch w:val="default"/>
    <w:sig w:usb0="E00002FF" w:usb1="4200FCFF" w:usb2="08000039" w:usb3="00100000" w:csb0="0000019F" w:csb1="DFD70000"/>
  </w:font>
  <w:font w:name="汉仪叶叶相思体简">
    <w:panose1 w:val="02010509060101010101"/>
    <w:charset w:val="86"/>
    <w:family w:val="auto"/>
    <w:pitch w:val="default"/>
    <w:sig w:usb0="00000001" w:usb1="080E0000" w:usb2="00000000" w:usb3="00000000" w:csb0="00040000" w:csb1="00000000"/>
  </w:font>
  <w:font w:name="汉仪中秀体简">
    <w:panose1 w:val="00020600040101010101"/>
    <w:charset w:val="86"/>
    <w:family w:val="auto"/>
    <w:pitch w:val="default"/>
    <w:sig w:usb0="A00002BF" w:usb1="1A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- 5 -</w:t>
                          </w:r>
                          <w:r>
                            <w:rPr>
                              <w:rFonts w:hint="eastAsia" w:ascii="宋体" w:hAnsi="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7"/>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- 5 -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7B5E56"/>
    <w:multiLevelType w:val="singleLevel"/>
    <w:tmpl w:val="D37B5E56"/>
    <w:lvl w:ilvl="0" w:tentative="0">
      <w:start w:val="1"/>
      <w:numFmt w:val="chineseCounting"/>
      <w:suff w:val="space"/>
      <w:lvlText w:val="第%1条"/>
      <w:lvlJc w:val="left"/>
      <w:rPr>
        <w:rFonts w:hint="eastAsia" w:ascii="仿宋_GB2312" w:hAnsi="仿宋_GB2312" w:eastAsia="仿宋_GB2312" w:cs="仿宋_GB2312"/>
        <w:b/>
        <w:bCs/>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TrueTypeFonts/>
  <w:saveSubsetFonts/>
  <w:bordersDoNotSurroundHeader w:val="false"/>
  <w:bordersDoNotSurroundFooter w:val="false"/>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kMTI3YTVhODg3MmI5MGY2YTFjMmI2Y2QxODM5MjgifQ=="/>
  </w:docVars>
  <w:rsids>
    <w:rsidRoot w:val="00374A51"/>
    <w:rsid w:val="000124EF"/>
    <w:rsid w:val="000C72F8"/>
    <w:rsid w:val="001C4773"/>
    <w:rsid w:val="001D4C91"/>
    <w:rsid w:val="001D5365"/>
    <w:rsid w:val="001D5663"/>
    <w:rsid w:val="002B7BF2"/>
    <w:rsid w:val="002F6A2E"/>
    <w:rsid w:val="00307EDD"/>
    <w:rsid w:val="00374A51"/>
    <w:rsid w:val="003F66BC"/>
    <w:rsid w:val="004C7F63"/>
    <w:rsid w:val="005D43A5"/>
    <w:rsid w:val="00617D3A"/>
    <w:rsid w:val="007428D3"/>
    <w:rsid w:val="007A469F"/>
    <w:rsid w:val="009269E1"/>
    <w:rsid w:val="00974938"/>
    <w:rsid w:val="009A7BD2"/>
    <w:rsid w:val="009B200D"/>
    <w:rsid w:val="00A22A72"/>
    <w:rsid w:val="00AA53C9"/>
    <w:rsid w:val="00AD1F9A"/>
    <w:rsid w:val="00B35C86"/>
    <w:rsid w:val="00C109F8"/>
    <w:rsid w:val="00C17C49"/>
    <w:rsid w:val="00CC1125"/>
    <w:rsid w:val="00CE2883"/>
    <w:rsid w:val="00D03F66"/>
    <w:rsid w:val="00D20207"/>
    <w:rsid w:val="00D30AC7"/>
    <w:rsid w:val="00DD0A42"/>
    <w:rsid w:val="00EC4DCF"/>
    <w:rsid w:val="00EE68F4"/>
    <w:rsid w:val="01B3097E"/>
    <w:rsid w:val="02D71A3F"/>
    <w:rsid w:val="03231B33"/>
    <w:rsid w:val="05B31869"/>
    <w:rsid w:val="05C43A86"/>
    <w:rsid w:val="06874187"/>
    <w:rsid w:val="07120590"/>
    <w:rsid w:val="07936827"/>
    <w:rsid w:val="07A86AAB"/>
    <w:rsid w:val="08886B56"/>
    <w:rsid w:val="08C4781B"/>
    <w:rsid w:val="0A031866"/>
    <w:rsid w:val="0A3E4216"/>
    <w:rsid w:val="0A6062F8"/>
    <w:rsid w:val="0BC639A4"/>
    <w:rsid w:val="0DB25F8E"/>
    <w:rsid w:val="0DD47955"/>
    <w:rsid w:val="0DDB11B4"/>
    <w:rsid w:val="0E5C239D"/>
    <w:rsid w:val="0F4C3D1B"/>
    <w:rsid w:val="12051CE4"/>
    <w:rsid w:val="128A6264"/>
    <w:rsid w:val="13D105E0"/>
    <w:rsid w:val="15C34610"/>
    <w:rsid w:val="16796659"/>
    <w:rsid w:val="17CF598E"/>
    <w:rsid w:val="17EB41B1"/>
    <w:rsid w:val="18025577"/>
    <w:rsid w:val="185923B3"/>
    <w:rsid w:val="18B316F0"/>
    <w:rsid w:val="1ADE00A1"/>
    <w:rsid w:val="1AEE1E3E"/>
    <w:rsid w:val="1B1170AB"/>
    <w:rsid w:val="1C2416AE"/>
    <w:rsid w:val="1DE706A1"/>
    <w:rsid w:val="1DFB141B"/>
    <w:rsid w:val="1F303070"/>
    <w:rsid w:val="1F5C338E"/>
    <w:rsid w:val="1F697C7E"/>
    <w:rsid w:val="1F805A9E"/>
    <w:rsid w:val="21F3657C"/>
    <w:rsid w:val="22475E6D"/>
    <w:rsid w:val="22813210"/>
    <w:rsid w:val="23AB474B"/>
    <w:rsid w:val="2466763E"/>
    <w:rsid w:val="255C215A"/>
    <w:rsid w:val="26773DC1"/>
    <w:rsid w:val="280832E4"/>
    <w:rsid w:val="297A1BD8"/>
    <w:rsid w:val="2BF74104"/>
    <w:rsid w:val="2C3834D3"/>
    <w:rsid w:val="2CEA295E"/>
    <w:rsid w:val="2D5C6E9A"/>
    <w:rsid w:val="2D660613"/>
    <w:rsid w:val="2EE03D9B"/>
    <w:rsid w:val="303B3CC9"/>
    <w:rsid w:val="306C3C49"/>
    <w:rsid w:val="31C908DA"/>
    <w:rsid w:val="328A1DE5"/>
    <w:rsid w:val="33082D6B"/>
    <w:rsid w:val="330906F1"/>
    <w:rsid w:val="33156F19"/>
    <w:rsid w:val="332D7CE1"/>
    <w:rsid w:val="33B61ED2"/>
    <w:rsid w:val="342A66B7"/>
    <w:rsid w:val="344D6B74"/>
    <w:rsid w:val="376C68FE"/>
    <w:rsid w:val="378C5702"/>
    <w:rsid w:val="379929D2"/>
    <w:rsid w:val="37F7D75C"/>
    <w:rsid w:val="39AB5E03"/>
    <w:rsid w:val="3E9DB4DB"/>
    <w:rsid w:val="3F1B285B"/>
    <w:rsid w:val="3F665D98"/>
    <w:rsid w:val="3FEB6F5A"/>
    <w:rsid w:val="40713841"/>
    <w:rsid w:val="407E4ADB"/>
    <w:rsid w:val="409E3FCC"/>
    <w:rsid w:val="41F40370"/>
    <w:rsid w:val="43B85111"/>
    <w:rsid w:val="43C9553F"/>
    <w:rsid w:val="45046549"/>
    <w:rsid w:val="45D2255D"/>
    <w:rsid w:val="469D4DE0"/>
    <w:rsid w:val="46B66E96"/>
    <w:rsid w:val="46F95052"/>
    <w:rsid w:val="484F2CA0"/>
    <w:rsid w:val="48876D39"/>
    <w:rsid w:val="4893018E"/>
    <w:rsid w:val="4935353A"/>
    <w:rsid w:val="4A641D07"/>
    <w:rsid w:val="4BAFF03A"/>
    <w:rsid w:val="4D453A21"/>
    <w:rsid w:val="4EA50C1B"/>
    <w:rsid w:val="4FDF7555"/>
    <w:rsid w:val="51C41DEE"/>
    <w:rsid w:val="55A57C51"/>
    <w:rsid w:val="569C4802"/>
    <w:rsid w:val="587A5D8E"/>
    <w:rsid w:val="58BC523B"/>
    <w:rsid w:val="5A1E264E"/>
    <w:rsid w:val="5A517CD2"/>
    <w:rsid w:val="5AF44976"/>
    <w:rsid w:val="5B402790"/>
    <w:rsid w:val="5BAB4FC3"/>
    <w:rsid w:val="5DD31955"/>
    <w:rsid w:val="5E8D3467"/>
    <w:rsid w:val="5F881C77"/>
    <w:rsid w:val="5FB143AB"/>
    <w:rsid w:val="616D6B28"/>
    <w:rsid w:val="61CE6391"/>
    <w:rsid w:val="646E2E54"/>
    <w:rsid w:val="647D06A9"/>
    <w:rsid w:val="6558033E"/>
    <w:rsid w:val="655D7702"/>
    <w:rsid w:val="665743F2"/>
    <w:rsid w:val="672202A9"/>
    <w:rsid w:val="67FFC925"/>
    <w:rsid w:val="69DEA8BD"/>
    <w:rsid w:val="6DB86060"/>
    <w:rsid w:val="6EC04F21"/>
    <w:rsid w:val="6EDA28D8"/>
    <w:rsid w:val="6EDA5EFA"/>
    <w:rsid w:val="6EDA7094"/>
    <w:rsid w:val="6FFE1AE2"/>
    <w:rsid w:val="70EE7126"/>
    <w:rsid w:val="7239509A"/>
    <w:rsid w:val="730158F4"/>
    <w:rsid w:val="73315FAA"/>
    <w:rsid w:val="73396E0C"/>
    <w:rsid w:val="735465E8"/>
    <w:rsid w:val="73BF3AF6"/>
    <w:rsid w:val="740B59F7"/>
    <w:rsid w:val="7467234B"/>
    <w:rsid w:val="75680A69"/>
    <w:rsid w:val="77AB37E2"/>
    <w:rsid w:val="78FD6C91"/>
    <w:rsid w:val="7A1D648A"/>
    <w:rsid w:val="7BFD8442"/>
    <w:rsid w:val="7C34248C"/>
    <w:rsid w:val="7D2448DB"/>
    <w:rsid w:val="7D57A206"/>
    <w:rsid w:val="7D6722A4"/>
    <w:rsid w:val="7DBE1842"/>
    <w:rsid w:val="7DFB752E"/>
    <w:rsid w:val="7EE45E1C"/>
    <w:rsid w:val="7FFFC6FB"/>
    <w:rsid w:val="973E530E"/>
    <w:rsid w:val="B5C3AC09"/>
    <w:rsid w:val="B8FB51B5"/>
    <w:rsid w:val="BF8D815E"/>
    <w:rsid w:val="CF2D75B0"/>
    <w:rsid w:val="DCF6E74C"/>
    <w:rsid w:val="DF7FC61F"/>
    <w:rsid w:val="E7DF513A"/>
    <w:rsid w:val="EB3E7592"/>
    <w:rsid w:val="F76F9FB1"/>
    <w:rsid w:val="F99FF671"/>
    <w:rsid w:val="FBFE7C01"/>
    <w:rsid w:val="FCD733FB"/>
    <w:rsid w:val="FFED3E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11">
    <w:name w:val="Default Paragraph Font"/>
    <w:semiHidden/>
    <w:uiPriority w:val="0"/>
  </w:style>
  <w:style w:type="table" w:default="1" w:styleId="9">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9"/>
      <w:tblCellMar>
        <w:top w:w="0" w:type="dxa"/>
        <w:left w:w="108" w:type="dxa"/>
        <w:bottom w:w="0" w:type="dxa"/>
        <w:right w:w="108" w:type="dxa"/>
      </w:tblCellMar>
    </w:tblPr>
  </w:style>
  <w:style w:type="paragraph" w:styleId="2">
    <w:name w:val="index 9"/>
    <w:basedOn w:val="1"/>
    <w:next w:val="1"/>
    <w:qFormat/>
    <w:uiPriority w:val="0"/>
    <w:pPr>
      <w:spacing w:line="560" w:lineRule="exact"/>
      <w:ind w:left="0" w:leftChars="0" w:firstLine="800" w:firstLineChars="200"/>
      <w:jc w:val="left"/>
    </w:pPr>
    <w:rPr>
      <w:rFonts w:ascii="Calibri" w:hAnsi="Calibri" w:eastAsia="仿宋_GB2312"/>
      <w:sz w:val="32"/>
    </w:rPr>
  </w:style>
  <w:style w:type="paragraph" w:styleId="3">
    <w:name w:val="annotation text"/>
    <w:basedOn w:val="1"/>
    <w:unhideWhenUsed/>
    <w:qFormat/>
    <w:uiPriority w:val="0"/>
    <w:pPr>
      <w:spacing w:line="240" w:lineRule="atLeast"/>
      <w:jc w:val="left"/>
    </w:pPr>
    <w:rPr>
      <w:rFonts w:eastAsia="仿宋_GB2312"/>
      <w:spacing w:val="-6"/>
      <w:sz w:val="32"/>
      <w:szCs w:val="20"/>
    </w:rPr>
  </w:style>
  <w:style w:type="paragraph" w:styleId="4">
    <w:name w:val="Body Text"/>
    <w:basedOn w:val="1"/>
    <w:next w:val="5"/>
    <w:qFormat/>
    <w:uiPriority w:val="0"/>
    <w:pPr>
      <w:spacing w:after="120"/>
    </w:pPr>
  </w:style>
  <w:style w:type="paragraph" w:styleId="5">
    <w:name w:val="Body Text 2"/>
    <w:basedOn w:val="1"/>
    <w:qFormat/>
    <w:uiPriority w:val="0"/>
    <w:pPr>
      <w:spacing w:after="120" w:line="480" w:lineRule="auto"/>
    </w:pPr>
  </w:style>
  <w:style w:type="paragraph" w:styleId="6">
    <w:name w:val="Balloon Text"/>
    <w:basedOn w:val="1"/>
    <w:link w:val="18"/>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9"/>
    <w:uiPriority w:val="0"/>
    <w:pPr>
      <w:tabs>
        <w:tab w:val="center" w:pos="4153"/>
        <w:tab w:val="right" w:pos="8306"/>
      </w:tabs>
      <w:snapToGrid w:val="0"/>
      <w:jc w:val="center"/>
    </w:pPr>
    <w:rPr>
      <w:sz w:val="18"/>
      <w:szCs w:val="18"/>
    </w:rPr>
  </w:style>
  <w:style w:type="table" w:styleId="10">
    <w:name w:val="Table Grid"/>
    <w:basedOn w:val="9"/>
    <w:qFormat/>
    <w:uiPriority w:val="39"/>
    <w:rPr>
      <w:rFonts w:ascii="Calibri" w:hAnsi="Calibri" w:eastAsia="宋体" w:cs="Times New Roman"/>
      <w:kern w:val="2"/>
      <w:sz w:val="21"/>
      <w:szCs w:val="22"/>
    </w:r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bCs/>
    </w:rPr>
  </w:style>
  <w:style w:type="character" w:styleId="13">
    <w:name w:val="FollowedHyperlink"/>
    <w:uiPriority w:val="0"/>
    <w:rPr>
      <w:color w:val="2FA4E7"/>
      <w:u w:val="none"/>
    </w:rPr>
  </w:style>
  <w:style w:type="character" w:styleId="14">
    <w:name w:val="Emphasis"/>
    <w:qFormat/>
    <w:uiPriority w:val="0"/>
    <w:rPr>
      <w:i/>
      <w:iCs/>
    </w:rPr>
  </w:style>
  <w:style w:type="character" w:styleId="15">
    <w:name w:val="Hyperlink"/>
    <w:uiPriority w:val="0"/>
    <w:rPr>
      <w:color w:val="2FA4E7"/>
      <w:u w:val="none"/>
    </w:rPr>
  </w:style>
  <w:style w:type="character" w:styleId="16">
    <w:name w:val="HTML Code"/>
    <w:uiPriority w:val="0"/>
    <w:rPr>
      <w:rFonts w:ascii="Consolas" w:hAnsi="Consolas" w:eastAsia="Consolas" w:cs="Consolas"/>
      <w:color w:val="DD1144"/>
      <w:sz w:val="12"/>
      <w:szCs w:val="12"/>
      <w:bdr w:val="single" w:color="E1E1E8" w:sz="4" w:space="0"/>
      <w:shd w:val="clear" w:color="auto" w:fill="F7F7F9"/>
    </w:rPr>
  </w:style>
  <w:style w:type="character" w:styleId="17">
    <w:name w:val="HTML Cite"/>
    <w:uiPriority w:val="0"/>
  </w:style>
  <w:style w:type="character" w:customStyle="1" w:styleId="18">
    <w:name w:val="批注框文本 Char"/>
    <w:link w:val="6"/>
    <w:uiPriority w:val="0"/>
    <w:rPr>
      <w:kern w:val="2"/>
      <w:sz w:val="18"/>
      <w:szCs w:val="18"/>
    </w:rPr>
  </w:style>
  <w:style w:type="character" w:customStyle="1" w:styleId="19">
    <w:name w:val="页眉 Char"/>
    <w:link w:val="8"/>
    <w:uiPriority w:val="0"/>
    <w:rPr>
      <w:kern w:val="2"/>
      <w:sz w:val="18"/>
      <w:szCs w:val="18"/>
    </w:rPr>
  </w:style>
  <w:style w:type="paragraph" w:customStyle="1" w:styleId="20">
    <w:name w:val="列表段落1"/>
    <w:basedOn w:val="1"/>
    <w:qFormat/>
    <w:uiPriority w:val="0"/>
    <w:pPr>
      <w:spacing w:line="240" w:lineRule="atLeast"/>
      <w:ind w:firstLine="420"/>
    </w:pPr>
    <w:rPr>
      <w:rFonts w:ascii="Lucida Grande" w:hAnsi="Lucida Grande" w:eastAsia="ヒラギノ角ゴ Pro W3"/>
      <w:color w:val="000000"/>
      <w:spacing w:val="-6"/>
      <w:kern w:val="0"/>
      <w:sz w:val="20"/>
      <w:szCs w:val="20"/>
    </w:rPr>
  </w:style>
  <w:style w:type="character" w:customStyle="1" w:styleId="21">
    <w:name w:val="jbox-icon-loading"/>
    <w:uiPriority w:val="0"/>
  </w:style>
  <w:style w:type="character" w:customStyle="1" w:styleId="22">
    <w:name w:val="jbox-icon-none"/>
    <w:uiPriority w:val="0"/>
    <w:rPr>
      <w:vanish/>
    </w:rPr>
  </w:style>
  <w:style w:type="character" w:customStyle="1" w:styleId="23">
    <w:name w:val="first-child"/>
    <w:uiPriority w:val="0"/>
  </w:style>
  <w:style w:type="character" w:customStyle="1" w:styleId="24">
    <w:name w:val="jbox-icon-warning"/>
    <w:uiPriority w:val="0"/>
  </w:style>
  <w:style w:type="character" w:customStyle="1" w:styleId="25">
    <w:name w:val="jbox-icon-error"/>
    <w:uiPriority w:val="0"/>
  </w:style>
  <w:style w:type="character" w:customStyle="1" w:styleId="26">
    <w:name w:val="jbox-icon-question"/>
    <w:uiPriority w:val="0"/>
  </w:style>
  <w:style w:type="character" w:customStyle="1" w:styleId="27">
    <w:name w:val="jbox-icon-info"/>
    <w:uiPriority w:val="0"/>
  </w:style>
  <w:style w:type="character" w:customStyle="1" w:styleId="28">
    <w:name w:val="jbox-icon-success"/>
    <w:uiPriority w:val="0"/>
  </w:style>
  <w:style w:type="character" w:customStyle="1" w:styleId="29">
    <w:name w:val="jbox-icon"/>
    <w:uiPriority w:val="0"/>
  </w:style>
  <w:style w:type="character" w:customStyle="1" w:styleId="30">
    <w:name w:val="layui-layer-tabnow"/>
    <w:uiPriority w:val="0"/>
    <w:rPr>
      <w:bdr w:val="single" w:color="CCCCCC" w:sz="4" w:space="0"/>
      <w:shd w:val="clear" w:color="auto" w:fill="FFFFFF"/>
    </w:rPr>
  </w:style>
  <w:style w:type="character" w:customStyle="1" w:styleId="31">
    <w:name w:val="未处理的提及"/>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319</Words>
  <Characters>1824</Characters>
  <Lines>15</Lines>
  <Paragraphs>4</Paragraphs>
  <TotalTime>0</TotalTime>
  <ScaleCrop>false</ScaleCrop>
  <LinksUpToDate>false</LinksUpToDate>
  <CharactersWithSpaces>2139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2024-02-24T19:01:00Z</dcterms:created>
  <dc:creator>huang</dc:creator>
  <cp:lastModifiedBy>user</cp:lastModifiedBy>
  <cp:lastPrinted>2024-02-29T09:28:51Z</cp:lastPrinted>
  <dcterms:modified xsi:type="dcterms:W3CDTF">2024-03-05T09:26:46Z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8692C92D14504D45AD2F330A9A0C2647_13</vt:lpwstr>
  </property>
</Properties>
</file>