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pPr>
      <w:r>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t>关于《房山区四大产业集群示范应用场景建设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pPr>
      <w:r>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t>行动方案（2024-2026年）（征求意见稿）》的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pPr>
      <w:r>
        <w:rPr>
          <w:rFonts w:hint="eastAsia" w:ascii="方正小标宋简体" w:hAnsi="方正小标宋简体" w:eastAsia="方正小标宋简体" w:cs="方正小标宋简体"/>
          <w:b w:val="0"/>
          <w:bCs w:val="0"/>
          <w:i w:val="0"/>
          <w:iCs w:val="0"/>
          <w:color w:val="auto"/>
          <w:spacing w:val="-11"/>
          <w:sz w:val="44"/>
          <w:szCs w:val="44"/>
          <w:highlight w:val="none"/>
          <w:lang w:val="en-US" w:eastAsia="zh-CN"/>
        </w:rPr>
        <w:t>起草说明</w:t>
      </w:r>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val="en-US" w:eastAsia="zh-CN"/>
        </w:rPr>
        <w:t>为推动房山区应用场景建设工作实现创新突破，培育经济发展新动能，助力经济社会高质量发展，结合我区实际，区经济和信息化局起草了《房山区四大产业集群示范应用场景建设行动方案（2024-2026年）（征求意见稿）》（以下简称“《行动方案》”）。</w:t>
      </w:r>
      <w:r>
        <w:rPr>
          <w:rFonts w:hint="eastAsia" w:ascii="仿宋_GB2312" w:hAnsi="仿宋_GB2312" w:eastAsia="仿宋_GB2312" w:cs="仿宋_GB2312"/>
          <w:sz w:val="32"/>
          <w:szCs w:val="32"/>
          <w:lang w:eastAsia="zh-CN"/>
        </w:rPr>
        <w:t>现将有关情况说明如下：</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为全面贯彻落实</w:t>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color w:val="auto"/>
          <w:kern w:val="2"/>
          <w:sz w:val="32"/>
          <w:szCs w:val="32"/>
          <w:highlight w:val="none"/>
          <w:lang w:val="en-US" w:eastAsia="zh-CN" w:bidi="ar-SA"/>
        </w:rPr>
        <w:t>应用场景建设工作</w:t>
      </w:r>
      <w:r>
        <w:rPr>
          <w:rFonts w:hint="eastAsia" w:ascii="仿宋_GB2312" w:hAnsi="仿宋_GB2312" w:eastAsia="仿宋_GB2312" w:cs="仿宋_GB2312"/>
          <w:sz w:val="32"/>
          <w:szCs w:val="32"/>
          <w:lang w:eastAsia="zh-CN"/>
        </w:rPr>
        <w:t>的相关要求，</w:t>
      </w:r>
      <w:r>
        <w:rPr>
          <w:rFonts w:hint="eastAsia" w:ascii="仿宋_GB2312" w:hAnsi="仿宋_GB2312" w:eastAsia="仿宋_GB2312" w:cs="仿宋_GB2312"/>
          <w:color w:val="auto"/>
          <w:sz w:val="32"/>
          <w:szCs w:val="32"/>
          <w:highlight w:val="none"/>
          <w:lang w:val="en-US" w:eastAsia="zh-CN"/>
        </w:rPr>
        <w:t>促进新技术新产品新模式在我区产业转型升级中推广应用，为四大产业集群企业（项目）搭建应用场景，营造良好的营商环境，</w:t>
      </w:r>
      <w:r>
        <w:rPr>
          <w:rFonts w:hint="eastAsia" w:ascii="仿宋_GB2312" w:hAnsi="仿宋_GB2312" w:eastAsia="仿宋_GB2312" w:cs="仿宋_GB2312"/>
          <w:color w:val="auto"/>
          <w:kern w:val="2"/>
          <w:sz w:val="32"/>
          <w:szCs w:val="32"/>
          <w:highlight w:val="none"/>
          <w:lang w:val="en-US" w:eastAsia="zh-CN" w:bidi="ar-SA"/>
        </w:rPr>
        <w:t>深度结合我区产业发展实际和应用场景建设工作推进实际，形成了此《行动方案》。</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hAnsi="黑体" w:eastAsia="黑体"/>
          <w:sz w:val="32"/>
          <w:szCs w:val="32"/>
          <w:lang w:eastAsia="zh-CN"/>
        </w:rPr>
      </w:pPr>
      <w:r>
        <w:rPr>
          <w:rFonts w:hint="eastAsia" w:hAnsi="黑体" w:eastAsia="黑体"/>
          <w:sz w:val="32"/>
          <w:szCs w:val="32"/>
          <w:lang w:eastAsia="zh-CN"/>
        </w:rPr>
        <w:t>主要起草依据</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eastAsia="zh-CN"/>
        </w:rPr>
        <w:t>》的制定主要依据</w:t>
      </w:r>
      <w:r>
        <w:rPr>
          <w:rFonts w:hint="eastAsia" w:ascii="仿宋_GB2312" w:hAnsi="仿宋_GB2312" w:eastAsia="仿宋_GB2312" w:cs="仿宋_GB2312"/>
          <w:color w:val="auto"/>
          <w:kern w:val="2"/>
          <w:sz w:val="32"/>
          <w:szCs w:val="32"/>
          <w:highlight w:val="none"/>
          <w:lang w:val="en-US" w:eastAsia="zh-CN" w:bidi="ar-SA"/>
        </w:rPr>
        <w:t>《北京市加快应用场景建设推进首都高质量发展的工作方案》《北京市加快新场景建设培育数字经济新生态行动方案》《关于进一步加强北京市应用场景建设统筹建立全流程场景创新体系的工作方案》</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hAnsi="黑体" w:eastAsia="黑体"/>
          <w:sz w:val="32"/>
          <w:szCs w:val="32"/>
        </w:rPr>
      </w:pPr>
      <w:r>
        <w:rPr>
          <w:rFonts w:hint="eastAsia" w:hAnsi="黑体" w:eastAsia="黑体"/>
          <w:sz w:val="32"/>
          <w:szCs w:val="32"/>
        </w:rPr>
        <w:t>主要</w:t>
      </w:r>
      <w:r>
        <w:rPr>
          <w:rFonts w:hint="eastAsia" w:hAnsi="黑体" w:eastAsia="黑体"/>
          <w:sz w:val="32"/>
          <w:szCs w:val="32"/>
          <w:lang w:eastAsia="zh-CN"/>
        </w:rPr>
        <w:t>起草</w:t>
      </w:r>
      <w:r>
        <w:rPr>
          <w:rFonts w:hint="eastAsia" w:hAnsi="黑体" w:eastAsia="黑体"/>
          <w:sz w:val="32"/>
          <w:szCs w:val="32"/>
        </w:rPr>
        <w:t>内容</w:t>
      </w:r>
    </w:p>
    <w:p>
      <w:pPr>
        <w:pStyle w:val="2"/>
        <w:keepNext w:val="0"/>
        <w:keepLines w:val="0"/>
        <w:pageBreakBefore w:val="0"/>
        <w:widowControl w:val="0"/>
        <w:kinsoku/>
        <w:wordWrap/>
        <w:overflowPunct/>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《工作方案》共五</w:t>
      </w:r>
      <w:r>
        <w:rPr>
          <w:rFonts w:hint="eastAsia" w:ascii="仿宋_GB2312" w:hAnsi="仿宋_GB2312" w:eastAsia="仿宋_GB2312" w:cs="仿宋_GB2312"/>
          <w:color w:val="auto"/>
          <w:sz w:val="32"/>
          <w:szCs w:val="32"/>
          <w:highlight w:val="none"/>
        </w:rPr>
        <w:t>部分内容：</w:t>
      </w:r>
    </w:p>
    <w:p>
      <w:pPr>
        <w:pStyle w:val="2"/>
        <w:keepNext w:val="0"/>
        <w:keepLines w:val="0"/>
        <w:pageBreakBefore w:val="0"/>
        <w:widowControl w:val="0"/>
        <w:kinsoku/>
        <w:wordWrap/>
        <w:overflowPunct/>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第一部分，</w:t>
      </w:r>
      <w:r>
        <w:rPr>
          <w:rFonts w:hint="eastAsia" w:ascii="仿宋_GB2312" w:hAnsi="仿宋_GB2312" w:eastAsia="仿宋_GB2312" w:cs="仿宋_GB2312"/>
          <w:color w:val="auto"/>
          <w:sz w:val="32"/>
          <w:szCs w:val="32"/>
          <w:highlight w:val="none"/>
        </w:rPr>
        <w:t>介绍了总体</w:t>
      </w:r>
      <w:r>
        <w:rPr>
          <w:rFonts w:hint="eastAsia" w:ascii="仿宋_GB2312" w:hAnsi="仿宋_GB2312" w:eastAsia="仿宋_GB2312" w:cs="仿宋_GB2312"/>
          <w:color w:val="auto"/>
          <w:sz w:val="32"/>
          <w:szCs w:val="32"/>
          <w:highlight w:val="none"/>
          <w:lang w:val="en-US" w:eastAsia="zh-CN"/>
        </w:rPr>
        <w:t>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明确了指导思想、工作原则和</w:t>
      </w:r>
      <w:bookmarkStart w:id="0" w:name="_GoBack"/>
      <w:bookmarkEnd w:id="0"/>
      <w:r>
        <w:rPr>
          <w:rFonts w:hint="eastAsia" w:ascii="仿宋_GB2312" w:hAnsi="仿宋_GB2312" w:eastAsia="仿宋_GB2312" w:cs="仿宋_GB2312"/>
          <w:color w:val="auto"/>
          <w:sz w:val="32"/>
          <w:szCs w:val="32"/>
          <w:highlight w:val="none"/>
          <w:lang w:val="en-US" w:eastAsia="zh-CN"/>
        </w:rPr>
        <w:t>行动目标。</w:t>
      </w:r>
    </w:p>
    <w:p>
      <w:pPr>
        <w:pStyle w:val="2"/>
        <w:keepNext w:val="0"/>
        <w:keepLines w:val="0"/>
        <w:pageBreakBefore w:val="0"/>
        <w:widowControl w:val="0"/>
        <w:kinsoku/>
        <w:wordWrap/>
        <w:overflowPunct/>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第二部分，</w:t>
      </w:r>
      <w:r>
        <w:rPr>
          <w:rFonts w:hint="eastAsia" w:ascii="仿宋_GB2312" w:hAnsi="仿宋_GB2312" w:eastAsia="仿宋_GB2312" w:cs="仿宋_GB2312"/>
          <w:color w:val="auto"/>
          <w:sz w:val="32"/>
          <w:szCs w:val="32"/>
          <w:highlight w:val="none"/>
        </w:rPr>
        <w:t>介绍了重点应用场景建设领域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（一）新型储能与氢能产业领域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动新能源技术与新一代信息技术融合，发展储能电站、储能电池、储能系统、全彩光伏、地热能应用、能源小屋、综合智慧能源、核能等示范应用，鼓励能源服务商业运营模式，建设能源互联网平台，实现能源智慧化管理；推进以氢能为代表的新型能源材料，加强燃料电池系统、固定式发电系统、规模化低成本储氢等技术研发，打造氢能源制备、纯化、储运氢能源供给体系。围绕氢能制、储、运、加环节，发展相关装备和材料的研发、产业化，提升氢能检验检测技术。推进加氢站规划建设及新型储能电站、固定式氢能发电系统建设，鼓励开展示范应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先进基础与关键战略材料产业领域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做精做专存量优势领域，着力推动石化合成材料改性升级，培育发展以氢能为代表的新型能源材料、以石墨烯为代表的纳米材料和以新型显示材料为主的电子信息材料，以关键技术创新和下游应用推广为突破口，推动与城区优质资源协同创新，积极承接科技成果转化，促进服务与制造融合互动，加快新材料产业高端化、聚集化、协同化、绿色化发展，形成一批技术应用解决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（三）智能制造与网联汽车产业领域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标北京市制造业数字化、智能化、绿色化改造提升计划，聚焦智能应急装备、先进轨道交通装备以及新能源智能网联汽车等领域，以高端制造关键技术突破和产品研发为引领，以产业链补链、强链为着力点，瞄准有应用研发、中试、初步产业化需求的高速成长企业，重点关注整机生产制造环节，延伸研发设计、应用服务等环节，打造5G自动驾驶、无人机、轨道交通装备、新能源汽车等产业包含研发设计、检验检测、小试、轻型装备中试、体验展示、运营服务、小规模生产等环节的智能装备产业集群，推进中关村智能应急装备产业园建设，着力聚集产业链上下游企业，打造产业链条上的场景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（四）智慧医工服务产业领域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以医工交叉为引领，围绕研发、装备、应用、运营、服务等环节，推进医学与工程技术、信息技术、材料技术的交叉融合，推动医学工程交叉前沿领域研究探索和成果转化。</w:t>
      </w:r>
      <w:r>
        <w:rPr>
          <w:rFonts w:hint="eastAsia" w:ascii="仿宋_GB2312" w:hAnsi="Times New Roman" w:eastAsia="仿宋_GB2312"/>
          <w:color w:val="auto"/>
          <w:sz w:val="32"/>
          <w:szCs w:val="32"/>
        </w:rPr>
        <w:t>积极引导制造环节与健康服务环节融合互动，</w:t>
      </w:r>
      <w:r>
        <w:rPr>
          <w:rFonts w:hint="eastAsia" w:ascii="仿宋_GB2312" w:hAnsi="Times New Roman" w:eastAsia="仿宋_GB2312"/>
          <w:color w:val="auto"/>
          <w:sz w:val="32"/>
          <w:szCs w:val="32"/>
          <w:lang w:val="en-US" w:eastAsia="zh-CN"/>
        </w:rPr>
        <w:t>深入推动</w:t>
      </w:r>
      <w:r>
        <w:rPr>
          <w:rFonts w:hint="eastAsia" w:ascii="仿宋_GB2312" w:eastAsia="仿宋_GB2312"/>
          <w:color w:val="auto"/>
          <w:sz w:val="32"/>
          <w:szCs w:val="32"/>
          <w:lang w:val="en-US" w:eastAsia="zh-CN"/>
        </w:rPr>
        <w:t>高端医疗器械、中医药、智慧医疗、智慧健康等</w:t>
      </w:r>
      <w:r>
        <w:rPr>
          <w:rFonts w:hint="eastAsia" w:ascii="仿宋_GB2312" w:eastAsia="仿宋_GB2312"/>
          <w:color w:val="auto"/>
          <w:sz w:val="32"/>
          <w:szCs w:val="32"/>
        </w:rPr>
        <w:t>领域创新发展，建立体系完整、结构优化</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特色突出</w:t>
      </w:r>
      <w:r>
        <w:rPr>
          <w:rFonts w:hint="eastAsia" w:ascii="仿宋_GB2312" w:eastAsia="仿宋_GB2312"/>
          <w:color w:val="auto"/>
          <w:sz w:val="32"/>
          <w:szCs w:val="32"/>
        </w:rPr>
        <w:t>的医药健康产业体系</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重点发展突破性创新药品、创新医疗器械、新型人工智能产品、干细胞治疗等新型技术，推动政府采购及临床示范应用。</w:t>
      </w:r>
    </w:p>
    <w:p>
      <w:pPr>
        <w:pStyle w:val="2"/>
        <w:keepNext w:val="0"/>
        <w:keepLines w:val="0"/>
        <w:pageBreakBefore w:val="0"/>
        <w:widowControl w:val="0"/>
        <w:kinsoku/>
        <w:wordWrap/>
        <w:overflowPunct/>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第三部分，</w:t>
      </w:r>
      <w:r>
        <w:rPr>
          <w:rFonts w:hint="eastAsia" w:ascii="仿宋_GB2312" w:hAnsi="仿宋_GB2312" w:eastAsia="仿宋_GB2312" w:cs="仿宋_GB2312"/>
          <w:color w:val="auto"/>
          <w:sz w:val="32"/>
          <w:szCs w:val="32"/>
          <w:highlight w:val="none"/>
          <w:lang w:val="en-US" w:eastAsia="zh-CN"/>
        </w:rPr>
        <w:t>介绍了组织实施。</w:t>
      </w:r>
      <w:r>
        <w:rPr>
          <w:rFonts w:hint="eastAsia" w:ascii="仿宋_GB2312" w:hAnsi="仿宋_GB2312" w:eastAsia="仿宋_GB2312" w:cs="仿宋_GB2312"/>
          <w:color w:val="auto"/>
          <w:sz w:val="32"/>
          <w:szCs w:val="32"/>
        </w:rPr>
        <w:t>一是构建区级统筹协调机制，二是建立“场景管家”机制，三是谋划场景汇聚应用，四是组织对接推广与实施。</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第四部分，</w:t>
      </w:r>
      <w:r>
        <w:rPr>
          <w:rFonts w:hint="eastAsia" w:ascii="仿宋_GB2312" w:hAnsi="仿宋_GB2312" w:eastAsia="仿宋_GB2312" w:cs="仿宋_GB2312"/>
          <w:color w:val="auto"/>
          <w:sz w:val="32"/>
          <w:szCs w:val="32"/>
          <w:lang w:val="en-US" w:eastAsia="zh-CN"/>
        </w:rPr>
        <w:t>介绍了保障措施。一是持续挖掘政府场景需求，二是激发企业场景创新能力，三是加大应用场景宣传推广。</w:t>
      </w:r>
    </w:p>
    <w:p>
      <w:pPr>
        <w:ind w:firstLine="643" w:firstLineChars="200"/>
        <w:rPr>
          <w:rFonts w:hint="default" w:eastAsia="仿宋_GB2312"/>
          <w:lang w:val="en-US" w:eastAsia="zh-CN"/>
        </w:rPr>
      </w:pPr>
      <w:r>
        <w:rPr>
          <w:rFonts w:hint="eastAsia" w:ascii="仿宋_GB2312" w:hAnsi="仿宋_GB2312" w:eastAsia="仿宋_GB2312" w:cs="仿宋_GB2312"/>
          <w:b/>
          <w:bCs/>
          <w:color w:val="auto"/>
          <w:sz w:val="32"/>
          <w:szCs w:val="32"/>
          <w:lang w:val="en-US" w:eastAsia="zh-CN"/>
        </w:rPr>
        <w:t>第五部分，</w:t>
      </w:r>
      <w:r>
        <w:rPr>
          <w:rFonts w:hint="eastAsia" w:ascii="仿宋_GB2312" w:hAnsi="仿宋_GB2312" w:eastAsia="仿宋_GB2312" w:cs="仿宋_GB2312"/>
          <w:color w:val="auto"/>
          <w:sz w:val="32"/>
          <w:szCs w:val="32"/>
          <w:lang w:val="en-US" w:eastAsia="zh-CN"/>
        </w:rPr>
        <w:t>以区经济和信息化局名义印发，适时调整。</w:t>
      </w:r>
    </w:p>
    <w:p/>
    <w:sectPr>
      <w:footerReference r:id="rId3" w:type="default"/>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CFBDC"/>
    <w:multiLevelType w:val="singleLevel"/>
    <w:tmpl w:val="C56CFBDC"/>
    <w:lvl w:ilvl="0" w:tentative="0">
      <w:start w:val="2"/>
      <w:numFmt w:val="chineseCounting"/>
      <w:suff w:val="nothing"/>
      <w:lvlText w:val="（%1）"/>
      <w:lvlJc w:val="left"/>
      <w:rPr>
        <w:rFonts w:hint="eastAsia"/>
      </w:rPr>
    </w:lvl>
  </w:abstractNum>
  <w:abstractNum w:abstractNumId="1">
    <w:nsid w:val="6549A07E"/>
    <w:multiLevelType w:val="singleLevel"/>
    <w:tmpl w:val="6549A07E"/>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OTZjNmY0MDY3MjI2OWE4Y2IwNmI3ODE0NTNmMzcifQ=="/>
  </w:docVars>
  <w:rsids>
    <w:rsidRoot w:val="00000000"/>
    <w:rsid w:val="01967DCC"/>
    <w:rsid w:val="04473600"/>
    <w:rsid w:val="04A66578"/>
    <w:rsid w:val="06F6596C"/>
    <w:rsid w:val="09CA0A98"/>
    <w:rsid w:val="0D1F511A"/>
    <w:rsid w:val="0E6A2349"/>
    <w:rsid w:val="0F9811B3"/>
    <w:rsid w:val="1E960FB4"/>
    <w:rsid w:val="2B9E76FA"/>
    <w:rsid w:val="2DBF44D3"/>
    <w:rsid w:val="38B4055C"/>
    <w:rsid w:val="3CBE19AA"/>
    <w:rsid w:val="4033445D"/>
    <w:rsid w:val="432B58BF"/>
    <w:rsid w:val="4A1946C3"/>
    <w:rsid w:val="505E1082"/>
    <w:rsid w:val="58577CFB"/>
    <w:rsid w:val="5E162F9C"/>
    <w:rsid w:val="601E438A"/>
    <w:rsid w:val="63A66B70"/>
    <w:rsid w:val="69362744"/>
    <w:rsid w:val="6FAD1286"/>
    <w:rsid w:val="772C5186"/>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rPr>
      <w:rFonts w:ascii="Times New Roman" w:hAnsi="Times New Roman" w:eastAsia="宋体" w:cs="Times New Roman"/>
      <w:szCs w:val="20"/>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2024-02-23T02:28:00Z</dcterms:created>
  <dc:creator>Administrator</dc:creator>
  <cp:lastModifiedBy>夏天</cp:lastModifiedBy>
  <dcterms:modified xsi:type="dcterms:W3CDTF">2024-02-23T08:57:36Z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794A69D5A32B4DCCB5D5434CF7F9831F_12</vt:lpwstr>
  </property>
</Properties>
</file>