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黑体" w:hAnsi="黑体" w:eastAsia="黑体" w:cs="黑体"/>
          <w:color w:val="auto"/>
          <w:sz w:val="32"/>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Style w:val="6"/>
          <w:rFonts w:hint="eastAsia" w:ascii="方正小标宋简体" w:hAnsi="方正小标宋简体" w:eastAsia="方正小标宋简体" w:cs="方正小标宋简体"/>
          <w:b w:val="0"/>
          <w:bCs/>
          <w:color w:val="333333"/>
          <w:kern w:val="0"/>
          <w:sz w:val="44"/>
          <w:szCs w:val="44"/>
          <w:shd w:val="clear" w:color="auto" w:fill="FFFFFF"/>
          <w:lang w:val="en-US" w:eastAsia="zh-CN" w:bidi="ar"/>
        </w:rPr>
        <w:t>《</w:t>
      </w:r>
      <w:r>
        <w:rPr>
          <w:rFonts w:hint="eastAsia" w:ascii="方正小标宋简体" w:hAnsi="方正小标宋简体" w:eastAsia="方正小标宋简体" w:cs="方正小标宋简体"/>
          <w:sz w:val="44"/>
          <w:szCs w:val="44"/>
          <w:lang w:eastAsia="zh-CN"/>
        </w:rPr>
        <w:t>北京市通州区</w:t>
      </w:r>
      <w:r>
        <w:rPr>
          <w:rFonts w:hint="eastAsia" w:ascii="方正小标宋简体" w:hAnsi="方正小标宋简体" w:eastAsia="方正小标宋简体" w:cs="方正小标宋简体"/>
          <w:sz w:val="44"/>
          <w:szCs w:val="44"/>
          <w:lang w:val="en-US" w:eastAsia="zh-CN"/>
        </w:rPr>
        <w:t>国家</w:t>
      </w:r>
      <w:r>
        <w:rPr>
          <w:rFonts w:hint="eastAsia" w:ascii="方正小标宋简体" w:hAnsi="方正小标宋简体" w:eastAsia="方正小标宋简体" w:cs="方正小标宋简体"/>
          <w:sz w:val="44"/>
          <w:szCs w:val="44"/>
        </w:rPr>
        <w:t>知识产权</w:t>
      </w:r>
      <w:r>
        <w:rPr>
          <w:rFonts w:hint="eastAsia" w:ascii="方正小标宋简体" w:hAnsi="方正小标宋简体" w:eastAsia="方正小标宋简体" w:cs="方正小标宋简体"/>
          <w:sz w:val="44"/>
          <w:szCs w:val="44"/>
          <w:lang w:eastAsia="zh-CN"/>
        </w:rPr>
        <w:t>强市建设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b w:val="0"/>
          <w:bCs/>
          <w:color w:val="333333"/>
          <w:kern w:val="0"/>
          <w:sz w:val="44"/>
          <w:szCs w:val="44"/>
          <w:shd w:val="clear" w:color="auto" w:fill="FFFFFF"/>
          <w:lang w:val="en-US" w:eastAsia="zh-CN" w:bidi="ar"/>
        </w:rPr>
      </w:pPr>
      <w:r>
        <w:rPr>
          <w:rFonts w:hint="eastAsia" w:ascii="方正小标宋简体" w:hAnsi="方正小标宋简体" w:eastAsia="方正小标宋简体" w:cs="方正小标宋简体"/>
          <w:sz w:val="44"/>
          <w:szCs w:val="44"/>
        </w:rPr>
        <w:t>试点</w:t>
      </w:r>
      <w:r>
        <w:rPr>
          <w:rFonts w:hint="eastAsia" w:ascii="方正小标宋简体" w:hAnsi="方正小标宋简体" w:eastAsia="方正小标宋简体" w:cs="方正小标宋简体"/>
          <w:sz w:val="44"/>
          <w:szCs w:val="44"/>
          <w:lang w:eastAsia="zh-CN"/>
        </w:rPr>
        <w:t>城市</w:t>
      </w:r>
      <w:r>
        <w:rPr>
          <w:rFonts w:hint="eastAsia" w:ascii="方正小标宋简体" w:hAnsi="方正小标宋简体" w:eastAsia="方正小标宋简体" w:cs="方正小标宋简体"/>
          <w:sz w:val="44"/>
          <w:szCs w:val="44"/>
        </w:rPr>
        <w:t>工作方案</w:t>
      </w:r>
      <w:r>
        <w:rPr>
          <w:rStyle w:val="6"/>
          <w:rFonts w:hint="eastAsia" w:ascii="方正小标宋简体" w:hAnsi="方正小标宋简体" w:eastAsia="方正小标宋简体" w:cs="方正小标宋简体"/>
          <w:b w:val="0"/>
          <w:bCs/>
          <w:color w:val="333333"/>
          <w:kern w:val="0"/>
          <w:sz w:val="44"/>
          <w:szCs w:val="44"/>
          <w:shd w:val="clear" w:color="auto" w:fill="FFFFFF"/>
          <w:lang w:val="en-US" w:eastAsia="zh-CN" w:bidi="ar"/>
        </w:rPr>
        <w:t>》起草说明</w:t>
      </w:r>
      <w:bookmarkEnd w:id="0"/>
    </w:p>
    <w:p>
      <w:pPr>
        <w:pStyle w:val="7"/>
        <w:rPr>
          <w:rStyle w:val="6"/>
          <w:rFonts w:hint="eastAsia" w:ascii="方正小标宋简体" w:hAnsi="方正小标宋简体" w:eastAsia="方正小标宋简体" w:cs="方正小标宋简体"/>
          <w:b w:val="0"/>
          <w:bCs/>
          <w:color w:val="333333"/>
          <w:kern w:val="0"/>
          <w:sz w:val="44"/>
          <w:szCs w:val="44"/>
          <w:shd w:val="clear" w:color="auto" w:fill="FFFFFF"/>
          <w:lang w:val="en-US" w:eastAsia="zh-CN" w:bidi="ar"/>
        </w:rPr>
      </w:pPr>
    </w:p>
    <w:p>
      <w:pPr>
        <w:numPr>
          <w:ilvl w:val="0"/>
          <w:numId w:val="0"/>
        </w:numPr>
        <w:ind w:firstLine="640" w:firstLineChars="200"/>
        <w:jc w:val="left"/>
        <w:rPr>
          <w:rFonts w:hint="eastAsia" w:ascii="黑体" w:hAnsi="黑体" w:eastAsia="黑体" w:cs="黑体"/>
          <w:color w:val="auto"/>
          <w:sz w:val="32"/>
          <w:szCs w:val="24"/>
          <w:lang w:val="en-US" w:eastAsia="zh-CN"/>
        </w:rPr>
      </w:pPr>
      <w:r>
        <w:rPr>
          <w:rFonts w:hint="eastAsia" w:ascii="黑体" w:hAnsi="黑体" w:eastAsia="黑体" w:cs="黑体"/>
          <w:color w:val="auto"/>
          <w:sz w:val="32"/>
          <w:szCs w:val="24"/>
          <w:lang w:val="en-US" w:eastAsia="zh-CN"/>
        </w:rPr>
        <w:t>一、制定背景</w:t>
      </w:r>
    </w:p>
    <w:p>
      <w:pPr>
        <w:pStyle w:val="7"/>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eastAsia="zh-CN"/>
        </w:rPr>
        <w:t>根据《国家知识产权局办公室关于面向城市、县域、园区开展知识产权强国建设试点示范评定工作的通知》（国知办函运字〔202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582</w:t>
      </w:r>
      <w:r>
        <w:rPr>
          <w:rFonts w:hint="eastAsia" w:ascii="仿宋" w:hAnsi="仿宋" w:eastAsia="仿宋" w:cs="仿宋"/>
          <w:sz w:val="32"/>
          <w:szCs w:val="32"/>
          <w:lang w:eastAsia="zh-CN"/>
        </w:rPr>
        <w:t xml:space="preserve"> 号）、《北京市知识产权局关于开展</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知识产权强国建设试点示范评定工作的通知》（京知局〔202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113</w:t>
      </w:r>
      <w:r>
        <w:rPr>
          <w:rFonts w:hint="eastAsia" w:ascii="仿宋" w:hAnsi="仿宋" w:eastAsia="仿宋" w:cs="仿宋"/>
          <w:sz w:val="32"/>
          <w:szCs w:val="32"/>
          <w:lang w:eastAsia="zh-CN"/>
        </w:rPr>
        <w:t xml:space="preserve"> 号），我区于</w:t>
      </w:r>
      <w:r>
        <w:rPr>
          <w:rFonts w:hint="eastAsia" w:ascii="仿宋" w:hAnsi="仿宋" w:eastAsia="仿宋" w:cs="仿宋"/>
          <w:sz w:val="32"/>
          <w:szCs w:val="32"/>
          <w:lang w:val="en-US" w:eastAsia="zh-CN"/>
        </w:rPr>
        <w:t>2023年9月申报国家知识产权强市建设试点城市，根据</w:t>
      </w:r>
      <w:r>
        <w:rPr>
          <w:rFonts w:hint="eastAsia" w:ascii="仿宋" w:hAnsi="仿宋" w:eastAsia="仿宋" w:cs="仿宋"/>
          <w:sz w:val="32"/>
          <w:szCs w:val="32"/>
          <w:lang w:eastAsia="zh-CN"/>
        </w:rPr>
        <w:t>《北京市知识产权局关于做好国家知识产权强市建设试点示范城市工作的函》（京知</w:t>
      </w:r>
      <w:r>
        <w:rPr>
          <w:rFonts w:hint="eastAsia" w:ascii="仿宋" w:hAnsi="仿宋" w:eastAsia="仿宋" w:cs="仿宋"/>
          <w:sz w:val="32"/>
          <w:szCs w:val="32"/>
          <w:lang w:val="en-US" w:eastAsia="zh-CN"/>
        </w:rPr>
        <w:t>局〔2024〕10号），明确我区被正式</w:t>
      </w:r>
      <w:r>
        <w:rPr>
          <w:rFonts w:hint="eastAsia" w:ascii="仿宋" w:hAnsi="仿宋" w:eastAsia="仿宋" w:cs="仿宋"/>
          <w:sz w:val="32"/>
          <w:szCs w:val="32"/>
          <w:lang w:eastAsia="zh-CN"/>
        </w:rPr>
        <w:t>确定为国家知识产权强市建设试点</w:t>
      </w:r>
      <w:r>
        <w:rPr>
          <w:rFonts w:hint="eastAsia" w:ascii="仿宋" w:hAnsi="仿宋" w:eastAsia="仿宋" w:cs="仿宋"/>
          <w:sz w:val="32"/>
          <w:szCs w:val="32"/>
          <w:lang w:val="en-US" w:eastAsia="zh-CN"/>
        </w:rPr>
        <w:t>城市，</w:t>
      </w:r>
      <w:r>
        <w:rPr>
          <w:rFonts w:hint="eastAsia" w:ascii="仿宋" w:hAnsi="仿宋" w:eastAsia="仿宋" w:cs="仿宋"/>
          <w:sz w:val="32"/>
          <w:szCs w:val="32"/>
          <w:lang w:eastAsia="zh-CN"/>
        </w:rPr>
        <w:t>试点时限自</w:t>
      </w:r>
      <w:r>
        <w:rPr>
          <w:rFonts w:hint="eastAsia" w:ascii="仿宋" w:hAnsi="仿宋" w:eastAsia="仿宋" w:cs="仿宋"/>
          <w:sz w:val="32"/>
          <w:szCs w:val="32"/>
          <w:lang w:val="en-US" w:eastAsia="zh-CN"/>
        </w:rPr>
        <w:t>2024年1月至2026年12月。</w:t>
      </w:r>
      <w:r>
        <w:rPr>
          <w:rFonts w:hint="eastAsia" w:ascii="仿宋" w:hAnsi="仿宋" w:eastAsia="仿宋" w:cs="仿宋"/>
          <w:sz w:val="32"/>
          <w:szCs w:val="32"/>
          <w:lang w:eastAsia="zh-CN"/>
        </w:rPr>
        <w:t>为认真贯彻落实《知识产权强国建设纲要（2021-2035 年）》和《“十四五”国家知识产权保护和运用规划》，</w:t>
      </w:r>
      <w:r>
        <w:rPr>
          <w:rFonts w:hint="eastAsia" w:ascii="仿宋" w:hAnsi="仿宋" w:eastAsia="仿宋" w:cs="仿宋"/>
          <w:sz w:val="32"/>
          <w:szCs w:val="32"/>
        </w:rPr>
        <w:t>做好国家知识产权</w:t>
      </w:r>
      <w:r>
        <w:rPr>
          <w:rFonts w:hint="eastAsia" w:ascii="仿宋" w:hAnsi="仿宋" w:eastAsia="仿宋" w:cs="仿宋"/>
          <w:sz w:val="32"/>
          <w:szCs w:val="32"/>
          <w:lang w:eastAsia="zh-CN"/>
        </w:rPr>
        <w:t>强市建设</w:t>
      </w:r>
      <w:r>
        <w:rPr>
          <w:rFonts w:hint="eastAsia" w:ascii="仿宋" w:hAnsi="仿宋" w:eastAsia="仿宋" w:cs="仿宋"/>
          <w:sz w:val="32"/>
          <w:szCs w:val="32"/>
        </w:rPr>
        <w:t>试点</w:t>
      </w:r>
      <w:r>
        <w:rPr>
          <w:rFonts w:hint="eastAsia" w:ascii="仿宋" w:hAnsi="仿宋" w:eastAsia="仿宋" w:cs="仿宋"/>
          <w:sz w:val="32"/>
          <w:szCs w:val="32"/>
          <w:lang w:eastAsia="zh-CN"/>
        </w:rPr>
        <w:t>城市</w:t>
      </w:r>
      <w:r>
        <w:rPr>
          <w:rFonts w:hint="eastAsia" w:ascii="仿宋" w:hAnsi="仿宋" w:eastAsia="仿宋" w:cs="仿宋"/>
          <w:sz w:val="32"/>
          <w:szCs w:val="32"/>
        </w:rPr>
        <w:t>各项工作</w:t>
      </w:r>
      <w:r>
        <w:rPr>
          <w:rFonts w:hint="eastAsia" w:ascii="仿宋" w:hAnsi="仿宋" w:eastAsia="仿宋" w:cs="仿宋"/>
          <w:sz w:val="32"/>
          <w:szCs w:val="32"/>
          <w:lang w:eastAsia="zh-CN"/>
        </w:rPr>
        <w:t>，全面提升我区知识产权创造、运用、保护、管理和服务水平，充分发挥知识产权对副中心经济建设的支撑和促进作用，建设高质量的知识产权强市试点城市，按照国家、北京市知识产权局的工作部署，</w:t>
      </w:r>
      <w:r>
        <w:rPr>
          <w:rFonts w:hint="eastAsia" w:ascii="仿宋" w:hAnsi="仿宋" w:eastAsia="仿宋" w:cs="仿宋"/>
          <w:sz w:val="32"/>
          <w:szCs w:val="32"/>
        </w:rPr>
        <w:t>结合我区实际，</w:t>
      </w:r>
      <w:r>
        <w:rPr>
          <w:rFonts w:hint="eastAsia" w:ascii="仿宋" w:hAnsi="仿宋" w:eastAsia="仿宋" w:cs="仿宋"/>
          <w:sz w:val="32"/>
          <w:szCs w:val="32"/>
          <w:lang w:eastAsia="zh-CN"/>
        </w:rPr>
        <w:t>起草本工作方案。</w:t>
      </w:r>
    </w:p>
    <w:p>
      <w:pPr>
        <w:pStyle w:val="7"/>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《方案》共分为四个部分。第一部分为指导思想，第二部分为总体目标，</w:t>
      </w:r>
      <w:r>
        <w:rPr>
          <w:rFonts w:hint="eastAsia" w:ascii="仿宋_GB2312" w:hAnsi="仿宋_GB2312" w:eastAsia="仿宋_GB2312" w:cs="仿宋_GB2312"/>
          <w:sz w:val="32"/>
          <w:szCs w:val="32"/>
        </w:rPr>
        <w:t>围绕国家知识产权</w:t>
      </w:r>
      <w:r>
        <w:rPr>
          <w:rFonts w:hint="eastAsia" w:ascii="仿宋_GB2312" w:hAnsi="仿宋_GB2312" w:eastAsia="仿宋_GB2312" w:cs="仿宋_GB2312"/>
          <w:sz w:val="32"/>
          <w:szCs w:val="32"/>
          <w:lang w:eastAsia="zh-CN"/>
        </w:rPr>
        <w:t>强国建设</w:t>
      </w:r>
      <w:r>
        <w:rPr>
          <w:rFonts w:hint="eastAsia" w:ascii="仿宋_GB2312" w:hAnsi="仿宋_GB2312" w:eastAsia="仿宋_GB2312" w:cs="仿宋_GB2312"/>
          <w:sz w:val="32"/>
          <w:szCs w:val="32"/>
        </w:rPr>
        <w:t>试点工作确定</w:t>
      </w:r>
      <w:r>
        <w:rPr>
          <w:rFonts w:hint="eastAsia" w:ascii="仿宋_GB2312" w:hAnsi="仿宋_GB2312" w:eastAsia="仿宋_GB2312" w:cs="仿宋_GB2312"/>
          <w:sz w:val="32"/>
          <w:szCs w:val="32"/>
          <w:lang w:eastAsia="zh-CN"/>
        </w:rPr>
        <w:t>五个方面</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val="en-US" w:eastAsia="zh-CN"/>
        </w:rPr>
        <w:t>分别是知识产权创造机制不断完善，知识产权运用机制不断优化，知识产权保护机制不断加强，知识产权管理机制不断健全，知识产权服务水平不断提升。第三部分为工作任务，共订立5个方面17项任务，涵盖了完善知识产权创造机制、优化知识产权运用机制、加强知识产权保护机制、健全知识产权管理机制、提升知识产权服务水平相关内容。第四部分为保障措施，强化联席会议作用、加强资金保障、开展工作考核等方面的要求。</w:t>
      </w:r>
    </w:p>
    <w:p>
      <w:pPr>
        <w:pStyle w:val="7"/>
        <w:ind w:firstLine="640" w:firstLineChars="200"/>
        <w:rPr>
          <w:rFonts w:hint="eastAsia" w:ascii="仿宋_GB2312" w:hAnsi="仿宋_GB2312" w:eastAsia="仿宋_GB2312" w:cs="仿宋_GB2312"/>
          <w:sz w:val="32"/>
          <w:szCs w:val="32"/>
          <w:lang w:val="en-US" w:eastAsia="zh-CN"/>
        </w:rPr>
      </w:pPr>
    </w:p>
    <w:p>
      <w:pPr>
        <w:pStyle w:val="7"/>
        <w:ind w:firstLine="640" w:firstLineChars="200"/>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kern w:val="2"/>
          <w:sz w:val="32"/>
          <w:szCs w:val="32"/>
          <w:lang w:val="en-US" w:eastAsia="zh-CN" w:bidi="ar-SA"/>
        </w:rPr>
      </w:pPr>
      <w:r>
        <w:rPr>
          <w:rFonts w:hint="eastAsia" w:ascii="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w:t>
      </w:r>
    </w:p>
    <w:p>
      <w:pPr>
        <w:ind w:left="6080" w:hanging="6080" w:hangingChars="19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通州区市场监督管理局                                             2024年2月9日</w:t>
      </w:r>
    </w:p>
    <w:p>
      <w:pPr>
        <w:pStyle w:val="8"/>
        <w:rPr>
          <w:rFonts w:hint="default" w:ascii="仿宋_GB2312"/>
          <w:sz w:val="32"/>
          <w:szCs w:val="32"/>
          <w:lang w:val="en-US" w:eastAsia="zh-CN"/>
        </w:rPr>
      </w:pPr>
    </w:p>
    <w:p>
      <w:pPr>
        <w:pStyle w:val="7"/>
        <w:ind w:firstLine="640" w:firstLineChars="200"/>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43CDB"/>
    <w:rsid w:val="1A426E93"/>
    <w:rsid w:val="1D860B2F"/>
    <w:rsid w:val="29036568"/>
    <w:rsid w:val="3C3B4C56"/>
    <w:rsid w:val="40743CDB"/>
    <w:rsid w:val="42BB3841"/>
    <w:rsid w:val="596F22E6"/>
    <w:rsid w:val="5E3B68A7"/>
    <w:rsid w:val="65A62730"/>
    <w:rsid w:val="6D71400C"/>
    <w:rsid w:val="6F61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outlineLvl w:val="2"/>
    </w:pPr>
    <w:rPr>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index 9"/>
    <w:basedOn w:val="1"/>
    <w:next w:val="1"/>
    <w:semiHidden/>
    <w:qFormat/>
    <w:uiPriority w:val="0"/>
    <w:pPr>
      <w:jc w:val="left"/>
    </w:pPr>
    <w:rPr>
      <w:rFonts w:ascii="仿宋_GB2312" w:eastAsia="仿宋_GB2312" w:cs="仿宋_GB2312"/>
      <w:sz w:val="32"/>
      <w:szCs w:val="32"/>
    </w:rPr>
  </w:style>
  <w:style w:type="character" w:styleId="6">
    <w:name w:val="Strong"/>
    <w:qFormat/>
    <w:uiPriority w:val="0"/>
    <w:rPr>
      <w:b/>
    </w:rPr>
  </w:style>
  <w:style w:type="paragraph" w:customStyle="1" w:styleId="7">
    <w:name w:val="BodyText"/>
    <w:basedOn w:val="1"/>
    <w:next w:val="8"/>
    <w:qFormat/>
    <w:uiPriority w:val="0"/>
    <w:pPr>
      <w:widowControl/>
    </w:pPr>
    <w:rPr>
      <w:rFonts w:ascii="Times New Roman" w:hAnsi="Times New Roman" w:eastAsia="楷体_GB2312" w:cs="Times New Roman"/>
      <w:sz w:val="32"/>
    </w:rPr>
  </w:style>
  <w:style w:type="paragraph" w:customStyle="1" w:styleId="8">
    <w:name w:val="BodyText2"/>
    <w:basedOn w:val="1"/>
    <w:qFormat/>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2023-05-29T09:02:00Z</dcterms:created>
  <dc:creator>sck913</dc:creator>
  <cp:lastModifiedBy>user</cp:lastModifiedBy>
  <dcterms:modified xsi:type="dcterms:W3CDTF">2024-02-09T10:25:40Z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