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北京市丰台区声环境功能区划实施细则</w:t>
      </w:r>
    </w:p>
    <w:p>
      <w:pPr>
        <w:ind w:firstLine="640"/>
      </w:pPr>
    </w:p>
    <w:p>
      <w:pPr>
        <w:ind w:firstLine="640"/>
        <w:rPr>
          <w:rFonts w:ascii="仿宋_GB2312" w:hAnsi="仿宋_GB2312" w:cs="仿宋_GB2312"/>
        </w:rPr>
      </w:pPr>
      <w:r>
        <w:rPr>
          <w:rFonts w:hint="eastAsia" w:ascii="仿宋_GB2312" w:hAnsi="仿宋_GB2312" w:cs="仿宋_GB2312"/>
        </w:rPr>
        <w:t>为加强区域环境噪声治理，改善城市声环境质量，提高人民群众生活水平，贯彻落实《中华人民共和国噪声污染防治法》，依据《声环境质量标准》（GB3096-2008）、《声环境功能区划分技术规范》(GB/T15190-2014)、《关于加强和规范声环境功能区划分管理工作的通知》（环办大气函〔2017〕1709号）制定本实施细则。</w:t>
      </w:r>
    </w:p>
    <w:p>
      <w:pPr>
        <w:pStyle w:val="2"/>
        <w:ind w:firstLine="640"/>
        <w:jc w:val="both"/>
      </w:pPr>
      <w:r>
        <w:rPr>
          <w:rFonts w:hint="eastAsia"/>
        </w:rPr>
        <w:t>适用范围</w:t>
      </w:r>
    </w:p>
    <w:p>
      <w:pPr>
        <w:autoSpaceDE w:val="0"/>
        <w:autoSpaceDN w:val="0"/>
        <w:ind w:firstLine="640"/>
        <w:rPr>
          <w:rFonts w:ascii="仿宋_GB2312" w:hAnsi="仿宋_GB2312" w:cs="仿宋_GB2312"/>
          <w:kern w:val="0"/>
          <w:szCs w:val="32"/>
        </w:rPr>
      </w:pPr>
      <w:r>
        <w:rPr>
          <w:rFonts w:hint="eastAsia" w:ascii="仿宋_GB2312" w:hAnsi="仿宋_GB2312" w:cs="仿宋_GB2312"/>
          <w:kern w:val="0"/>
          <w:szCs w:val="32"/>
        </w:rPr>
        <w:t>本细则适用于丰台区行政区域内的声环境管理。</w:t>
      </w:r>
    </w:p>
    <w:p>
      <w:pPr>
        <w:ind w:firstLine="640"/>
        <w:rPr>
          <w:rFonts w:ascii="仿宋_GB2312" w:hAnsi="仿宋_GB2312" w:cs="仿宋_GB2312"/>
          <w:szCs w:val="32"/>
        </w:rPr>
      </w:pPr>
      <w:r>
        <w:rPr>
          <w:rFonts w:hint="eastAsia" w:ascii="仿宋_GB2312" w:hAnsi="仿宋_GB2312" w:cs="仿宋_GB2312"/>
          <w:szCs w:val="32"/>
        </w:rPr>
        <w:t>机场周围区域受飞机通过（起飞、降落、低空飞行）噪声的影响不适用于本细则。</w:t>
      </w:r>
    </w:p>
    <w:p>
      <w:pPr>
        <w:ind w:firstLine="640"/>
        <w:rPr>
          <w:rFonts w:ascii="仿宋_GB2312" w:hAnsi="仿宋_GB2312" w:cs="仿宋_GB2312"/>
          <w:szCs w:val="32"/>
        </w:rPr>
      </w:pPr>
      <w:r>
        <w:rPr>
          <w:rFonts w:hint="eastAsia" w:ascii="仿宋_GB2312" w:hAnsi="仿宋_GB2312" w:cs="仿宋_GB2312"/>
          <w:szCs w:val="32"/>
        </w:rPr>
        <w:t>本细则适用的昼间、夜间时段分别为：昼间6:00—22:00，夜间22:00—次日6:00。</w:t>
      </w:r>
    </w:p>
    <w:p>
      <w:pPr>
        <w:pStyle w:val="2"/>
        <w:ind w:firstLine="640"/>
        <w:jc w:val="both"/>
      </w:pPr>
      <w:r>
        <w:rPr>
          <w:rFonts w:hint="eastAsia" w:ascii="仿宋_GB2312" w:cs="仿宋_GB2312"/>
          <w:kern w:val="0"/>
          <w:szCs w:val="32"/>
        </w:rPr>
        <w:t>声环境功能区分类</w:t>
      </w:r>
    </w:p>
    <w:p>
      <w:pPr>
        <w:ind w:firstLine="640"/>
        <w:rPr>
          <w:rFonts w:ascii="仿宋_GB2312" w:hAnsi="仿宋_GB2312" w:cs="仿宋_GB2312"/>
        </w:rPr>
      </w:pPr>
      <w:r>
        <w:rPr>
          <w:rFonts w:hint="eastAsia" w:ascii="仿宋_GB2312" w:hAnsi="仿宋_GB2312" w:cs="仿宋_GB2312"/>
        </w:rPr>
        <w:t>根据《声环境质量标准》（GB 3096—2008），各类声环境功能区按以下要求进行划分：</w:t>
      </w:r>
    </w:p>
    <w:p>
      <w:pPr>
        <w:ind w:firstLine="643"/>
        <w:rPr>
          <w:rFonts w:ascii="仿宋_GB2312" w:hAnsi="仿宋_GB2312" w:cs="仿宋_GB2312"/>
          <w:bCs/>
        </w:rPr>
      </w:pPr>
      <w:r>
        <w:rPr>
          <w:rFonts w:hint="eastAsia" w:ascii="仿宋_GB2312" w:hAnsi="仿宋_GB2312" w:cs="仿宋_GB2312"/>
          <w:b/>
          <w:bCs/>
        </w:rPr>
        <w:t>1类声环境功能区：</w:t>
      </w:r>
      <w:r>
        <w:rPr>
          <w:rFonts w:hint="eastAsia" w:ascii="仿宋_GB2312" w:hAnsi="仿宋_GB2312" w:cs="仿宋_GB2312"/>
          <w:bCs/>
        </w:rPr>
        <w:t>指以居民住宅、医疗卫生、文化教育、科研设计、行政办公为主要功能，需要保持安静的区域。</w:t>
      </w:r>
    </w:p>
    <w:p>
      <w:pPr>
        <w:ind w:firstLine="643"/>
        <w:rPr>
          <w:rFonts w:ascii="仿宋_GB2312" w:hAnsi="仿宋_GB2312" w:cs="仿宋_GB2312"/>
        </w:rPr>
      </w:pPr>
      <w:r>
        <w:rPr>
          <w:rFonts w:hint="eastAsia" w:ascii="仿宋_GB2312" w:hAnsi="仿宋_GB2312" w:cs="仿宋_GB2312"/>
          <w:b/>
        </w:rPr>
        <w:t>2类声环境功能区：</w:t>
      </w:r>
      <w:r>
        <w:rPr>
          <w:rFonts w:hint="eastAsia" w:ascii="仿宋_GB2312" w:hAnsi="仿宋_GB2312" w:cs="仿宋_GB2312"/>
        </w:rPr>
        <w:t>指以商业金融、集市贸易为主要功能，或者居住、商业、工业混杂，需要维护住宅安静的区域。</w:t>
      </w:r>
    </w:p>
    <w:p>
      <w:pPr>
        <w:ind w:firstLine="643"/>
        <w:rPr>
          <w:rFonts w:ascii="仿宋_GB2312" w:hAnsi="仿宋_GB2312" w:cs="仿宋_GB2312"/>
        </w:rPr>
      </w:pPr>
      <w:r>
        <w:rPr>
          <w:rFonts w:hint="eastAsia" w:ascii="仿宋_GB2312" w:hAnsi="仿宋_GB2312" w:cs="仿宋_GB2312"/>
          <w:b/>
        </w:rPr>
        <w:t>3类声环境功能区：</w:t>
      </w:r>
      <w:r>
        <w:rPr>
          <w:rFonts w:hint="eastAsia" w:ascii="仿宋_GB2312" w:hAnsi="仿宋_GB2312" w:cs="仿宋_GB2312"/>
        </w:rPr>
        <w:t>指以工业生产、仓储物流为主要功能，需要防止工业噪声对周围环境产生严重影响的区域。</w:t>
      </w:r>
    </w:p>
    <w:p>
      <w:pPr>
        <w:ind w:firstLine="643"/>
        <w:rPr>
          <w:rFonts w:ascii="仿宋_GB2312" w:hAnsi="仿宋_GB2312" w:cs="仿宋_GB2312"/>
        </w:rPr>
      </w:pPr>
      <w:r>
        <w:rPr>
          <w:rFonts w:hint="eastAsia" w:ascii="仿宋_GB2312" w:hAnsi="仿宋_GB2312" w:cs="仿宋_GB2312"/>
          <w:b/>
        </w:rPr>
        <w:t>4类声环境功能区</w:t>
      </w:r>
      <w:r>
        <w:rPr>
          <w:rFonts w:hint="eastAsia" w:ascii="仿宋_GB2312" w:hAnsi="仿宋_GB2312" w:cs="仿宋_GB2312"/>
        </w:rPr>
        <w:t>：指交通干线两侧一定距离之内，需要防止交通噪声对周围环境产生严重影响的区域。</w:t>
      </w:r>
    </w:p>
    <w:p>
      <w:pPr>
        <w:pStyle w:val="2"/>
        <w:ind w:firstLine="640"/>
      </w:pPr>
      <w:r>
        <w:rPr>
          <w:rFonts w:hint="eastAsia"/>
        </w:rPr>
        <w:t>声环境功能区划分</w:t>
      </w:r>
    </w:p>
    <w:p>
      <w:pPr>
        <w:ind w:firstLine="640"/>
        <w:rPr>
          <w:rFonts w:ascii="仿宋_GB2312" w:hAnsi="仿宋_GB2312" w:cs="仿宋_GB2312"/>
        </w:rPr>
      </w:pPr>
      <w:r>
        <w:rPr>
          <w:rFonts w:hint="eastAsia" w:ascii="仿宋_GB2312" w:hAnsi="仿宋_GB2312" w:cs="仿宋_GB2312"/>
        </w:rPr>
        <w:t>丰台区共划分三类声环境功能区，具体为1类、2类、4类，各类声环境功能区环境噪声限值见表3。</w:t>
      </w:r>
    </w:p>
    <w:p>
      <w:pPr>
        <w:wordWrap w:val="0"/>
        <w:spacing w:after="120" w:afterLines="50" w:line="600" w:lineRule="exact"/>
        <w:ind w:firstLine="640"/>
        <w:jc w:val="right"/>
        <w:rPr>
          <w:rFonts w:ascii="仿宋_GB2312" w:hAnsi="仿宋" w:cs="仿宋"/>
          <w:szCs w:val="32"/>
        </w:rPr>
      </w:pPr>
      <w:r>
        <w:rPr>
          <w:rFonts w:hint="eastAsia" w:ascii="仿宋_GB2312" w:hAnsi="仿宋" w:cs="仿宋"/>
          <w:szCs w:val="32"/>
        </w:rPr>
        <w:t>表3  噪声限值             单位：dB(A)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285"/>
        <w:gridCol w:w="236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gridSpan w:val="2"/>
            <w:vMerge w:val="restart"/>
            <w:vAlign w:val="center"/>
          </w:tcPr>
          <w:p>
            <w:pPr>
              <w:snapToGrid w:val="0"/>
              <w:ind w:firstLine="0" w:firstLineChars="0"/>
              <w:jc w:val="center"/>
              <w:rPr>
                <w:rFonts w:ascii="仿宋_GB2312" w:hAnsi="仿宋" w:cs="仿宋"/>
                <w:b/>
                <w:sz w:val="28"/>
                <w:szCs w:val="36"/>
              </w:rPr>
            </w:pPr>
            <w:r>
              <w:rPr>
                <w:rFonts w:hint="eastAsia" w:ascii="仿宋_GB2312" w:hAnsi="仿宋" w:cs="仿宋"/>
                <w:b/>
                <w:sz w:val="28"/>
                <w:szCs w:val="36"/>
              </w:rPr>
              <w:t>声环境功能区类别</w:t>
            </w:r>
          </w:p>
        </w:tc>
        <w:tc>
          <w:tcPr>
            <w:tcW w:w="4731" w:type="dxa"/>
            <w:gridSpan w:val="2"/>
            <w:vAlign w:val="center"/>
          </w:tcPr>
          <w:p>
            <w:pPr>
              <w:snapToGrid w:val="0"/>
              <w:ind w:firstLine="0" w:firstLineChars="0"/>
              <w:jc w:val="center"/>
              <w:rPr>
                <w:rFonts w:ascii="仿宋_GB2312" w:hAnsi="仿宋" w:cs="仿宋"/>
                <w:b/>
                <w:sz w:val="28"/>
                <w:szCs w:val="36"/>
              </w:rPr>
            </w:pPr>
            <w:r>
              <w:rPr>
                <w:rFonts w:hint="eastAsia" w:ascii="仿宋_GB2312" w:hAnsi="仿宋" w:cs="仿宋"/>
                <w:b/>
                <w:sz w:val="28"/>
                <w:szCs w:val="36"/>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gridSpan w:val="2"/>
            <w:vMerge w:val="continue"/>
            <w:vAlign w:val="center"/>
          </w:tcPr>
          <w:p>
            <w:pPr>
              <w:snapToGrid w:val="0"/>
              <w:ind w:firstLine="0" w:firstLineChars="0"/>
              <w:jc w:val="center"/>
              <w:rPr>
                <w:rFonts w:ascii="仿宋_GB2312" w:hAnsi="仿宋" w:cs="仿宋"/>
                <w:b/>
                <w:sz w:val="28"/>
                <w:szCs w:val="36"/>
              </w:rPr>
            </w:pPr>
          </w:p>
        </w:tc>
        <w:tc>
          <w:tcPr>
            <w:tcW w:w="2365" w:type="dxa"/>
            <w:vAlign w:val="center"/>
          </w:tcPr>
          <w:p>
            <w:pPr>
              <w:snapToGrid w:val="0"/>
              <w:ind w:firstLine="0" w:firstLineChars="0"/>
              <w:jc w:val="center"/>
              <w:rPr>
                <w:rFonts w:ascii="仿宋_GB2312" w:hAnsi="仿宋" w:cs="仿宋"/>
                <w:b/>
                <w:sz w:val="28"/>
                <w:szCs w:val="36"/>
              </w:rPr>
            </w:pPr>
            <w:r>
              <w:rPr>
                <w:rFonts w:hint="eastAsia" w:ascii="仿宋_GB2312" w:hAnsi="仿宋" w:cs="仿宋"/>
                <w:b/>
                <w:sz w:val="28"/>
                <w:szCs w:val="36"/>
              </w:rPr>
              <w:t>昼间</w:t>
            </w:r>
          </w:p>
        </w:tc>
        <w:tc>
          <w:tcPr>
            <w:tcW w:w="2366" w:type="dxa"/>
            <w:vAlign w:val="center"/>
          </w:tcPr>
          <w:p>
            <w:pPr>
              <w:snapToGrid w:val="0"/>
              <w:ind w:firstLine="0" w:firstLineChars="0"/>
              <w:jc w:val="center"/>
              <w:rPr>
                <w:rFonts w:ascii="仿宋_GB2312" w:hAnsi="仿宋" w:cs="仿宋"/>
                <w:b/>
                <w:sz w:val="28"/>
                <w:szCs w:val="36"/>
              </w:rPr>
            </w:pPr>
            <w:r>
              <w:rPr>
                <w:rFonts w:hint="eastAsia" w:ascii="仿宋_GB2312" w:hAnsi="仿宋" w:cs="仿宋"/>
                <w:b/>
                <w:sz w:val="28"/>
                <w:szCs w:val="36"/>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gridSpan w:val="2"/>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1</w:t>
            </w:r>
            <w:r>
              <w:rPr>
                <w:rFonts w:hint="eastAsia" w:ascii="仿宋_GB2312" w:hAnsi="仿宋" w:cs="仿宋"/>
                <w:sz w:val="28"/>
                <w:szCs w:val="36"/>
              </w:rPr>
              <w:t>类</w:t>
            </w:r>
          </w:p>
        </w:tc>
        <w:tc>
          <w:tcPr>
            <w:tcW w:w="2365" w:type="dxa"/>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55</w:t>
            </w:r>
          </w:p>
        </w:tc>
        <w:tc>
          <w:tcPr>
            <w:tcW w:w="2366" w:type="dxa"/>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3" w:type="dxa"/>
            <w:gridSpan w:val="2"/>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2</w:t>
            </w:r>
            <w:r>
              <w:rPr>
                <w:rFonts w:hint="eastAsia" w:ascii="仿宋_GB2312" w:hAnsi="仿宋" w:cs="仿宋"/>
                <w:sz w:val="28"/>
                <w:szCs w:val="36"/>
              </w:rPr>
              <w:t>类</w:t>
            </w:r>
          </w:p>
        </w:tc>
        <w:tc>
          <w:tcPr>
            <w:tcW w:w="2365" w:type="dxa"/>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60</w:t>
            </w:r>
          </w:p>
        </w:tc>
        <w:tc>
          <w:tcPr>
            <w:tcW w:w="2366" w:type="dxa"/>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restart"/>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4</w:t>
            </w:r>
            <w:r>
              <w:rPr>
                <w:rFonts w:hint="eastAsia" w:ascii="仿宋_GB2312" w:hAnsi="仿宋" w:cs="仿宋"/>
                <w:sz w:val="28"/>
                <w:szCs w:val="36"/>
              </w:rPr>
              <w:t>类</w:t>
            </w:r>
          </w:p>
        </w:tc>
        <w:tc>
          <w:tcPr>
            <w:tcW w:w="2285" w:type="dxa"/>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4</w:t>
            </w:r>
            <w:r>
              <w:rPr>
                <w:rFonts w:hint="eastAsia" w:ascii="仿宋_GB2312" w:hAnsi="仿宋" w:cs="仿宋"/>
                <w:sz w:val="28"/>
                <w:szCs w:val="36"/>
              </w:rPr>
              <w:t>a类</w:t>
            </w:r>
          </w:p>
        </w:tc>
        <w:tc>
          <w:tcPr>
            <w:tcW w:w="2365" w:type="dxa"/>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70</w:t>
            </w:r>
          </w:p>
        </w:tc>
        <w:tc>
          <w:tcPr>
            <w:tcW w:w="2366" w:type="dxa"/>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continue"/>
            <w:vAlign w:val="center"/>
          </w:tcPr>
          <w:p>
            <w:pPr>
              <w:snapToGrid w:val="0"/>
              <w:ind w:firstLine="0" w:firstLineChars="0"/>
              <w:jc w:val="center"/>
              <w:rPr>
                <w:rFonts w:ascii="仿宋_GB2312" w:hAnsi="仿宋" w:cs="仿宋"/>
                <w:sz w:val="28"/>
                <w:szCs w:val="36"/>
              </w:rPr>
            </w:pPr>
          </w:p>
        </w:tc>
        <w:tc>
          <w:tcPr>
            <w:tcW w:w="2285" w:type="dxa"/>
            <w:vAlign w:val="center"/>
          </w:tcPr>
          <w:p>
            <w:pPr>
              <w:snapToGrid w:val="0"/>
              <w:ind w:firstLine="0" w:firstLineChars="0"/>
              <w:jc w:val="center"/>
              <w:rPr>
                <w:rFonts w:ascii="仿宋_GB2312" w:hAnsi="仿宋" w:cs="仿宋"/>
                <w:sz w:val="28"/>
                <w:szCs w:val="36"/>
              </w:rPr>
            </w:pPr>
            <w:r>
              <w:rPr>
                <w:rFonts w:hint="eastAsia" w:ascii="仿宋_GB2312" w:hAnsi="仿宋" w:cs="仿宋"/>
                <w:sz w:val="28"/>
                <w:szCs w:val="36"/>
              </w:rPr>
              <w:t>4b类</w:t>
            </w:r>
          </w:p>
        </w:tc>
        <w:tc>
          <w:tcPr>
            <w:tcW w:w="2365" w:type="dxa"/>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70</w:t>
            </w:r>
          </w:p>
        </w:tc>
        <w:tc>
          <w:tcPr>
            <w:tcW w:w="2366" w:type="dxa"/>
            <w:vAlign w:val="center"/>
          </w:tcPr>
          <w:p>
            <w:pPr>
              <w:snapToGrid w:val="0"/>
              <w:ind w:firstLine="0" w:firstLineChars="0"/>
              <w:jc w:val="center"/>
              <w:rPr>
                <w:rFonts w:ascii="仿宋_GB2312" w:hAnsi="仿宋" w:cs="仿宋"/>
                <w:sz w:val="28"/>
                <w:szCs w:val="36"/>
              </w:rPr>
            </w:pPr>
            <w:r>
              <w:rPr>
                <w:rFonts w:ascii="仿宋_GB2312" w:hAnsi="仿宋" w:cs="仿宋"/>
                <w:sz w:val="28"/>
                <w:szCs w:val="36"/>
              </w:rPr>
              <w:t>60</w:t>
            </w:r>
          </w:p>
        </w:tc>
      </w:tr>
    </w:tbl>
    <w:p>
      <w:pPr>
        <w:autoSpaceDE w:val="0"/>
        <w:autoSpaceDN w:val="0"/>
        <w:ind w:firstLine="640"/>
        <w:jc w:val="left"/>
        <w:rPr>
          <w:rFonts w:ascii="仿宋_GB2312" w:hAnsi="仿宋_GB2312" w:cs="仿宋_GB2312"/>
          <w:kern w:val="0"/>
          <w:szCs w:val="32"/>
        </w:rPr>
      </w:pPr>
      <w:r>
        <w:rPr>
          <w:rFonts w:hint="eastAsia" w:ascii="仿宋_GB2312" w:hAnsi="仿宋_GB2312" w:cs="仿宋_GB2312"/>
          <w:kern w:val="0"/>
          <w:szCs w:val="32"/>
        </w:rPr>
        <w:t>丰台区辖区面积305.5平方公里，声环境功能区调整划分面积 305.5平方公里，包括 1、2、4 类声环境功能区，其中1类区面积约253.8平方公里，2类区面积约46.5平方公里， 4b类场站约5.2平方公里(其余4类功能区不统计面积)。</w:t>
      </w:r>
    </w:p>
    <w:p>
      <w:pPr>
        <w:autoSpaceDE w:val="0"/>
        <w:autoSpaceDN w:val="0"/>
        <w:ind w:firstLine="640"/>
        <w:jc w:val="left"/>
        <w:rPr>
          <w:rFonts w:ascii="仿宋_GB2312" w:hAnsi="仿宋_GB2312" w:cs="仿宋_GB2312"/>
          <w:kern w:val="0"/>
          <w:szCs w:val="32"/>
        </w:rPr>
      </w:pPr>
      <w:r>
        <w:rPr>
          <w:rFonts w:hint="eastAsia" w:ascii="仿宋_GB2312" w:hAnsi="仿宋_GB2312" w:cs="仿宋_GB2312"/>
          <w:kern w:val="0"/>
          <w:szCs w:val="32"/>
        </w:rPr>
        <w:t>1.1类区</w:t>
      </w:r>
    </w:p>
    <w:p>
      <w:pPr>
        <w:autoSpaceDE w:val="0"/>
        <w:autoSpaceDN w:val="0"/>
        <w:ind w:firstLine="640"/>
        <w:jc w:val="left"/>
        <w:rPr>
          <w:rFonts w:ascii="仿宋_GB2312" w:hAnsi="仿宋_GB2312" w:cs="仿宋_GB2312"/>
          <w:kern w:val="0"/>
          <w:szCs w:val="32"/>
        </w:rPr>
      </w:pPr>
      <w:r>
        <w:rPr>
          <w:rFonts w:hint="eastAsia" w:ascii="仿宋_GB2312" w:hAnsi="仿宋_GB2312" w:cs="仿宋_GB2312"/>
          <w:kern w:val="0"/>
          <w:szCs w:val="32"/>
        </w:rPr>
        <w:t xml:space="preserve">101 除2类区和4类区以外区域，面积约253.8平方公里。  </w:t>
      </w:r>
    </w:p>
    <w:p>
      <w:pPr>
        <w:autoSpaceDE w:val="0"/>
        <w:autoSpaceDN w:val="0"/>
        <w:ind w:firstLine="640"/>
        <w:jc w:val="left"/>
        <w:rPr>
          <w:rFonts w:ascii="仿宋_GB2312" w:hAnsi="仿宋_GB2312" w:cs="仿宋_GB2312"/>
          <w:kern w:val="0"/>
          <w:szCs w:val="32"/>
        </w:rPr>
      </w:pPr>
      <w:r>
        <w:rPr>
          <w:rFonts w:hint="eastAsia" w:ascii="仿宋_GB2312" w:hAnsi="仿宋_GB2312" w:cs="仿宋_GB2312"/>
          <w:kern w:val="0"/>
          <w:szCs w:val="32"/>
        </w:rPr>
        <w:t>2.2类区</w:t>
      </w:r>
    </w:p>
    <w:p>
      <w:pPr>
        <w:autoSpaceDE w:val="0"/>
        <w:autoSpaceDN w:val="0"/>
        <w:ind w:firstLine="640"/>
        <w:jc w:val="left"/>
        <w:rPr>
          <w:rFonts w:ascii="仿宋_GB2312" w:hAnsi="仿宋_GB2312" w:cs="仿宋_GB2312"/>
          <w:kern w:val="0"/>
          <w:szCs w:val="32"/>
        </w:rPr>
      </w:pPr>
      <w:r>
        <w:rPr>
          <w:rFonts w:hint="eastAsia" w:ascii="仿宋_GB2312" w:hAnsi="仿宋_GB2312" w:cs="仿宋_GB2312"/>
          <w:kern w:val="0"/>
          <w:szCs w:val="32"/>
        </w:rPr>
        <w:t xml:space="preserve">201 </w:t>
      </w:r>
      <w:r>
        <w:rPr>
          <w:rFonts w:hint="eastAsia" w:ascii="仿宋_GB2312" w:hAnsi="仿宋_GB2312" w:cs="仿宋_GB2312"/>
          <w:szCs w:val="32"/>
        </w:rPr>
        <w:t>由北顺时为丽源路-丰台区区界-二环路-菜户营南路-铁路-三环路，面积约6.8平方公里。</w:t>
      </w:r>
      <w:r>
        <w:rPr>
          <w:rFonts w:hint="eastAsia" w:ascii="仿宋_GB2312" w:hAnsi="仿宋_GB2312" w:cs="仿宋_GB2312"/>
          <w:kern w:val="0"/>
          <w:szCs w:val="32"/>
        </w:rPr>
        <w:t xml:space="preserve"> </w:t>
      </w:r>
    </w:p>
    <w:p>
      <w:pPr>
        <w:autoSpaceDE w:val="0"/>
        <w:autoSpaceDN w:val="0"/>
        <w:ind w:firstLine="640"/>
        <w:jc w:val="left"/>
        <w:rPr>
          <w:rFonts w:ascii="仿宋_GB2312" w:hAnsi="仿宋_GB2312" w:cs="仿宋_GB2312"/>
          <w:szCs w:val="32"/>
        </w:rPr>
      </w:pPr>
      <w:r>
        <w:rPr>
          <w:rFonts w:hint="eastAsia" w:ascii="仿宋_GB2312" w:hAnsi="仿宋_GB2312" w:cs="仿宋_GB2312"/>
          <w:kern w:val="0"/>
          <w:szCs w:val="32"/>
        </w:rPr>
        <w:t xml:space="preserve">202 </w:t>
      </w:r>
      <w:r>
        <w:rPr>
          <w:rFonts w:hint="eastAsia" w:ascii="仿宋_GB2312" w:hAnsi="仿宋_GB2312" w:cs="仿宋_GB2312"/>
          <w:szCs w:val="32"/>
        </w:rPr>
        <w:t>由北顺时为三环路-光彩路-时村大街-大红门路-凉水河-光彩路-四环路-丰台区区界-久敬庄路-通久路-新宫西路-范家庄西路-小区西侧路-丰台区区界-京沪高速铁路-银地家园南侧边界-二甲地西街- 银地东路-黄土岗路-黄土岗中街-右安路-四环路-南苑路-凉水河-丰海南街-海户东路，范围内除4类区的其他区域，面积约14.6平方公里。</w:t>
      </w:r>
    </w:p>
    <w:p>
      <w:pPr>
        <w:autoSpaceDE w:val="0"/>
        <w:autoSpaceDN w:val="0"/>
        <w:ind w:firstLine="640"/>
        <w:jc w:val="left"/>
        <w:rPr>
          <w:rFonts w:ascii="仿宋_GB2312" w:hAnsi="仿宋_GB2312" w:cs="仿宋_GB2312"/>
          <w:kern w:val="0"/>
          <w:szCs w:val="32"/>
        </w:rPr>
      </w:pPr>
      <w:r>
        <w:rPr>
          <w:rFonts w:hint="eastAsia" w:ascii="仿宋_GB2312" w:hAnsi="仿宋_GB2312" w:cs="仿宋_GB2312"/>
          <w:kern w:val="0"/>
          <w:szCs w:val="32"/>
        </w:rPr>
        <w:t>203 由北顺时为丰台区区界-无名路-吴家村路-小屯路-梅市口路-张仪村路-大瓦窑桥-卢沟桥路-丰台西路-丰沙线-四环路-京沪线-看丹南路-富丰路-四环路-张新路-六圈路-六圈路西延-马草河-无名路-京沪线-丰台区区界-五环路，范围内除4类区的其他区域，面积约25.1平方公里。</w:t>
      </w:r>
    </w:p>
    <w:p>
      <w:pPr>
        <w:autoSpaceDE w:val="0"/>
        <w:autoSpaceDN w:val="0"/>
        <w:ind w:firstLine="640"/>
        <w:jc w:val="left"/>
        <w:rPr>
          <w:rFonts w:ascii="仿宋_GB2312" w:hAnsi="仿宋_GB2312" w:cs="仿宋_GB2312"/>
          <w:kern w:val="0"/>
          <w:szCs w:val="32"/>
        </w:rPr>
      </w:pPr>
      <w:r>
        <w:rPr>
          <w:rFonts w:hint="eastAsia" w:ascii="仿宋_GB2312" w:hAnsi="仿宋_GB2312" w:cs="仿宋_GB2312"/>
          <w:kern w:val="0"/>
          <w:szCs w:val="32"/>
        </w:rPr>
        <w:t>3.4类区</w:t>
      </w:r>
    </w:p>
    <w:p>
      <w:pPr>
        <w:ind w:firstLine="640"/>
        <w:rPr>
          <w:rFonts w:ascii="仿宋_GB2312" w:hAnsi="仿宋_GB2312" w:cs="仿宋_GB2312"/>
        </w:rPr>
      </w:pPr>
      <w:r>
        <w:rPr>
          <w:rFonts w:hint="eastAsia" w:ascii="仿宋_GB2312" w:hAnsi="仿宋_GB2312" w:cs="仿宋_GB2312"/>
        </w:rPr>
        <w:t>4类声环境功能区包括4a类和4b类两种类型：</w:t>
      </w:r>
    </w:p>
    <w:p>
      <w:pPr>
        <w:ind w:firstLine="640"/>
        <w:rPr>
          <w:rFonts w:ascii="仿宋_GB2312" w:hAnsi="仿宋_GB2312" w:cs="仿宋_GB2312"/>
        </w:rPr>
      </w:pPr>
      <w:r>
        <w:rPr>
          <w:rFonts w:hint="eastAsia" w:ascii="仿宋_GB2312" w:hAnsi="仿宋_GB2312" w:cs="仿宋_GB2312"/>
        </w:rPr>
        <w:t>（1）4a 类区为高速公路、一级公路、二级公路、城市快速路、城市主干路、城市次干路、城市轨道交通(地面段)边界线外一定距离范围内(距离要求见表1)区域。</w:t>
      </w:r>
    </w:p>
    <w:p>
      <w:pPr>
        <w:ind w:firstLine="640"/>
        <w:rPr>
          <w:rFonts w:ascii="仿宋_GB2312" w:hAnsi="仿宋_GB2312" w:cs="仿宋_GB2312"/>
        </w:rPr>
      </w:pPr>
    </w:p>
    <w:p>
      <w:pPr>
        <w:spacing w:after="120" w:afterLines="50" w:line="600" w:lineRule="exact"/>
        <w:ind w:firstLine="640"/>
        <w:jc w:val="center"/>
        <w:rPr>
          <w:rFonts w:ascii="仿宋_GB2312" w:hAnsi="仿宋" w:cs="仿宋"/>
          <w:szCs w:val="32"/>
        </w:rPr>
      </w:pPr>
      <w:r>
        <w:rPr>
          <w:rFonts w:hint="eastAsia" w:ascii="仿宋_GB2312" w:hAnsi="仿宋" w:cs="仿宋"/>
          <w:szCs w:val="32"/>
        </w:rPr>
        <w:t>表1  4a类功能区两侧距离的划定要求</w:t>
      </w:r>
    </w:p>
    <w:tbl>
      <w:tblPr>
        <w:tblStyle w:val="19"/>
        <w:tblW w:w="5000"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3928"/>
        <w:gridCol w:w="2664"/>
        <w:gridCol w:w="260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Header/>
        </w:trPr>
        <w:tc>
          <w:tcPr>
            <w:tcW w:w="2136"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b/>
                <w:sz w:val="28"/>
                <w:szCs w:val="28"/>
              </w:rPr>
            </w:pPr>
            <w:r>
              <w:rPr>
                <w:rFonts w:hint="eastAsia" w:ascii="仿宋_GB2312" w:hAnsi="仿宋" w:cs="仿宋"/>
                <w:b/>
                <w:sz w:val="28"/>
                <w:szCs w:val="28"/>
              </w:rPr>
              <w:t>源强类型</w:t>
            </w:r>
          </w:p>
        </w:tc>
        <w:tc>
          <w:tcPr>
            <w:tcW w:w="1449"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b/>
                <w:sz w:val="28"/>
                <w:szCs w:val="28"/>
              </w:rPr>
            </w:pPr>
            <w:r>
              <w:rPr>
                <w:rFonts w:hint="eastAsia" w:ascii="仿宋_GB2312" w:hAnsi="仿宋" w:cs="仿宋"/>
                <w:b/>
                <w:sz w:val="28"/>
                <w:szCs w:val="28"/>
              </w:rPr>
              <w:t>划分距离（米）</w:t>
            </w:r>
          </w:p>
        </w:tc>
        <w:tc>
          <w:tcPr>
            <w:tcW w:w="1415"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b/>
                <w:sz w:val="28"/>
                <w:szCs w:val="28"/>
              </w:rPr>
            </w:pPr>
            <w:r>
              <w:rPr>
                <w:rFonts w:hint="eastAsia" w:ascii="仿宋_GB2312" w:hAnsi="仿宋" w:cs="仿宋"/>
                <w:b/>
                <w:sz w:val="28"/>
                <w:szCs w:val="28"/>
              </w:rPr>
              <w:t>相邻功能区类型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70" w:hRule="atLeast"/>
        </w:trPr>
        <w:tc>
          <w:tcPr>
            <w:tcW w:w="2136" w:type="pct"/>
            <w:vMerge w:val="restart"/>
            <w:tcBorders>
              <w:top w:val="outset" w:color="000000" w:sz="6" w:space="0"/>
              <w:left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高速公路、一级公路、二级公路、城市快速路、城市主干路、城市次干路、城市轨道交通（地面段）</w:t>
            </w:r>
          </w:p>
        </w:tc>
        <w:tc>
          <w:tcPr>
            <w:tcW w:w="1449"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55</w:t>
            </w:r>
          </w:p>
        </w:tc>
        <w:tc>
          <w:tcPr>
            <w:tcW w:w="1415"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1类区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29" w:hRule="atLeast"/>
        </w:trPr>
        <w:tc>
          <w:tcPr>
            <w:tcW w:w="2136" w:type="pct"/>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sz w:val="28"/>
                <w:szCs w:val="28"/>
              </w:rPr>
            </w:pPr>
          </w:p>
        </w:tc>
        <w:tc>
          <w:tcPr>
            <w:tcW w:w="1449"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40</w:t>
            </w:r>
          </w:p>
        </w:tc>
        <w:tc>
          <w:tcPr>
            <w:tcW w:w="1415" w:type="pct"/>
            <w:tcBorders>
              <w:top w:val="outset" w:color="000000" w:sz="6" w:space="0"/>
              <w:left w:val="nil"/>
              <w:bottom w:val="outset" w:color="000000" w:sz="6" w:space="0"/>
              <w:right w:val="outset" w:color="000000" w:sz="6" w:space="0"/>
            </w:tcBorders>
            <w:shd w:val="clear" w:color="auto" w:fill="auto"/>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2类区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000" w:type="pct"/>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pacing w:line="400" w:lineRule="exact"/>
              <w:ind w:firstLine="560"/>
              <w:rPr>
                <w:rFonts w:ascii="仿宋_GB2312" w:hAnsi="仿宋" w:cs="仿宋"/>
                <w:sz w:val="28"/>
                <w:szCs w:val="28"/>
              </w:rPr>
            </w:pPr>
            <w:r>
              <w:rPr>
                <w:rFonts w:hint="eastAsia" w:ascii="仿宋_GB2312" w:hAnsi="仿宋" w:cs="仿宋"/>
                <w:sz w:val="28"/>
                <w:szCs w:val="28"/>
              </w:rPr>
              <w:t>轨道交通地下与地面连接处的划分以城市轨道交通中心线与地面交点处为圆心，外侧一定距离为半径绘制圆弧与线路两侧区界连接，半径执行上述划分距离要求。</w:t>
            </w:r>
          </w:p>
        </w:tc>
      </w:tr>
    </w:tbl>
    <w:p>
      <w:pPr>
        <w:ind w:firstLine="640"/>
        <w:rPr>
          <w:rFonts w:ascii="仿宋_GB2312" w:hAnsi="仿宋" w:cs="仿宋"/>
          <w:szCs w:val="32"/>
        </w:rPr>
      </w:pPr>
      <w:r>
        <w:rPr>
          <w:rFonts w:hint="eastAsia" w:ascii="仿宋_GB2312" w:hAnsi="仿宋" w:cs="仿宋"/>
          <w:szCs w:val="32"/>
        </w:rPr>
        <w:t>若临路建筑以低于三层楼房的建筑（含开阔地）为主，线路边界线外一定距离内（见表1）的区域为4a类声环境功能区。</w:t>
      </w:r>
    </w:p>
    <w:p>
      <w:pPr>
        <w:ind w:firstLine="640"/>
        <w:rPr>
          <w:rFonts w:ascii="仿宋_GB2312" w:hAnsi="仿宋" w:cs="仿宋"/>
          <w:szCs w:val="32"/>
        </w:rPr>
      </w:pPr>
      <w:r>
        <w:rPr>
          <w:rFonts w:hint="eastAsia" w:ascii="仿宋_GB2312" w:hAnsi="仿宋" w:cs="仿宋"/>
          <w:szCs w:val="32"/>
        </w:rPr>
        <w:t>若划分距离范围内临路建筑以高于三层楼房以上（含三层）的建筑为主，第一排建筑面向线路一侧至线路边界线的区域及该建筑物两侧一定纵深距离（见表1）范围内受交通噪声直达声影响的区域为4a类声环境功能区。并排的两个建筑物临路一侧的相邻两点间距离小于或等于20米时，视同直线连接。第二排及以后的建筑，若其高于前排建筑或虽低于前排建筑但因楼座错落设置使部分楼体探出前排遮挡并受到线路交通噪声的直达声影响，则高出及探出部分的楼层面向线路一侧范围为4a类区。其余部分未受到交通噪声直达声影响的区域执行其相邻声环境功能区要求。</w:t>
      </w:r>
    </w:p>
    <w:p>
      <w:pPr>
        <w:ind w:firstLine="640"/>
        <w:rPr>
          <w:rFonts w:ascii="仿宋_GB2312" w:hAnsi="仿宋" w:cs="仿宋"/>
          <w:szCs w:val="32"/>
        </w:rPr>
      </w:pPr>
      <w:r>
        <w:rPr>
          <w:rFonts w:hint="eastAsia" w:ascii="仿宋_GB2312" w:hAnsi="仿宋" w:cs="仿宋"/>
          <w:szCs w:val="32"/>
        </w:rPr>
        <w:t>地面段公路和城市道路以最外侧非机动车道路或机非混行道路外沿为边界，高路基公路和城市道路以最外侧的边沟或路基边缘为边界，没有辅路的高架公路和城市道路以高架段地面垂直投影的最外侧为边界，城市轨道交通、高速公路以护网处为边界，没有护网的按一般公路或城市道路相关情况处理。</w:t>
      </w:r>
    </w:p>
    <w:p>
      <w:pPr>
        <w:ind w:firstLine="640"/>
        <w:rPr>
          <w:rFonts w:ascii="仿宋_GB2312" w:hAnsi="仿宋_GB2312" w:cs="仿宋_GB2312"/>
        </w:rPr>
      </w:pPr>
      <w:r>
        <w:rPr>
          <w:rFonts w:hint="eastAsia" w:ascii="仿宋_GB2312" w:hAnsi="仿宋_GB2312" w:cs="仿宋_GB2312"/>
        </w:rPr>
        <w:t>（2）4b类区为铁路(铁路专用线除外)护网（没有护网的按铁路交通用地边界线）外一定距离范围内(距离要求见表2)区域。</w:t>
      </w:r>
    </w:p>
    <w:p>
      <w:pPr>
        <w:spacing w:after="120" w:afterLines="50" w:line="600" w:lineRule="exact"/>
        <w:ind w:firstLine="640"/>
        <w:jc w:val="center"/>
        <w:rPr>
          <w:rFonts w:ascii="仿宋_GB2312" w:hAnsi="仿宋" w:cs="仿宋"/>
          <w:szCs w:val="32"/>
        </w:rPr>
      </w:pPr>
      <w:r>
        <w:rPr>
          <w:rFonts w:hint="eastAsia" w:ascii="仿宋_GB2312" w:hAnsi="仿宋" w:cs="仿宋"/>
          <w:szCs w:val="32"/>
        </w:rPr>
        <w:t>表2  4b类功能区两侧距离的划定要求</w:t>
      </w:r>
    </w:p>
    <w:tbl>
      <w:tblPr>
        <w:tblStyle w:val="19"/>
        <w:tblW w:w="5000"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3928"/>
        <w:gridCol w:w="2664"/>
        <w:gridCol w:w="260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blHeader/>
        </w:trPr>
        <w:tc>
          <w:tcPr>
            <w:tcW w:w="2136"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b/>
                <w:sz w:val="28"/>
                <w:szCs w:val="28"/>
              </w:rPr>
            </w:pPr>
            <w:r>
              <w:rPr>
                <w:rFonts w:hint="eastAsia" w:ascii="仿宋_GB2312" w:hAnsi="仿宋" w:cs="仿宋"/>
                <w:b/>
                <w:sz w:val="28"/>
                <w:szCs w:val="28"/>
              </w:rPr>
              <w:t>源强类型</w:t>
            </w:r>
          </w:p>
        </w:tc>
        <w:tc>
          <w:tcPr>
            <w:tcW w:w="1449"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b/>
                <w:sz w:val="28"/>
                <w:szCs w:val="28"/>
              </w:rPr>
            </w:pPr>
            <w:r>
              <w:rPr>
                <w:rFonts w:hint="eastAsia" w:ascii="仿宋_GB2312" w:hAnsi="仿宋" w:cs="仿宋"/>
                <w:b/>
                <w:sz w:val="28"/>
                <w:szCs w:val="28"/>
              </w:rPr>
              <w:t>划分距离（米）</w:t>
            </w:r>
          </w:p>
        </w:tc>
        <w:tc>
          <w:tcPr>
            <w:tcW w:w="1415"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b/>
                <w:sz w:val="28"/>
                <w:szCs w:val="28"/>
              </w:rPr>
            </w:pPr>
            <w:r>
              <w:rPr>
                <w:rFonts w:hint="eastAsia" w:ascii="仿宋_GB2312" w:hAnsi="仿宋" w:cs="仿宋"/>
                <w:b/>
                <w:sz w:val="28"/>
                <w:szCs w:val="28"/>
              </w:rPr>
              <w:t>相邻功能区类型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rHeight w:val="552" w:hRule="atLeast"/>
        </w:trPr>
        <w:tc>
          <w:tcPr>
            <w:tcW w:w="2136" w:type="pct"/>
            <w:vMerge w:val="restart"/>
            <w:tcBorders>
              <w:left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铁路</w:t>
            </w:r>
          </w:p>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（铁路专用线除外）</w:t>
            </w:r>
          </w:p>
        </w:tc>
        <w:tc>
          <w:tcPr>
            <w:tcW w:w="1449"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55</w:t>
            </w:r>
          </w:p>
        </w:tc>
        <w:tc>
          <w:tcPr>
            <w:tcW w:w="1415" w:type="pct"/>
            <w:tcBorders>
              <w:top w:val="outset" w:color="000000" w:sz="6" w:space="0"/>
              <w:left w:val="nil"/>
              <w:bottom w:val="outset" w:color="000000" w:sz="6" w:space="0"/>
              <w:right w:val="outset" w:color="000000" w:sz="6" w:space="0"/>
            </w:tcBorders>
            <w:shd w:val="clear" w:color="auto" w:fill="auto"/>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1类区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31" w:hRule="atLeast"/>
        </w:trPr>
        <w:tc>
          <w:tcPr>
            <w:tcW w:w="2136" w:type="pct"/>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560"/>
              <w:rPr>
                <w:rFonts w:ascii="仿宋_GB2312" w:hAnsi="仿宋" w:cs="仿宋"/>
                <w:sz w:val="28"/>
                <w:szCs w:val="28"/>
              </w:rPr>
            </w:pPr>
          </w:p>
        </w:tc>
        <w:tc>
          <w:tcPr>
            <w:tcW w:w="1449" w:type="pc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40</w:t>
            </w:r>
          </w:p>
        </w:tc>
        <w:tc>
          <w:tcPr>
            <w:tcW w:w="1415" w:type="pct"/>
            <w:tcBorders>
              <w:top w:val="outset" w:color="000000" w:sz="6" w:space="0"/>
              <w:left w:val="nil"/>
              <w:bottom w:val="outset" w:color="000000" w:sz="6" w:space="0"/>
              <w:right w:val="outset" w:color="000000" w:sz="6" w:space="0"/>
            </w:tcBorders>
            <w:shd w:val="clear" w:color="auto" w:fill="auto"/>
            <w:vAlign w:val="center"/>
          </w:tcPr>
          <w:p>
            <w:pPr>
              <w:snapToGrid w:val="0"/>
              <w:spacing w:line="400" w:lineRule="exact"/>
              <w:ind w:firstLine="0" w:firstLineChars="0"/>
              <w:jc w:val="center"/>
              <w:rPr>
                <w:rFonts w:ascii="仿宋_GB2312" w:hAnsi="仿宋" w:cs="仿宋"/>
                <w:sz w:val="28"/>
                <w:szCs w:val="28"/>
              </w:rPr>
            </w:pPr>
            <w:r>
              <w:rPr>
                <w:rFonts w:hint="eastAsia" w:ascii="仿宋_GB2312" w:hAnsi="仿宋" w:cs="仿宋"/>
                <w:sz w:val="28"/>
                <w:szCs w:val="28"/>
              </w:rPr>
              <w:t>2类区</w:t>
            </w:r>
          </w:p>
        </w:tc>
      </w:tr>
    </w:tbl>
    <w:p>
      <w:pPr>
        <w:ind w:firstLine="640"/>
        <w:rPr>
          <w:rFonts w:ascii="仿宋_GB2312" w:hAnsi="仿宋" w:cs="仿宋"/>
          <w:szCs w:val="32"/>
        </w:rPr>
      </w:pPr>
      <w:r>
        <w:rPr>
          <w:rFonts w:hint="eastAsia" w:ascii="仿宋_GB2312" w:hAnsi="仿宋" w:cs="仿宋"/>
          <w:szCs w:val="32"/>
        </w:rPr>
        <w:t>（3）对于4b类声环境功能区与4a类声环境功能区有重叠的部分，划分为4b类声环境功能区。</w:t>
      </w:r>
    </w:p>
    <w:p>
      <w:pPr>
        <w:autoSpaceDE w:val="0"/>
        <w:autoSpaceDN w:val="0"/>
        <w:ind w:firstLine="640"/>
        <w:jc w:val="left"/>
        <w:rPr>
          <w:rFonts w:ascii="仿宋_GB2312" w:hAnsi="仿宋_GB2312" w:cs="仿宋_GB2312"/>
          <w:kern w:val="0"/>
          <w:szCs w:val="32"/>
        </w:rPr>
      </w:pPr>
      <w:r>
        <w:rPr>
          <w:rFonts w:hint="eastAsia" w:ascii="仿宋_GB2312" w:hAnsi="仿宋_GB2312" w:cs="仿宋_GB2312"/>
          <w:kern w:val="0"/>
          <w:szCs w:val="32"/>
        </w:rPr>
        <w:t>（4）4类区情况详见附件1、附件2、附件3和附件4。</w:t>
      </w:r>
    </w:p>
    <w:p>
      <w:pPr>
        <w:pStyle w:val="2"/>
        <w:ind w:firstLine="640"/>
      </w:pPr>
      <w:r>
        <w:rPr>
          <w:rFonts w:hint="eastAsia"/>
        </w:rPr>
        <w:t>补充规定</w:t>
      </w:r>
    </w:p>
    <w:p>
      <w:pPr>
        <w:ind w:firstLine="640"/>
        <w:rPr>
          <w:rFonts w:ascii="仿宋_GB2312" w:hAnsi="仿宋_GB2312" w:cs="仿宋_GB2312"/>
        </w:rPr>
      </w:pPr>
      <w:bookmarkStart w:id="0" w:name="_GoBack"/>
      <w:r>
        <w:rPr>
          <w:rFonts w:hint="eastAsia" w:ascii="仿宋_GB2312" w:hAnsi="仿宋_GB2312" w:cs="仿宋_GB2312"/>
        </w:rPr>
        <w:t>1.交通干线建设规划未实施前应按照当前声环境功能区类别管理，规划实施后交通干线两侧一定距离范围内按照4类声环境功能区管理。</w:t>
      </w:r>
    </w:p>
    <w:p>
      <w:pPr>
        <w:ind w:firstLine="640"/>
        <w:rPr>
          <w:rFonts w:ascii="仿宋_GB2312" w:hAnsi="仿宋_GB2312" w:cs="仿宋_GB2312"/>
          <w:szCs w:val="32"/>
        </w:rPr>
      </w:pPr>
      <w:r>
        <w:rPr>
          <w:rFonts w:hint="eastAsia" w:ascii="仿宋_GB2312" w:hAnsi="仿宋_GB2312" w:cs="仿宋_GB2312"/>
          <w:szCs w:val="32"/>
        </w:rPr>
        <w:t>2.本细则自丰台区人民政府发布之日起执行，同时废止《北京市丰台区人民政府关于印发&lt;丰台区声环境区划实施细则&gt;的通知》（丰政发〔2013〕37号）。</w:t>
      </w:r>
    </w:p>
    <w:p>
      <w:pPr>
        <w:ind w:firstLine="640"/>
        <w:rPr>
          <w:rFonts w:ascii="仿宋_GB2312" w:hAnsi="仿宋_GB2312" w:cs="仿宋_GB2312"/>
          <w:szCs w:val="32"/>
        </w:rPr>
      </w:pPr>
      <w:r>
        <w:rPr>
          <w:rFonts w:hint="eastAsia" w:ascii="仿宋_GB2312" w:hAnsi="仿宋_GB2312" w:cs="仿宋_GB2312"/>
          <w:szCs w:val="32"/>
        </w:rPr>
        <w:t>3.本细则由丰台区生态环境局负责解释。</w:t>
      </w:r>
    </w:p>
    <w:bookmarkEnd w:id="0"/>
    <w:p>
      <w:pPr>
        <w:ind w:firstLine="640"/>
        <w:rPr>
          <w:rFonts w:ascii="仿宋_GB2312" w:hAnsi="仿宋_GB2312" w:cs="仿宋_GB2312"/>
          <w:szCs w:val="32"/>
        </w:rPr>
      </w:pPr>
    </w:p>
    <w:p>
      <w:pPr>
        <w:ind w:firstLine="640"/>
        <w:outlineLvl w:val="0"/>
        <w:rPr>
          <w:rFonts w:ascii="仿宋_GB2312" w:hAnsi="仿宋_GB2312" w:cs="仿宋_GB2312"/>
          <w:szCs w:val="32"/>
        </w:rPr>
      </w:pPr>
      <w:r>
        <w:rPr>
          <w:rFonts w:hint="eastAsia" w:ascii="仿宋_GB2312" w:hAnsi="仿宋_GB2312" w:cs="仿宋_GB2312"/>
          <w:szCs w:val="32"/>
        </w:rPr>
        <w:t>附件：</w:t>
      </w:r>
    </w:p>
    <w:p>
      <w:pPr>
        <w:ind w:firstLine="640"/>
        <w:outlineLvl w:val="0"/>
        <w:rPr>
          <w:rFonts w:ascii="仿宋_GB2312" w:hAnsi="仿宋_GB2312" w:cs="仿宋_GB2312"/>
          <w:szCs w:val="32"/>
        </w:rPr>
      </w:pPr>
      <w:r>
        <w:rPr>
          <w:rFonts w:hint="eastAsia" w:ascii="仿宋_GB2312" w:hAnsi="仿宋_GB2312" w:cs="仿宋_GB2312"/>
          <w:szCs w:val="32"/>
        </w:rPr>
        <w:t>1.两侧划分4a类声环境功能区的道路</w:t>
      </w:r>
    </w:p>
    <w:p>
      <w:pPr>
        <w:ind w:firstLine="640"/>
        <w:outlineLvl w:val="0"/>
        <w:rPr>
          <w:rFonts w:ascii="仿宋_GB2312" w:hAnsi="仿宋_GB2312" w:cs="仿宋_GB2312"/>
          <w:szCs w:val="32"/>
        </w:rPr>
      </w:pPr>
      <w:r>
        <w:rPr>
          <w:rFonts w:hint="eastAsia" w:ascii="仿宋_GB2312" w:hAnsi="仿宋_GB2312" w:cs="仿宋_GB2312"/>
          <w:szCs w:val="32"/>
        </w:rPr>
        <w:t>2.两侧划分4a类声环境功能区的城市轨道交通（地面段）</w:t>
      </w:r>
    </w:p>
    <w:p>
      <w:pPr>
        <w:ind w:firstLine="640"/>
        <w:outlineLvl w:val="0"/>
        <w:rPr>
          <w:rFonts w:ascii="仿宋_GB2312" w:hAnsi="仿宋_GB2312" w:cs="仿宋_GB2312"/>
          <w:szCs w:val="32"/>
        </w:rPr>
      </w:pPr>
      <w:r>
        <w:rPr>
          <w:rFonts w:hint="eastAsia" w:ascii="仿宋_GB2312" w:hAnsi="仿宋_GB2312" w:cs="仿宋_GB2312"/>
          <w:szCs w:val="32"/>
        </w:rPr>
        <w:t>3.两侧划分4b类声环境功能区的铁路</w:t>
      </w:r>
    </w:p>
    <w:p>
      <w:pPr>
        <w:ind w:firstLine="640"/>
        <w:outlineLvl w:val="0"/>
        <w:rPr>
          <w:rFonts w:ascii="仿宋_GB2312" w:hAnsi="仿宋_GB2312" w:cs="仿宋_GB2312"/>
          <w:szCs w:val="32"/>
        </w:rPr>
      </w:pPr>
      <w:r>
        <w:rPr>
          <w:rFonts w:hint="eastAsia" w:ascii="仿宋_GB2312" w:hAnsi="仿宋_GB2312" w:cs="仿宋_GB2312"/>
          <w:szCs w:val="32"/>
        </w:rPr>
        <w:t>4.划分4b类声环境功能区的场站</w:t>
      </w:r>
      <w:r>
        <w:rPr>
          <w:rFonts w:hint="eastAsia" w:ascii="仿宋_GB2312" w:hAnsi="仿宋_GB2312" w:cs="仿宋_GB2312"/>
          <w:szCs w:val="32"/>
        </w:rPr>
        <w:tab/>
      </w:r>
    </w:p>
    <w:p>
      <w:pPr>
        <w:ind w:firstLine="640"/>
        <w:outlineLvl w:val="0"/>
        <w:rPr>
          <w:rFonts w:ascii="仿宋_GB2312" w:hAnsi="仿宋_GB2312" w:cs="仿宋_GB2312"/>
          <w:szCs w:val="32"/>
        </w:rPr>
      </w:pPr>
      <w:r>
        <w:rPr>
          <w:rFonts w:hint="eastAsia" w:ascii="仿宋_GB2312" w:hAnsi="仿宋_GB2312" w:cs="仿宋_GB2312"/>
          <w:szCs w:val="32"/>
        </w:rPr>
        <w:t>5.丰台区声环境功能区划示意图</w:t>
      </w:r>
    </w:p>
    <w:p>
      <w:pPr>
        <w:autoSpaceDE w:val="0"/>
        <w:autoSpaceDN w:val="0"/>
        <w:ind w:firstLine="0" w:firstLineChars="0"/>
        <w:jc w:val="left"/>
      </w:pPr>
    </w:p>
    <w:p>
      <w:pPr>
        <w:autoSpaceDE w:val="0"/>
        <w:autoSpaceDN w:val="0"/>
        <w:ind w:firstLine="0" w:firstLineChars="0"/>
        <w:jc w:val="left"/>
      </w:pPr>
    </w:p>
    <w:p>
      <w:pPr>
        <w:autoSpaceDE w:val="0"/>
        <w:autoSpaceDN w:val="0"/>
        <w:ind w:firstLine="0" w:firstLineChars="0"/>
        <w:jc w:val="left"/>
      </w:pPr>
    </w:p>
    <w:p>
      <w:pPr>
        <w:autoSpaceDE w:val="0"/>
        <w:autoSpaceDN w:val="0"/>
        <w:ind w:firstLine="0" w:firstLineChars="0"/>
        <w:jc w:val="left"/>
      </w:pPr>
    </w:p>
    <w:p>
      <w:pPr>
        <w:autoSpaceDE w:val="0"/>
        <w:autoSpaceDN w:val="0"/>
        <w:ind w:firstLine="0" w:firstLineChars="0"/>
        <w:jc w:val="left"/>
      </w:pPr>
    </w:p>
    <w:p>
      <w:pPr>
        <w:autoSpaceDE w:val="0"/>
        <w:autoSpaceDN w:val="0"/>
        <w:ind w:firstLine="0" w:firstLineChars="0"/>
        <w:jc w:val="left"/>
      </w:pPr>
    </w:p>
    <w:p>
      <w:pPr>
        <w:tabs>
          <w:tab w:val="left" w:pos="1870"/>
        </w:tabs>
        <w:autoSpaceDE w:val="0"/>
        <w:autoSpaceDN w:val="0"/>
        <w:ind w:firstLine="0" w:firstLineChars="0"/>
        <w:jc w:val="left"/>
      </w:pPr>
      <w:r>
        <w:tab/>
      </w:r>
    </w:p>
    <w:p>
      <w:pPr>
        <w:tabs>
          <w:tab w:val="left" w:pos="1870"/>
        </w:tabs>
        <w:autoSpaceDE w:val="0"/>
        <w:autoSpaceDN w:val="0"/>
        <w:ind w:firstLine="0" w:firstLineChars="0"/>
        <w:jc w:val="left"/>
      </w:pPr>
    </w:p>
    <w:p>
      <w:pPr>
        <w:tabs>
          <w:tab w:val="left" w:pos="1870"/>
        </w:tabs>
        <w:autoSpaceDE w:val="0"/>
        <w:autoSpaceDN w:val="0"/>
        <w:ind w:firstLine="0" w:firstLineChars="0"/>
        <w:jc w:val="left"/>
      </w:pPr>
    </w:p>
    <w:p>
      <w:pPr>
        <w:tabs>
          <w:tab w:val="left" w:pos="1870"/>
        </w:tabs>
        <w:autoSpaceDE w:val="0"/>
        <w:autoSpaceDN w:val="0"/>
        <w:ind w:firstLine="0" w:firstLineChars="0"/>
        <w:jc w:val="left"/>
      </w:pPr>
    </w:p>
    <w:p>
      <w:pPr>
        <w:tabs>
          <w:tab w:val="left" w:pos="1870"/>
        </w:tabs>
        <w:autoSpaceDE w:val="0"/>
        <w:autoSpaceDN w:val="0"/>
        <w:ind w:firstLine="0" w:firstLineChars="0"/>
        <w:jc w:val="left"/>
      </w:pPr>
    </w:p>
    <w:p>
      <w:pPr>
        <w:tabs>
          <w:tab w:val="left" w:pos="1870"/>
        </w:tabs>
        <w:autoSpaceDE w:val="0"/>
        <w:autoSpaceDN w:val="0"/>
        <w:ind w:firstLine="0" w:firstLineChars="0"/>
        <w:jc w:val="left"/>
      </w:pPr>
    </w:p>
    <w:p>
      <w:pPr>
        <w:tabs>
          <w:tab w:val="left" w:pos="1870"/>
        </w:tabs>
        <w:autoSpaceDE w:val="0"/>
        <w:autoSpaceDN w:val="0"/>
        <w:ind w:firstLine="0" w:firstLineChars="0"/>
        <w:jc w:val="left"/>
      </w:pPr>
    </w:p>
    <w:p>
      <w:pPr>
        <w:ind w:firstLine="640"/>
        <w:rPr>
          <w:rFonts w:ascii="黑体" w:hAnsi="宋体" w:eastAsia="黑体"/>
          <w:color w:val="000000"/>
          <w:szCs w:val="32"/>
        </w:rPr>
      </w:pPr>
      <w:r>
        <w:rPr>
          <w:rFonts w:hint="eastAsia" w:ascii="黑体" w:hAnsi="宋体" w:eastAsia="黑体"/>
          <w:color w:val="000000"/>
          <w:szCs w:val="32"/>
        </w:rPr>
        <w:br w:type="page"/>
      </w:r>
    </w:p>
    <w:p>
      <w:pPr>
        <w:pStyle w:val="16"/>
        <w:spacing w:after="0" w:line="600" w:lineRule="exact"/>
        <w:outlineLvl w:val="0"/>
        <w:rPr>
          <w:rFonts w:ascii="黑体" w:hAnsi="宋体" w:eastAsia="黑体"/>
          <w:color w:val="000000"/>
          <w:sz w:val="32"/>
          <w:szCs w:val="32"/>
        </w:rPr>
      </w:pPr>
      <w:r>
        <w:rPr>
          <w:rFonts w:hint="eastAsia" w:ascii="黑体" w:hAnsi="宋体" w:eastAsia="黑体"/>
          <w:color w:val="000000"/>
          <w:sz w:val="32"/>
          <w:szCs w:val="32"/>
        </w:rPr>
        <w:t xml:space="preserve">附件1:  </w:t>
      </w:r>
    </w:p>
    <w:p>
      <w:pPr>
        <w:pStyle w:val="2"/>
        <w:numPr>
          <w:ilvl w:val="0"/>
          <w:numId w:val="0"/>
        </w:numPr>
        <w:ind w:left="640"/>
        <w:jc w:val="center"/>
        <w:rPr>
          <w:sz w:val="28"/>
        </w:rPr>
      </w:pPr>
      <w:r>
        <w:rPr>
          <w:rFonts w:hint="eastAsia" w:hAnsi="黑体"/>
          <w:sz w:val="28"/>
        </w:rPr>
        <w:t>两侧划分</w:t>
      </w:r>
      <w:r>
        <w:rPr>
          <w:rFonts w:hint="eastAsia"/>
          <w:sz w:val="28"/>
        </w:rPr>
        <w:t>4a类声环境功能区的道路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238"/>
        <w:gridCol w:w="2272"/>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shd w:val="clear" w:color="auto" w:fill="auto"/>
            <w:vAlign w:val="center"/>
          </w:tcPr>
          <w:p>
            <w:pPr>
              <w:widowControl/>
              <w:snapToGrid w:val="0"/>
              <w:spacing w:line="240" w:lineRule="auto"/>
              <w:ind w:firstLine="0" w:firstLineChars="0"/>
              <w:jc w:val="center"/>
              <w:rPr>
                <w:b/>
                <w:bCs/>
                <w:kern w:val="0"/>
                <w:sz w:val="21"/>
                <w:szCs w:val="21"/>
              </w:rPr>
            </w:pPr>
            <w:r>
              <w:rPr>
                <w:b/>
                <w:bCs/>
                <w:kern w:val="0"/>
                <w:sz w:val="21"/>
                <w:szCs w:val="21"/>
              </w:rPr>
              <w:t>序号</w:t>
            </w:r>
          </w:p>
        </w:tc>
        <w:tc>
          <w:tcPr>
            <w:tcW w:w="0" w:type="auto"/>
            <w:shd w:val="clear" w:color="auto" w:fill="auto"/>
            <w:vAlign w:val="center"/>
          </w:tcPr>
          <w:p>
            <w:pPr>
              <w:widowControl/>
              <w:snapToGrid w:val="0"/>
              <w:spacing w:line="240" w:lineRule="auto"/>
              <w:ind w:firstLine="0" w:firstLineChars="0"/>
              <w:jc w:val="center"/>
              <w:rPr>
                <w:b/>
                <w:bCs/>
                <w:kern w:val="0"/>
                <w:sz w:val="21"/>
                <w:szCs w:val="21"/>
              </w:rPr>
            </w:pPr>
            <w:r>
              <w:rPr>
                <w:b/>
                <w:bCs/>
                <w:kern w:val="0"/>
                <w:sz w:val="21"/>
                <w:szCs w:val="21"/>
              </w:rPr>
              <w:t>道路名称</w:t>
            </w:r>
          </w:p>
        </w:tc>
        <w:tc>
          <w:tcPr>
            <w:tcW w:w="2272" w:type="dxa"/>
            <w:vAlign w:val="center"/>
          </w:tcPr>
          <w:p>
            <w:pPr>
              <w:widowControl/>
              <w:snapToGrid w:val="0"/>
              <w:spacing w:line="240" w:lineRule="auto"/>
              <w:ind w:firstLine="0" w:firstLineChars="0"/>
              <w:jc w:val="center"/>
              <w:rPr>
                <w:b/>
                <w:bCs/>
                <w:kern w:val="0"/>
                <w:sz w:val="21"/>
                <w:szCs w:val="21"/>
              </w:rPr>
            </w:pPr>
            <w:r>
              <w:rPr>
                <w:b/>
                <w:bCs/>
                <w:kern w:val="0"/>
                <w:sz w:val="21"/>
                <w:szCs w:val="21"/>
              </w:rPr>
              <w:t>起点</w:t>
            </w:r>
          </w:p>
        </w:tc>
        <w:tc>
          <w:tcPr>
            <w:tcW w:w="1984" w:type="dxa"/>
            <w:shd w:val="clear" w:color="auto" w:fill="auto"/>
            <w:vAlign w:val="center"/>
          </w:tcPr>
          <w:p>
            <w:pPr>
              <w:widowControl/>
              <w:snapToGrid w:val="0"/>
              <w:spacing w:line="240" w:lineRule="auto"/>
              <w:ind w:firstLine="0" w:firstLineChars="0"/>
              <w:jc w:val="center"/>
              <w:rPr>
                <w:b/>
                <w:bCs/>
                <w:kern w:val="0"/>
                <w:sz w:val="21"/>
                <w:szCs w:val="21"/>
              </w:rPr>
            </w:pPr>
            <w:r>
              <w:rPr>
                <w:b/>
                <w:bCs/>
                <w:kern w:val="0"/>
                <w:sz w:val="21"/>
                <w:szCs w:val="21"/>
              </w:rPr>
              <w:t>终点</w:t>
            </w:r>
          </w:p>
        </w:tc>
        <w:tc>
          <w:tcPr>
            <w:tcW w:w="1276" w:type="dxa"/>
            <w:vAlign w:val="center"/>
          </w:tcPr>
          <w:p>
            <w:pPr>
              <w:widowControl/>
              <w:snapToGrid w:val="0"/>
              <w:spacing w:line="240" w:lineRule="auto"/>
              <w:ind w:firstLine="0" w:firstLineChars="0"/>
              <w:jc w:val="center"/>
              <w:rPr>
                <w:b/>
                <w:bCs/>
                <w:kern w:val="0"/>
                <w:sz w:val="21"/>
                <w:szCs w:val="21"/>
              </w:rPr>
            </w:pPr>
            <w:r>
              <w:rPr>
                <w:b/>
                <w:bCs/>
                <w:kern w:val="0"/>
                <w:sz w:val="21"/>
                <w:szCs w:val="21"/>
              </w:rPr>
              <w:t>道路等级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G2京沪高速公路（京津塘高速公路）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吕营大桥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分钟寺桥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G45大广高速（京开高速公路）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新发地桥南</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玉泉营桥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G4京港澳高速（京石高速公路）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京良桥向南940米处</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六里桥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六环路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鲁陀路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能源厂路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沙羊路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一级公路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菜户营南路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玉泉营桥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菜户营桥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二环路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丰台北路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丰北桥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丽泽桥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丰体南路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丰北桥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G4京港澳高速（京石高速公路）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三环路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四环路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五环路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北宫路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射击场路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京原路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北京西站南路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北京西站</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成寿寺路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东铁营大街</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方庄东桥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16</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东大街</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游泳场北路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万丰桥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17</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樊家村路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樊羊路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芳菲路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18</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丰葆路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丰科路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外环西路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19</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丰草河北路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西四环路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北京西站南路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20</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丰科路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丰园路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南四环西路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21</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丰园路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芦东路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丰科路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22</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广安路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岳各庄南桥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马连道北路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23</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槐房西路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宏业东路口公交站</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公益西桥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24</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金中都南路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西三环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柳村路向东100米处</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25</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京良路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京开高速公路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26</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开阳路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万芳桥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开阳桥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27</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康辛路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怡康路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樊家村路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28</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科技大道</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外环西路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科丰桥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29</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丽泽路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丽泽桥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菜户营桥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30</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灵湖路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民族苑路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沙羊路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31</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榴乡路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榴乡桥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刘家窑桥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32</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柳村路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东管头街</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丽泽路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33</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六圈路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外环南路</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银地西路</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34</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马家堡东路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公益东桥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革新南路起点向北200米处</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35</w:t>
            </w:r>
          </w:p>
        </w:tc>
        <w:tc>
          <w:tcPr>
            <w:tcW w:w="0" w:type="auto"/>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马家堡西路</w:t>
            </w:r>
          </w:p>
        </w:tc>
        <w:tc>
          <w:tcPr>
            <w:tcW w:w="2272"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公益西桥</w:t>
            </w:r>
          </w:p>
        </w:tc>
        <w:tc>
          <w:tcPr>
            <w:tcW w:w="1984" w:type="dxa"/>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万芳桥</w:t>
            </w:r>
          </w:p>
        </w:tc>
        <w:tc>
          <w:tcPr>
            <w:tcW w:w="1276" w:type="dxa"/>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梅市口路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园博园南路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民族苑路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山湖路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灵湖路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南宫迎宾路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京良路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长青路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警备东路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木樨园桥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蒲黄榆路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玉蜓桥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刘家窑桥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山湖路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北京市丰台区水务局青龙湖再生水厂门前路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民族苑路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四合庄西路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通久路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京开东路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丰台区界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万丰路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万丰桥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北京客运段西办公区北侧路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万寿路南延（造甲街、科怡路）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游泳场北路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南四环路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G4京港澳高速（京石高速公路）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莲玉桥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银地家园南侧路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银地西路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银地东路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园博大道</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杜家坎环岛</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北宫路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园博园南路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长兴路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梅市口路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张仪村路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G4京港澳高速（京石高速公路）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吴家村路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长青路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良三路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周口店路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长兴路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大灰厂东路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大灰厂东路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主干路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葆台北路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居库路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丰葆路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北大街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西四环南路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七里庄路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曹家口路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教堂胡同</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周囗店路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草桥东路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南四环中路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南三环西路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成安路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益成街</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成寿寺中路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成寿寺中路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成寿寺路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程庄路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双营索引通道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春泽路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大红门西路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临泓路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大成路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西四环中路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大红门路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大红门西路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马家堡东路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大灰厂东路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长兴路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杜家坎环岛</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大灰厂路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魏各庄路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沙锅村北桥南220米处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大井东街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大井路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西四环南路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大井路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丰体南路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卢沟桥路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大瓦窑北路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张仪村路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大瓦窑东二街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大瓦窑中路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大瓦窑东路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大瓦窑中路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G4京港澳高速（京石高速公路）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大瓦窑北路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靛厂路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西四环中路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万丰路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定安路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南三环中路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刘家窑路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东安街头条</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部队东大门</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西四环南路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东关南街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G4京港澳高速（京石高速公路）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城内街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东货场路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万寿路南延</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四合庄西路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东铁营大街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横一条</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成寿寺路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樊家村路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芳菲路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联友路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樊羊路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樊羊路与京良路交叉口</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范家庄中街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范家庄西路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槐房西路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紫芳路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左安门桥北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东铁匠营大街</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芳古路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东铁营桥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左安门西滨河路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丰海北街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海户路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大红门路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丰海南街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海户路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邓村22号门前路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丰体北路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大井路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西四环南路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凤凰嘴街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西三环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金泽东路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89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富丰路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外环西路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富丰桥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高家场北路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联友路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京开高速公路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光彩路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大红门东桥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赵公口桥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广渠门南滨河路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左安门桥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华威南路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郭公庄南街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丰科路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樊羊路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恒丰路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万寿路南延（科怡路）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怡康路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槐房北路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新宫东路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槐房西路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黄陈路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丰台南路向南140米处</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嘉园路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南四环中路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南三环西路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嘉园南街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嘉园路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马家堡西路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角门路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G45大广高速（京开高速公路）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嘉园路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金桥东街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榴乡路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南顶路300号北门门前路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金泽东路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金中都南街</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骆驼湾街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金泽路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丰草河北路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凤凰嘴街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警备东路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新华路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久敬庄路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丰台东界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看丹南路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洪泰路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外环西路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科兴路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西四环南路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万寿路南延（科怡路）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良三路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贺照云村南公交站南40米处</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长青路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临泓路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马家堡东路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109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六里桥南路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西局北街</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广安路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六圈南路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丰葆路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樊羊路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卢沟桥路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大瓦窑桥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岳各庄南桥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卢沟桥南路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杜家坎环岛</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西五环中路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骆驼湾街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北京西站南路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柳村路与骆驼湾街交叉口向南200米</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马家堡路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南四环中路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北京南站路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马连道北路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广安路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广莲路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梅市口路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青塔西路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岳各庄北桥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南大红门路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南小街</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南大红门路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农场路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丰台南界</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永定河东河堤（南）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蒲方路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蒲黄榆路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青塔西路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双林南路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莲石东路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泉湖东路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泉湖西路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良三路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泉湖西路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泉湖东路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山湖路西路与泉湖西路交叉口向西220米</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任家庄路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香油厂路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槐房北路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石榴庄1号路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宋庄路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石榴庄7号路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石榴庄7号路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石榴庄1号路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石榴庄大街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石榴庄大街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光彩路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横一条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时村大街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南苑路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光彩路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双营索引通道</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程庄路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双林南路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宋庄路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南四环中路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太柏东路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连兴街</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长兴路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铁匠营路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横一条</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万华街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万寿路南延（造甲街）</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四合庄西路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望园路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广安路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魏各庄路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山湖路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大灰厂路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吴家场路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莲怡园东路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西三环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吴家村路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张仪村路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五圈路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丰科路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樊羊路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139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西局北街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西局西路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西三环南路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西罗园路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南三环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马家堡东路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小屯北街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小屯西路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京石高速公路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小屯北街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晓月西路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晓月东路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清音街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辛庄南路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张家坟路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大灰厂东路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新宫东路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新宫商业二街</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槐房北路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新华街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西四环南路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万寿路南延（造甲街）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银地东路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京良路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永定门东滨河路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玉蜓桥向西380米处</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玉蜓桥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右安门东滨河路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菜户营南路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开阳桥东600米处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右安门外大街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右安南桥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右安门桥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园博西二路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园博园南路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长顺三路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园博西一路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园博园南路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园博大道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岳各庄东路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梅市口东路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靛厂路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云岗路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云岗西路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周口店路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长顺二路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长顺一路南40米</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园博大道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长顺三路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园博西二路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北京百禾庭水厂往东200米处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长顺一路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园博西一路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园博大道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镇国寺北街</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京开高速公路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嘉园路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159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周口店路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G4京港澳高速（京石高速公路）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小清河桥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紫芳路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方庄东路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左安门西滨河路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玉蜓桥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左安门桥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次干路</w:t>
            </w:r>
          </w:p>
        </w:tc>
      </w:tr>
    </w:tbl>
    <w:p>
      <w:pPr>
        <w:ind w:firstLine="640"/>
      </w:pPr>
    </w:p>
    <w:p>
      <w:pPr>
        <w:adjustRightInd/>
        <w:spacing w:before="120" w:beforeLines="50" w:after="120" w:afterLines="50" w:line="440" w:lineRule="exact"/>
        <w:ind w:firstLine="0" w:firstLineChars="0"/>
        <w:outlineLvl w:val="0"/>
        <w:rPr>
          <w:rFonts w:ascii="黑体" w:hAnsi="宋体" w:eastAsia="黑体"/>
          <w:szCs w:val="32"/>
        </w:rPr>
      </w:pPr>
      <w:r>
        <w:rPr>
          <w:rFonts w:hint="eastAsia" w:ascii="黑体" w:hAnsi="宋体" w:eastAsia="黑体"/>
          <w:szCs w:val="32"/>
        </w:rPr>
        <w:t xml:space="preserve">附件2: </w:t>
      </w:r>
    </w:p>
    <w:p>
      <w:pPr>
        <w:pStyle w:val="2"/>
        <w:numPr>
          <w:ilvl w:val="0"/>
          <w:numId w:val="0"/>
        </w:numPr>
        <w:ind w:left="640"/>
        <w:jc w:val="center"/>
        <w:rPr>
          <w:rFonts w:hAnsi="黑体"/>
          <w:sz w:val="28"/>
        </w:rPr>
      </w:pPr>
      <w:r>
        <w:rPr>
          <w:rFonts w:hint="eastAsia" w:hAnsi="黑体"/>
          <w:sz w:val="28"/>
        </w:rPr>
        <w:t>两侧划分4a类声环境功能区的城市轨道交通（地面段）</w:t>
      </w:r>
    </w:p>
    <w:tbl>
      <w:tblPr>
        <w:tblStyle w:val="19"/>
        <w:tblW w:w="5000" w:type="pct"/>
        <w:tblInd w:w="0" w:type="dxa"/>
        <w:tblLayout w:type="autofit"/>
        <w:tblCellMar>
          <w:top w:w="0" w:type="dxa"/>
          <w:left w:w="108" w:type="dxa"/>
          <w:bottom w:w="0" w:type="dxa"/>
          <w:right w:w="108" w:type="dxa"/>
        </w:tblCellMar>
      </w:tblPr>
      <w:tblGrid>
        <w:gridCol w:w="1219"/>
        <w:gridCol w:w="1721"/>
        <w:gridCol w:w="2427"/>
        <w:gridCol w:w="4027"/>
      </w:tblGrid>
      <w:tr>
        <w:tblPrEx>
          <w:tblCellMar>
            <w:top w:w="0" w:type="dxa"/>
            <w:left w:w="108" w:type="dxa"/>
            <w:bottom w:w="0" w:type="dxa"/>
            <w:right w:w="108" w:type="dxa"/>
          </w:tblCellMar>
        </w:tblPrEx>
        <w:trPr>
          <w:trHeight w:val="315" w:hRule="atLeast"/>
        </w:trPr>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序号</w:t>
            </w:r>
          </w:p>
        </w:tc>
        <w:tc>
          <w:tcPr>
            <w:tcW w:w="916"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名称</w:t>
            </w:r>
          </w:p>
        </w:tc>
        <w:tc>
          <w:tcPr>
            <w:tcW w:w="1292"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起点</w:t>
            </w:r>
          </w:p>
        </w:tc>
        <w:tc>
          <w:tcPr>
            <w:tcW w:w="2143" w:type="pct"/>
            <w:tcBorders>
              <w:top w:val="single" w:color="auto" w:sz="4" w:space="0"/>
              <w:left w:val="nil"/>
              <w:bottom w:val="single" w:color="auto" w:sz="4" w:space="0"/>
              <w:right w:val="single" w:color="auto" w:sz="4" w:space="0"/>
            </w:tcBorders>
          </w:tcPr>
          <w:p>
            <w:pPr>
              <w:widowControl/>
              <w:snapToGrid w:val="0"/>
              <w:spacing w:line="240" w:lineRule="auto"/>
              <w:ind w:firstLine="0" w:firstLineChars="0"/>
              <w:jc w:val="center"/>
              <w:rPr>
                <w:b/>
                <w:bCs/>
                <w:kern w:val="0"/>
                <w:sz w:val="21"/>
                <w:szCs w:val="21"/>
              </w:rPr>
            </w:pPr>
            <w:r>
              <w:rPr>
                <w:rFonts w:hint="eastAsia"/>
                <w:b/>
                <w:bCs/>
                <w:kern w:val="0"/>
                <w:sz w:val="21"/>
                <w:szCs w:val="21"/>
              </w:rPr>
              <w:t>终点</w:t>
            </w:r>
          </w:p>
        </w:tc>
      </w:tr>
      <w:tr>
        <w:tblPrEx>
          <w:tblCellMar>
            <w:top w:w="0" w:type="dxa"/>
            <w:left w:w="108" w:type="dxa"/>
            <w:bottom w:w="0" w:type="dxa"/>
            <w:right w:w="108" w:type="dxa"/>
          </w:tblCellMar>
        </w:tblPrEx>
        <w:trPr>
          <w:trHeight w:val="345" w:hRule="atLeast"/>
        </w:trPr>
        <w:tc>
          <w:tcPr>
            <w:tcW w:w="649"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Cs/>
                <w:kern w:val="0"/>
                <w:sz w:val="21"/>
                <w:szCs w:val="21"/>
              </w:rPr>
            </w:pPr>
            <w:r>
              <w:rPr>
                <w:rFonts w:hint="eastAsia"/>
                <w:bCs/>
                <w:kern w:val="0"/>
                <w:sz w:val="21"/>
                <w:szCs w:val="21"/>
              </w:rPr>
              <w:t>1</w:t>
            </w:r>
          </w:p>
        </w:tc>
        <w:tc>
          <w:tcPr>
            <w:tcW w:w="916"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Cs/>
                <w:kern w:val="0"/>
                <w:sz w:val="21"/>
                <w:szCs w:val="21"/>
              </w:rPr>
            </w:pPr>
            <w:r>
              <w:rPr>
                <w:rFonts w:hint="eastAsia"/>
                <w:bCs/>
                <w:kern w:val="0"/>
                <w:sz w:val="21"/>
                <w:szCs w:val="21"/>
              </w:rPr>
              <w:t>大兴线</w:t>
            </w:r>
          </w:p>
        </w:tc>
        <w:tc>
          <w:tcPr>
            <w:tcW w:w="1292"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Cs/>
                <w:kern w:val="0"/>
                <w:sz w:val="21"/>
                <w:szCs w:val="21"/>
              </w:rPr>
            </w:pPr>
            <w:r>
              <w:rPr>
                <w:rFonts w:hint="eastAsia"/>
                <w:bCs/>
                <w:kern w:val="0"/>
                <w:sz w:val="21"/>
                <w:szCs w:val="21"/>
              </w:rPr>
              <w:t>丰台大兴区界</w:t>
            </w:r>
          </w:p>
        </w:tc>
        <w:tc>
          <w:tcPr>
            <w:tcW w:w="2143" w:type="pct"/>
            <w:tcBorders>
              <w:top w:val="single" w:color="auto" w:sz="4" w:space="0"/>
              <w:left w:val="nil"/>
              <w:bottom w:val="single" w:color="auto" w:sz="4" w:space="0"/>
              <w:right w:val="single" w:color="auto" w:sz="4" w:space="0"/>
            </w:tcBorders>
          </w:tcPr>
          <w:p>
            <w:pPr>
              <w:widowControl/>
              <w:snapToGrid w:val="0"/>
              <w:spacing w:line="240" w:lineRule="auto"/>
              <w:ind w:firstLine="0" w:firstLineChars="0"/>
              <w:jc w:val="center"/>
              <w:rPr>
                <w:bCs/>
                <w:kern w:val="0"/>
                <w:sz w:val="21"/>
                <w:szCs w:val="21"/>
              </w:rPr>
            </w:pPr>
            <w:r>
              <w:rPr>
                <w:rFonts w:hint="eastAsia"/>
                <w:bCs/>
                <w:kern w:val="0"/>
                <w:sz w:val="21"/>
                <w:szCs w:val="21"/>
              </w:rPr>
              <w:t>丰台大兴区界</w:t>
            </w:r>
          </w:p>
        </w:tc>
      </w:tr>
      <w:tr>
        <w:tblPrEx>
          <w:tblCellMar>
            <w:top w:w="0" w:type="dxa"/>
            <w:left w:w="108" w:type="dxa"/>
            <w:bottom w:w="0" w:type="dxa"/>
            <w:right w:w="108" w:type="dxa"/>
          </w:tblCellMar>
        </w:tblPrEx>
        <w:trPr>
          <w:trHeight w:val="345" w:hRule="atLeast"/>
        </w:trPr>
        <w:tc>
          <w:tcPr>
            <w:tcW w:w="649"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Cs/>
                <w:kern w:val="0"/>
                <w:sz w:val="21"/>
                <w:szCs w:val="21"/>
              </w:rPr>
            </w:pPr>
            <w:r>
              <w:rPr>
                <w:rFonts w:hint="eastAsia"/>
                <w:bCs/>
                <w:kern w:val="0"/>
                <w:sz w:val="21"/>
                <w:szCs w:val="21"/>
              </w:rPr>
              <w:t>2</w:t>
            </w:r>
          </w:p>
        </w:tc>
        <w:tc>
          <w:tcPr>
            <w:tcW w:w="916"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Cs/>
                <w:kern w:val="0"/>
                <w:sz w:val="21"/>
                <w:szCs w:val="21"/>
              </w:rPr>
            </w:pPr>
            <w:r>
              <w:rPr>
                <w:rFonts w:hint="eastAsia"/>
                <w:bCs/>
                <w:kern w:val="0"/>
                <w:sz w:val="21"/>
                <w:szCs w:val="21"/>
              </w:rPr>
              <w:t>14号线</w:t>
            </w:r>
          </w:p>
        </w:tc>
        <w:tc>
          <w:tcPr>
            <w:tcW w:w="1292"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Cs/>
                <w:kern w:val="0"/>
                <w:sz w:val="21"/>
                <w:szCs w:val="21"/>
              </w:rPr>
            </w:pPr>
            <w:r>
              <w:rPr>
                <w:rFonts w:hint="eastAsia"/>
                <w:bCs/>
                <w:kern w:val="0"/>
                <w:sz w:val="21"/>
                <w:szCs w:val="21"/>
              </w:rPr>
              <w:t>张郭庄站西侧</w:t>
            </w:r>
          </w:p>
        </w:tc>
        <w:tc>
          <w:tcPr>
            <w:tcW w:w="2143" w:type="pct"/>
            <w:tcBorders>
              <w:top w:val="single" w:color="auto" w:sz="4" w:space="0"/>
              <w:left w:val="nil"/>
              <w:bottom w:val="single" w:color="auto" w:sz="4" w:space="0"/>
              <w:right w:val="single" w:color="auto" w:sz="4" w:space="0"/>
            </w:tcBorders>
          </w:tcPr>
          <w:p>
            <w:pPr>
              <w:widowControl/>
              <w:snapToGrid w:val="0"/>
              <w:spacing w:line="240" w:lineRule="auto"/>
              <w:ind w:firstLine="0" w:firstLineChars="0"/>
              <w:jc w:val="center"/>
              <w:rPr>
                <w:bCs/>
                <w:kern w:val="0"/>
                <w:sz w:val="21"/>
                <w:szCs w:val="21"/>
              </w:rPr>
            </w:pPr>
            <w:r>
              <w:rPr>
                <w:rFonts w:hint="eastAsia"/>
                <w:bCs/>
                <w:kern w:val="0"/>
                <w:sz w:val="21"/>
                <w:szCs w:val="21"/>
              </w:rPr>
              <w:t>张仪村车辆段</w:t>
            </w:r>
          </w:p>
        </w:tc>
      </w:tr>
      <w:tr>
        <w:tblPrEx>
          <w:tblCellMar>
            <w:top w:w="0" w:type="dxa"/>
            <w:left w:w="108" w:type="dxa"/>
            <w:bottom w:w="0" w:type="dxa"/>
            <w:right w:w="108" w:type="dxa"/>
          </w:tblCellMar>
        </w:tblPrEx>
        <w:trPr>
          <w:trHeight w:val="345" w:hRule="atLeast"/>
        </w:trPr>
        <w:tc>
          <w:tcPr>
            <w:tcW w:w="649" w:type="pc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Cs/>
                <w:kern w:val="0"/>
                <w:sz w:val="21"/>
                <w:szCs w:val="21"/>
              </w:rPr>
            </w:pPr>
            <w:r>
              <w:rPr>
                <w:rFonts w:hint="eastAsia"/>
                <w:bCs/>
                <w:kern w:val="0"/>
                <w:sz w:val="21"/>
                <w:szCs w:val="21"/>
              </w:rPr>
              <w:t>3</w:t>
            </w:r>
          </w:p>
        </w:tc>
        <w:tc>
          <w:tcPr>
            <w:tcW w:w="916"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Cs/>
                <w:kern w:val="0"/>
                <w:sz w:val="21"/>
                <w:szCs w:val="21"/>
              </w:rPr>
            </w:pPr>
            <w:r>
              <w:rPr>
                <w:rFonts w:hint="eastAsia"/>
                <w:bCs/>
                <w:kern w:val="0"/>
                <w:sz w:val="21"/>
                <w:szCs w:val="21"/>
              </w:rPr>
              <w:t>房山线</w:t>
            </w:r>
          </w:p>
        </w:tc>
        <w:tc>
          <w:tcPr>
            <w:tcW w:w="1292" w:type="pct"/>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Cs/>
                <w:kern w:val="0"/>
                <w:sz w:val="21"/>
                <w:szCs w:val="21"/>
              </w:rPr>
            </w:pPr>
            <w:r>
              <w:rPr>
                <w:rFonts w:hint="eastAsia"/>
                <w:bCs/>
                <w:kern w:val="0"/>
                <w:sz w:val="21"/>
                <w:szCs w:val="21"/>
              </w:rPr>
              <w:t>丰台房山区界</w:t>
            </w:r>
          </w:p>
        </w:tc>
        <w:tc>
          <w:tcPr>
            <w:tcW w:w="2143" w:type="pct"/>
            <w:tcBorders>
              <w:top w:val="single" w:color="auto" w:sz="4" w:space="0"/>
              <w:left w:val="nil"/>
              <w:bottom w:val="single" w:color="auto" w:sz="4" w:space="0"/>
              <w:right w:val="single" w:color="auto" w:sz="4" w:space="0"/>
            </w:tcBorders>
          </w:tcPr>
          <w:p>
            <w:pPr>
              <w:widowControl/>
              <w:snapToGrid w:val="0"/>
              <w:spacing w:line="240" w:lineRule="auto"/>
              <w:ind w:firstLine="0" w:firstLineChars="0"/>
              <w:jc w:val="center"/>
              <w:rPr>
                <w:bCs/>
                <w:kern w:val="0"/>
                <w:sz w:val="21"/>
                <w:szCs w:val="21"/>
              </w:rPr>
            </w:pPr>
            <w:r>
              <w:rPr>
                <w:rFonts w:hint="eastAsia"/>
                <w:bCs/>
                <w:kern w:val="0"/>
                <w:sz w:val="21"/>
                <w:szCs w:val="21"/>
              </w:rPr>
              <w:t>大葆台站西侧入地处</w:t>
            </w:r>
          </w:p>
        </w:tc>
      </w:tr>
    </w:tbl>
    <w:p>
      <w:pPr>
        <w:widowControl/>
        <w:snapToGrid w:val="0"/>
        <w:spacing w:line="240" w:lineRule="auto"/>
        <w:ind w:firstLine="0" w:firstLineChars="0"/>
        <w:jc w:val="center"/>
        <w:rPr>
          <w:bCs/>
          <w:kern w:val="0"/>
          <w:sz w:val="21"/>
          <w:szCs w:val="21"/>
        </w:rPr>
      </w:pPr>
    </w:p>
    <w:p>
      <w:pPr>
        <w:adjustRightInd/>
        <w:spacing w:before="120" w:beforeLines="50" w:after="120" w:afterLines="50" w:line="440" w:lineRule="exact"/>
        <w:ind w:firstLine="0" w:firstLineChars="0"/>
        <w:outlineLvl w:val="0"/>
        <w:rPr>
          <w:rFonts w:ascii="黑体" w:hAnsi="宋体" w:eastAsia="黑体"/>
          <w:szCs w:val="32"/>
        </w:rPr>
      </w:pPr>
      <w:r>
        <w:rPr>
          <w:rFonts w:hint="eastAsia" w:ascii="黑体" w:hAnsi="宋体" w:eastAsia="黑体"/>
          <w:szCs w:val="32"/>
        </w:rPr>
        <w:t xml:space="preserve">附表3  </w:t>
      </w:r>
    </w:p>
    <w:p>
      <w:pPr>
        <w:pStyle w:val="2"/>
        <w:numPr>
          <w:ilvl w:val="0"/>
          <w:numId w:val="0"/>
        </w:numPr>
        <w:ind w:left="640"/>
        <w:jc w:val="center"/>
        <w:rPr>
          <w:rFonts w:hint="eastAsia" w:hAnsi="黑体"/>
          <w:sz w:val="28"/>
        </w:rPr>
      </w:pPr>
      <w:r>
        <w:rPr>
          <w:rFonts w:hint="eastAsia" w:hAnsi="黑体"/>
          <w:sz w:val="28"/>
        </w:rPr>
        <w:t>两侧划分4b类声环境功能区的铁路</w:t>
      </w:r>
    </w:p>
    <w:tbl>
      <w:tblPr>
        <w:tblStyle w:val="19"/>
        <w:tblW w:w="9600" w:type="dxa"/>
        <w:tblInd w:w="93" w:type="dxa"/>
        <w:tblLayout w:type="autofit"/>
        <w:tblCellMar>
          <w:top w:w="0" w:type="dxa"/>
          <w:left w:w="108" w:type="dxa"/>
          <w:bottom w:w="0" w:type="dxa"/>
          <w:right w:w="108" w:type="dxa"/>
        </w:tblCellMar>
      </w:tblPr>
      <w:tblGrid>
        <w:gridCol w:w="1080"/>
        <w:gridCol w:w="2840"/>
        <w:gridCol w:w="2840"/>
        <w:gridCol w:w="2840"/>
      </w:tblGrid>
      <w:tr>
        <w:tblPrEx>
          <w:tblCellMar>
            <w:top w:w="0" w:type="dxa"/>
            <w:left w:w="108" w:type="dxa"/>
            <w:bottom w:w="0" w:type="dxa"/>
            <w:right w:w="108" w:type="dxa"/>
          </w:tblCellMar>
        </w:tblPrEx>
        <w:trPr>
          <w:trHeight w:val="493" w:hRule="atLeast"/>
          <w:tblHead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序号</w:t>
            </w:r>
          </w:p>
        </w:tc>
        <w:tc>
          <w:tcPr>
            <w:tcW w:w="284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名称</w:t>
            </w:r>
          </w:p>
        </w:tc>
        <w:tc>
          <w:tcPr>
            <w:tcW w:w="284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起点</w:t>
            </w:r>
          </w:p>
        </w:tc>
        <w:tc>
          <w:tcPr>
            <w:tcW w:w="284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终点</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1</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丰沙线</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北京丰台站</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丰台石景山区界</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2</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丰双线</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丰台西站</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丰台大兴区界</w:t>
            </w:r>
          </w:p>
        </w:tc>
      </w:tr>
      <w:tr>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3</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京港台高铁</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北京丰台站</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丰台动车所、客车整备所</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4</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京广高速铁路</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北京丰台站</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丰台房山区界</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5</w:t>
            </w:r>
          </w:p>
        </w:tc>
        <w:tc>
          <w:tcPr>
            <w:tcW w:w="28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京广高铁京西联络线</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北京西站</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丰台石景山区界</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Calibri" w:hAnsi="Calibri" w:eastAsia="宋体" w:cs="Calibri"/>
                <w:color w:val="000000"/>
                <w:kern w:val="0"/>
                <w:sz w:val="21"/>
                <w:szCs w:val="21"/>
              </w:rPr>
            </w:pPr>
          </w:p>
        </w:tc>
        <w:tc>
          <w:tcPr>
            <w:tcW w:w="284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仿宋_GB2312" w:hAnsi="宋体" w:cs="宋体"/>
                <w:color w:val="000000"/>
                <w:kern w:val="0"/>
                <w:sz w:val="21"/>
                <w:szCs w:val="21"/>
              </w:rPr>
            </w:pP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丰台石景山区界</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京广高速铁路</w:t>
            </w:r>
          </w:p>
        </w:tc>
      </w:tr>
      <w:tr>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6</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京广线</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北京丰台站</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丰台房山区界</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7</w:t>
            </w:r>
          </w:p>
        </w:tc>
        <w:tc>
          <w:tcPr>
            <w:tcW w:w="28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京广线（西长线）</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北京西站</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丰台石景山区界</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Calibri" w:hAnsi="Calibri" w:eastAsia="宋体" w:cs="Calibri"/>
                <w:color w:val="000000"/>
                <w:kern w:val="0"/>
                <w:sz w:val="21"/>
                <w:szCs w:val="21"/>
              </w:rPr>
            </w:pPr>
          </w:p>
        </w:tc>
        <w:tc>
          <w:tcPr>
            <w:tcW w:w="284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仿宋_GB2312" w:hAnsi="宋体" w:cs="宋体"/>
                <w:color w:val="000000"/>
                <w:kern w:val="0"/>
                <w:sz w:val="21"/>
                <w:szCs w:val="21"/>
              </w:rPr>
            </w:pP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丰台石景山区界</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丰台房山区界</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8</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京沪高速铁路</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北京南站</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丰台大兴区界</w:t>
            </w:r>
          </w:p>
        </w:tc>
      </w:tr>
      <w:tr>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9</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京沪线</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丰台东城区界</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丰台大兴区界</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10</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京津城际铁路</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丰台东城区界</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丰台朝阳区界</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11</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京九线（京雄城际）</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丰台西城区界</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丰台大兴区界</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Calibri" w:hAnsi="Calibri" w:eastAsia="宋体" w:cs="Calibri"/>
                <w:color w:val="000000"/>
                <w:kern w:val="0"/>
                <w:sz w:val="21"/>
                <w:szCs w:val="21"/>
              </w:rPr>
            </w:pPr>
            <w:r>
              <w:rPr>
                <w:rFonts w:ascii="Calibri" w:hAnsi="Calibri" w:eastAsia="宋体" w:cs="Calibri"/>
                <w:color w:val="000000"/>
                <w:kern w:val="0"/>
                <w:sz w:val="21"/>
                <w:szCs w:val="21"/>
              </w:rPr>
              <w:t>12</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京原线</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丰台石景山区界</w:t>
            </w:r>
          </w:p>
        </w:tc>
        <w:tc>
          <w:tcPr>
            <w:tcW w:w="284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丰台房山区界</w:t>
            </w:r>
          </w:p>
        </w:tc>
      </w:tr>
    </w:tbl>
    <w:p>
      <w:pPr>
        <w:adjustRightInd/>
        <w:spacing w:before="120" w:beforeLines="50" w:after="120" w:afterLines="50" w:line="440" w:lineRule="exact"/>
        <w:ind w:firstLine="0" w:firstLineChars="0"/>
        <w:outlineLvl w:val="0"/>
        <w:rPr>
          <w:rFonts w:ascii="黑体" w:hAnsi="宋体" w:eastAsia="黑体"/>
          <w:szCs w:val="32"/>
        </w:rPr>
      </w:pPr>
      <w:r>
        <w:rPr>
          <w:rFonts w:hint="eastAsia" w:ascii="黑体" w:hAnsi="宋体" w:eastAsia="黑体"/>
          <w:szCs w:val="32"/>
        </w:rPr>
        <w:t>附件4</w:t>
      </w:r>
    </w:p>
    <w:p>
      <w:pPr>
        <w:pStyle w:val="2"/>
        <w:numPr>
          <w:ilvl w:val="0"/>
          <w:numId w:val="0"/>
        </w:numPr>
        <w:ind w:left="640"/>
        <w:jc w:val="center"/>
        <w:rPr>
          <w:rFonts w:hAnsi="黑体"/>
          <w:sz w:val="28"/>
        </w:rPr>
      </w:pPr>
      <w:r>
        <w:rPr>
          <w:rFonts w:hint="eastAsia" w:hAnsi="黑体"/>
          <w:sz w:val="28"/>
        </w:rPr>
        <w:t>划分4b类声环境功能区的场站</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527"/>
        <w:gridCol w:w="2076"/>
        <w:gridCol w:w="176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0" w:type="pct"/>
            <w:shd w:val="clear" w:color="auto" w:fill="auto"/>
            <w:noWrap/>
            <w:vAlign w:val="center"/>
          </w:tcPr>
          <w:p>
            <w:pPr>
              <w:widowControl/>
              <w:snapToGrid w:val="0"/>
              <w:spacing w:line="240" w:lineRule="auto"/>
              <w:ind w:firstLine="0" w:firstLineChars="0"/>
              <w:jc w:val="center"/>
              <w:rPr>
                <w:b/>
                <w:color w:val="000000"/>
                <w:kern w:val="0"/>
                <w:sz w:val="21"/>
                <w:szCs w:val="21"/>
              </w:rPr>
            </w:pPr>
            <w:r>
              <w:rPr>
                <w:rFonts w:hint="eastAsia"/>
                <w:b/>
                <w:color w:val="000000"/>
                <w:kern w:val="0"/>
                <w:sz w:val="21"/>
                <w:szCs w:val="21"/>
              </w:rPr>
              <w:t>序号</w:t>
            </w:r>
          </w:p>
        </w:tc>
        <w:tc>
          <w:tcPr>
            <w:tcW w:w="1877" w:type="pct"/>
            <w:shd w:val="clear" w:color="auto" w:fill="auto"/>
            <w:noWrap/>
            <w:vAlign w:val="center"/>
          </w:tcPr>
          <w:p>
            <w:pPr>
              <w:widowControl/>
              <w:snapToGrid w:val="0"/>
              <w:spacing w:line="240" w:lineRule="auto"/>
              <w:ind w:firstLine="0" w:firstLineChars="0"/>
              <w:jc w:val="center"/>
              <w:rPr>
                <w:b/>
                <w:color w:val="000000"/>
                <w:kern w:val="0"/>
                <w:sz w:val="21"/>
                <w:szCs w:val="21"/>
              </w:rPr>
            </w:pPr>
            <w:r>
              <w:rPr>
                <w:rFonts w:hint="eastAsia"/>
                <w:b/>
                <w:color w:val="000000"/>
                <w:kern w:val="0"/>
                <w:sz w:val="21"/>
                <w:szCs w:val="21"/>
              </w:rPr>
              <w:t>名称</w:t>
            </w:r>
          </w:p>
        </w:tc>
        <w:tc>
          <w:tcPr>
            <w:tcW w:w="1105" w:type="pct"/>
            <w:vAlign w:val="center"/>
          </w:tcPr>
          <w:p>
            <w:pPr>
              <w:widowControl/>
              <w:snapToGrid w:val="0"/>
              <w:spacing w:line="240" w:lineRule="auto"/>
              <w:ind w:firstLine="0" w:firstLineChars="0"/>
              <w:jc w:val="center"/>
              <w:rPr>
                <w:b/>
                <w:color w:val="000000"/>
                <w:kern w:val="0"/>
                <w:sz w:val="21"/>
                <w:szCs w:val="21"/>
              </w:rPr>
            </w:pPr>
            <w:r>
              <w:rPr>
                <w:rFonts w:hint="eastAsia"/>
                <w:b/>
                <w:color w:val="000000"/>
                <w:kern w:val="0"/>
                <w:sz w:val="21"/>
                <w:szCs w:val="21"/>
              </w:rPr>
              <w:t>面积（平方千米）</w:t>
            </w:r>
          </w:p>
        </w:tc>
        <w:tc>
          <w:tcPr>
            <w:tcW w:w="940" w:type="pct"/>
            <w:vAlign w:val="center"/>
          </w:tcPr>
          <w:p>
            <w:pPr>
              <w:widowControl/>
              <w:snapToGrid w:val="0"/>
              <w:spacing w:line="240" w:lineRule="auto"/>
              <w:ind w:firstLine="0" w:firstLineChars="0"/>
              <w:jc w:val="center"/>
              <w:rPr>
                <w:b/>
                <w:color w:val="000000"/>
                <w:kern w:val="0"/>
                <w:sz w:val="21"/>
                <w:szCs w:val="21"/>
              </w:rPr>
            </w:pPr>
            <w:r>
              <w:rPr>
                <w:rFonts w:hint="eastAsia"/>
                <w:b/>
                <w:color w:val="000000"/>
                <w:kern w:val="0"/>
                <w:sz w:val="21"/>
                <w:szCs w:val="21"/>
              </w:rPr>
              <w:t>类型</w:t>
            </w:r>
          </w:p>
        </w:tc>
        <w:tc>
          <w:tcPr>
            <w:tcW w:w="718" w:type="pct"/>
            <w:shd w:val="clear" w:color="auto" w:fill="auto"/>
            <w:noWrap/>
            <w:vAlign w:val="center"/>
          </w:tcPr>
          <w:p>
            <w:pPr>
              <w:widowControl/>
              <w:snapToGrid w:val="0"/>
              <w:spacing w:line="240" w:lineRule="auto"/>
              <w:ind w:firstLine="0" w:firstLineChars="0"/>
              <w:jc w:val="center"/>
              <w:rPr>
                <w:b/>
                <w:color w:val="000000"/>
                <w:kern w:val="0"/>
                <w:sz w:val="21"/>
                <w:szCs w:val="21"/>
              </w:rPr>
            </w:pPr>
            <w:r>
              <w:rPr>
                <w:rFonts w:hint="eastAsia"/>
                <w:b/>
                <w:color w:val="000000"/>
                <w:kern w:val="0"/>
                <w:sz w:val="21"/>
                <w:szCs w:val="21"/>
              </w:rPr>
              <w:t>功能区类别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0" w:type="pct"/>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1</w:t>
            </w:r>
          </w:p>
        </w:tc>
        <w:tc>
          <w:tcPr>
            <w:tcW w:w="1877" w:type="pct"/>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北京丰台站</w:t>
            </w:r>
          </w:p>
        </w:tc>
        <w:tc>
          <w:tcPr>
            <w:tcW w:w="1105" w:type="pct"/>
            <w:vAlign w:val="center"/>
          </w:tcPr>
          <w:p>
            <w:pPr>
              <w:widowControl/>
              <w:snapToGrid w:val="0"/>
              <w:spacing w:line="240" w:lineRule="auto"/>
              <w:ind w:firstLine="0" w:firstLineChars="0"/>
              <w:jc w:val="center"/>
              <w:rPr>
                <w:bCs/>
                <w:kern w:val="0"/>
                <w:sz w:val="21"/>
                <w:szCs w:val="21"/>
              </w:rPr>
            </w:pPr>
            <w:r>
              <w:rPr>
                <w:bCs/>
                <w:kern w:val="0"/>
                <w:sz w:val="21"/>
                <w:szCs w:val="21"/>
              </w:rPr>
              <w:t>0.5</w:t>
            </w:r>
          </w:p>
        </w:tc>
        <w:tc>
          <w:tcPr>
            <w:tcW w:w="940" w:type="pct"/>
            <w:vMerge w:val="restart"/>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铁路场站</w:t>
            </w:r>
          </w:p>
        </w:tc>
        <w:tc>
          <w:tcPr>
            <w:tcW w:w="718" w:type="pct"/>
            <w:vMerge w:val="restart"/>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0" w:type="pct"/>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2</w:t>
            </w:r>
          </w:p>
        </w:tc>
        <w:tc>
          <w:tcPr>
            <w:tcW w:w="1877" w:type="pct"/>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北京南站</w:t>
            </w:r>
          </w:p>
        </w:tc>
        <w:tc>
          <w:tcPr>
            <w:tcW w:w="1105" w:type="pct"/>
            <w:vAlign w:val="center"/>
          </w:tcPr>
          <w:p>
            <w:pPr>
              <w:widowControl/>
              <w:snapToGrid w:val="0"/>
              <w:spacing w:line="240" w:lineRule="auto"/>
              <w:ind w:firstLine="0" w:firstLineChars="0"/>
              <w:jc w:val="center"/>
              <w:rPr>
                <w:bCs/>
                <w:kern w:val="0"/>
                <w:sz w:val="21"/>
                <w:szCs w:val="21"/>
              </w:rPr>
            </w:pPr>
            <w:r>
              <w:rPr>
                <w:bCs/>
                <w:kern w:val="0"/>
                <w:sz w:val="21"/>
                <w:szCs w:val="21"/>
              </w:rPr>
              <w:t>0.4</w:t>
            </w:r>
          </w:p>
        </w:tc>
        <w:tc>
          <w:tcPr>
            <w:tcW w:w="940" w:type="pct"/>
            <w:vMerge w:val="continue"/>
            <w:vAlign w:val="center"/>
          </w:tcPr>
          <w:p>
            <w:pPr>
              <w:widowControl/>
              <w:snapToGrid w:val="0"/>
              <w:spacing w:line="240" w:lineRule="auto"/>
              <w:ind w:firstLine="0" w:firstLineChars="0"/>
              <w:jc w:val="left"/>
              <w:rPr>
                <w:color w:val="000000"/>
                <w:kern w:val="0"/>
                <w:sz w:val="21"/>
                <w:szCs w:val="21"/>
              </w:rPr>
            </w:pPr>
          </w:p>
        </w:tc>
        <w:tc>
          <w:tcPr>
            <w:tcW w:w="718" w:type="pct"/>
            <w:vMerge w:val="continue"/>
            <w:vAlign w:val="center"/>
          </w:tcPr>
          <w:p>
            <w:pPr>
              <w:widowControl/>
              <w:adjustRightInd/>
              <w:spacing w:line="240" w:lineRule="auto"/>
              <w:ind w:firstLine="0" w:firstLineChars="0"/>
              <w:jc w:val="left"/>
              <w:rPr>
                <w:rFonts w:ascii="微软雅黑" w:hAnsi="微软雅黑" w:eastAsia="微软雅黑"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0" w:type="pct"/>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3</w:t>
            </w:r>
          </w:p>
        </w:tc>
        <w:tc>
          <w:tcPr>
            <w:tcW w:w="1877" w:type="pct"/>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北京西站</w:t>
            </w:r>
          </w:p>
        </w:tc>
        <w:tc>
          <w:tcPr>
            <w:tcW w:w="1105" w:type="pct"/>
            <w:vAlign w:val="center"/>
          </w:tcPr>
          <w:p>
            <w:pPr>
              <w:widowControl/>
              <w:snapToGrid w:val="0"/>
              <w:spacing w:line="240" w:lineRule="auto"/>
              <w:ind w:firstLine="0" w:firstLineChars="0"/>
              <w:jc w:val="center"/>
              <w:rPr>
                <w:bCs/>
                <w:kern w:val="0"/>
                <w:sz w:val="21"/>
                <w:szCs w:val="21"/>
              </w:rPr>
            </w:pPr>
            <w:r>
              <w:rPr>
                <w:bCs/>
                <w:kern w:val="0"/>
                <w:sz w:val="21"/>
                <w:szCs w:val="21"/>
              </w:rPr>
              <w:t>0.7</w:t>
            </w:r>
          </w:p>
        </w:tc>
        <w:tc>
          <w:tcPr>
            <w:tcW w:w="940" w:type="pct"/>
            <w:vMerge w:val="continue"/>
            <w:vAlign w:val="center"/>
          </w:tcPr>
          <w:p>
            <w:pPr>
              <w:widowControl/>
              <w:snapToGrid w:val="0"/>
              <w:spacing w:line="240" w:lineRule="auto"/>
              <w:ind w:firstLine="0" w:firstLineChars="0"/>
              <w:jc w:val="left"/>
              <w:rPr>
                <w:color w:val="000000"/>
                <w:kern w:val="0"/>
                <w:sz w:val="21"/>
                <w:szCs w:val="21"/>
              </w:rPr>
            </w:pPr>
          </w:p>
        </w:tc>
        <w:tc>
          <w:tcPr>
            <w:tcW w:w="718" w:type="pct"/>
            <w:vMerge w:val="continue"/>
            <w:vAlign w:val="center"/>
          </w:tcPr>
          <w:p>
            <w:pPr>
              <w:widowControl/>
              <w:adjustRightInd/>
              <w:spacing w:line="240" w:lineRule="auto"/>
              <w:ind w:firstLine="0" w:firstLineChars="0"/>
              <w:jc w:val="left"/>
              <w:rPr>
                <w:rFonts w:ascii="微软雅黑" w:hAnsi="微软雅黑" w:eastAsia="微软雅黑"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0" w:type="pct"/>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4</w:t>
            </w:r>
          </w:p>
        </w:tc>
        <w:tc>
          <w:tcPr>
            <w:tcW w:w="1877" w:type="pct"/>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丰台西站</w:t>
            </w:r>
          </w:p>
        </w:tc>
        <w:tc>
          <w:tcPr>
            <w:tcW w:w="1105" w:type="pct"/>
            <w:vAlign w:val="center"/>
          </w:tcPr>
          <w:p>
            <w:pPr>
              <w:widowControl/>
              <w:snapToGrid w:val="0"/>
              <w:spacing w:line="240" w:lineRule="auto"/>
              <w:ind w:firstLine="0" w:firstLineChars="0"/>
              <w:jc w:val="center"/>
              <w:rPr>
                <w:bCs/>
                <w:kern w:val="0"/>
                <w:sz w:val="21"/>
                <w:szCs w:val="21"/>
              </w:rPr>
            </w:pPr>
            <w:r>
              <w:rPr>
                <w:bCs/>
                <w:kern w:val="0"/>
                <w:sz w:val="21"/>
                <w:szCs w:val="21"/>
              </w:rPr>
              <w:t>2.1</w:t>
            </w:r>
          </w:p>
        </w:tc>
        <w:tc>
          <w:tcPr>
            <w:tcW w:w="940" w:type="pct"/>
            <w:vMerge w:val="continue"/>
            <w:vAlign w:val="center"/>
          </w:tcPr>
          <w:p>
            <w:pPr>
              <w:widowControl/>
              <w:snapToGrid w:val="0"/>
              <w:spacing w:line="240" w:lineRule="auto"/>
              <w:ind w:firstLine="0" w:firstLineChars="0"/>
              <w:jc w:val="left"/>
              <w:rPr>
                <w:color w:val="000000"/>
                <w:kern w:val="0"/>
                <w:sz w:val="21"/>
                <w:szCs w:val="21"/>
              </w:rPr>
            </w:pPr>
          </w:p>
        </w:tc>
        <w:tc>
          <w:tcPr>
            <w:tcW w:w="718" w:type="pct"/>
            <w:vMerge w:val="continue"/>
            <w:vAlign w:val="center"/>
          </w:tcPr>
          <w:p>
            <w:pPr>
              <w:widowControl/>
              <w:adjustRightInd/>
              <w:spacing w:line="240" w:lineRule="auto"/>
              <w:ind w:firstLine="0" w:firstLineChars="0"/>
              <w:jc w:val="left"/>
              <w:rPr>
                <w:rFonts w:ascii="微软雅黑" w:hAnsi="微软雅黑" w:eastAsia="微软雅黑"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0" w:type="pct"/>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5</w:t>
            </w:r>
          </w:p>
        </w:tc>
        <w:tc>
          <w:tcPr>
            <w:tcW w:w="1877" w:type="pct"/>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丰台动车所、客车整备所</w:t>
            </w:r>
          </w:p>
        </w:tc>
        <w:tc>
          <w:tcPr>
            <w:tcW w:w="1105" w:type="pct"/>
            <w:vAlign w:val="center"/>
          </w:tcPr>
          <w:p>
            <w:pPr>
              <w:widowControl/>
              <w:snapToGrid w:val="0"/>
              <w:spacing w:line="240" w:lineRule="auto"/>
              <w:ind w:firstLine="0" w:firstLineChars="0"/>
              <w:jc w:val="center"/>
              <w:rPr>
                <w:bCs/>
                <w:kern w:val="0"/>
                <w:sz w:val="21"/>
                <w:szCs w:val="21"/>
              </w:rPr>
            </w:pPr>
            <w:r>
              <w:rPr>
                <w:bCs/>
                <w:kern w:val="0"/>
                <w:sz w:val="21"/>
                <w:szCs w:val="21"/>
              </w:rPr>
              <w:t>0.6</w:t>
            </w:r>
          </w:p>
        </w:tc>
        <w:tc>
          <w:tcPr>
            <w:tcW w:w="940" w:type="pct"/>
            <w:vMerge w:val="continue"/>
            <w:vAlign w:val="center"/>
          </w:tcPr>
          <w:p>
            <w:pPr>
              <w:widowControl/>
              <w:snapToGrid w:val="0"/>
              <w:spacing w:line="240" w:lineRule="auto"/>
              <w:ind w:firstLine="0" w:firstLineChars="0"/>
              <w:jc w:val="left"/>
              <w:rPr>
                <w:color w:val="000000"/>
                <w:kern w:val="0"/>
                <w:sz w:val="21"/>
                <w:szCs w:val="21"/>
              </w:rPr>
            </w:pPr>
          </w:p>
        </w:tc>
        <w:tc>
          <w:tcPr>
            <w:tcW w:w="718" w:type="pct"/>
            <w:vMerge w:val="continue"/>
            <w:vAlign w:val="center"/>
          </w:tcPr>
          <w:p>
            <w:pPr>
              <w:widowControl/>
              <w:adjustRightInd/>
              <w:spacing w:line="240" w:lineRule="auto"/>
              <w:ind w:firstLine="0" w:firstLineChars="0"/>
              <w:jc w:val="left"/>
              <w:rPr>
                <w:rFonts w:ascii="微软雅黑" w:hAnsi="微软雅黑" w:eastAsia="微软雅黑"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0" w:type="pct"/>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6</w:t>
            </w:r>
          </w:p>
        </w:tc>
        <w:tc>
          <w:tcPr>
            <w:tcW w:w="1877" w:type="pct"/>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中国铁路北京局集团有限公司北京动车段</w:t>
            </w:r>
          </w:p>
        </w:tc>
        <w:tc>
          <w:tcPr>
            <w:tcW w:w="1105" w:type="pct"/>
            <w:vAlign w:val="center"/>
          </w:tcPr>
          <w:p>
            <w:pPr>
              <w:widowControl/>
              <w:snapToGrid w:val="0"/>
              <w:spacing w:line="240" w:lineRule="auto"/>
              <w:ind w:firstLine="0" w:firstLineChars="0"/>
              <w:jc w:val="center"/>
              <w:rPr>
                <w:bCs/>
                <w:kern w:val="0"/>
                <w:sz w:val="21"/>
                <w:szCs w:val="21"/>
              </w:rPr>
            </w:pPr>
            <w:r>
              <w:rPr>
                <w:bCs/>
                <w:kern w:val="0"/>
                <w:sz w:val="21"/>
                <w:szCs w:val="21"/>
              </w:rPr>
              <w:t>0.6</w:t>
            </w:r>
          </w:p>
        </w:tc>
        <w:tc>
          <w:tcPr>
            <w:tcW w:w="940" w:type="pct"/>
            <w:vMerge w:val="continue"/>
            <w:vAlign w:val="center"/>
          </w:tcPr>
          <w:p>
            <w:pPr>
              <w:widowControl/>
              <w:snapToGrid w:val="0"/>
              <w:spacing w:line="240" w:lineRule="auto"/>
              <w:ind w:firstLine="0" w:firstLineChars="0"/>
              <w:jc w:val="left"/>
              <w:rPr>
                <w:color w:val="000000"/>
                <w:kern w:val="0"/>
                <w:sz w:val="21"/>
                <w:szCs w:val="21"/>
              </w:rPr>
            </w:pPr>
          </w:p>
        </w:tc>
        <w:tc>
          <w:tcPr>
            <w:tcW w:w="718" w:type="pct"/>
            <w:vMerge w:val="continue"/>
            <w:vAlign w:val="center"/>
          </w:tcPr>
          <w:p>
            <w:pPr>
              <w:widowControl/>
              <w:adjustRightInd/>
              <w:spacing w:line="240" w:lineRule="auto"/>
              <w:ind w:firstLine="0" w:firstLineChars="0"/>
              <w:jc w:val="left"/>
              <w:rPr>
                <w:rFonts w:ascii="微软雅黑" w:hAnsi="微软雅黑" w:eastAsia="微软雅黑"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0" w:type="pct"/>
            <w:shd w:val="clear" w:color="auto" w:fill="auto"/>
            <w:noWrap/>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7</w:t>
            </w:r>
          </w:p>
        </w:tc>
        <w:tc>
          <w:tcPr>
            <w:tcW w:w="1877" w:type="pct"/>
            <w:shd w:val="clear" w:color="auto" w:fill="auto"/>
            <w:vAlign w:val="center"/>
          </w:tcPr>
          <w:p>
            <w:pPr>
              <w:widowControl/>
              <w:snapToGrid w:val="0"/>
              <w:spacing w:line="240" w:lineRule="auto"/>
              <w:ind w:firstLine="0" w:firstLineChars="0"/>
              <w:jc w:val="center"/>
              <w:rPr>
                <w:color w:val="000000"/>
                <w:kern w:val="0"/>
                <w:sz w:val="21"/>
                <w:szCs w:val="21"/>
              </w:rPr>
            </w:pPr>
            <w:r>
              <w:rPr>
                <w:rFonts w:hint="eastAsia"/>
                <w:color w:val="000000"/>
                <w:kern w:val="0"/>
                <w:sz w:val="21"/>
                <w:szCs w:val="21"/>
              </w:rPr>
              <w:t>大红门铁路货场</w:t>
            </w:r>
          </w:p>
        </w:tc>
        <w:tc>
          <w:tcPr>
            <w:tcW w:w="1105" w:type="pct"/>
            <w:vAlign w:val="center"/>
          </w:tcPr>
          <w:p>
            <w:pPr>
              <w:widowControl/>
              <w:snapToGrid w:val="0"/>
              <w:spacing w:line="240" w:lineRule="auto"/>
              <w:ind w:firstLine="0" w:firstLineChars="0"/>
              <w:jc w:val="center"/>
              <w:rPr>
                <w:bCs/>
                <w:kern w:val="0"/>
                <w:sz w:val="21"/>
                <w:szCs w:val="21"/>
              </w:rPr>
            </w:pPr>
            <w:r>
              <w:rPr>
                <w:bCs/>
                <w:kern w:val="0"/>
                <w:sz w:val="21"/>
                <w:szCs w:val="21"/>
              </w:rPr>
              <w:t>0.3</w:t>
            </w:r>
          </w:p>
        </w:tc>
        <w:tc>
          <w:tcPr>
            <w:tcW w:w="940" w:type="pct"/>
            <w:vMerge w:val="continue"/>
            <w:vAlign w:val="center"/>
          </w:tcPr>
          <w:p>
            <w:pPr>
              <w:widowControl/>
              <w:snapToGrid w:val="0"/>
              <w:spacing w:line="240" w:lineRule="auto"/>
              <w:ind w:firstLine="0" w:firstLineChars="0"/>
              <w:jc w:val="left"/>
              <w:rPr>
                <w:color w:val="000000"/>
                <w:kern w:val="0"/>
                <w:sz w:val="21"/>
                <w:szCs w:val="21"/>
              </w:rPr>
            </w:pPr>
          </w:p>
        </w:tc>
        <w:tc>
          <w:tcPr>
            <w:tcW w:w="718" w:type="pct"/>
            <w:vMerge w:val="continue"/>
            <w:vAlign w:val="center"/>
          </w:tcPr>
          <w:p>
            <w:pPr>
              <w:widowControl/>
              <w:adjustRightInd/>
              <w:spacing w:line="240" w:lineRule="auto"/>
              <w:ind w:firstLine="0" w:firstLineChars="0"/>
              <w:jc w:val="left"/>
              <w:rPr>
                <w:rFonts w:ascii="微软雅黑" w:hAnsi="微软雅黑" w:eastAsia="微软雅黑" w:cs="宋体"/>
                <w:color w:val="000000"/>
                <w:kern w:val="0"/>
                <w:sz w:val="22"/>
              </w:rPr>
            </w:pPr>
          </w:p>
        </w:tc>
      </w:tr>
    </w:tbl>
    <w:p>
      <w:pPr>
        <w:pStyle w:val="3"/>
      </w:pPr>
    </w:p>
    <w:p>
      <w:pPr>
        <w:pStyle w:val="3"/>
      </w:pPr>
    </w:p>
    <w:p>
      <w:pPr>
        <w:ind w:firstLine="640"/>
        <w:rPr>
          <w:szCs w:val="21"/>
        </w:rPr>
      </w:pPr>
    </w:p>
    <w:p>
      <w:pPr>
        <w:ind w:firstLine="640"/>
        <w:rPr>
          <w:rFonts w:ascii="黑体" w:eastAsia="黑体"/>
        </w:rPr>
      </w:pPr>
    </w:p>
    <w:p>
      <w:pPr>
        <w:adjustRightInd/>
        <w:spacing w:before="120" w:beforeLines="50" w:after="120" w:afterLines="50" w:line="440" w:lineRule="exact"/>
        <w:ind w:firstLine="0" w:firstLineChars="0"/>
        <w:outlineLvl w:val="0"/>
        <w:rPr>
          <w:rFonts w:ascii="黑体" w:hAnsi="宋体" w:eastAsia="黑体"/>
          <w:szCs w:val="32"/>
        </w:rPr>
      </w:pPr>
      <w:r>
        <w:rPr>
          <w:rFonts w:ascii="黑体" w:hAnsi="宋体" w:eastAsia="黑体"/>
          <w:szCs w:val="32"/>
        </w:rPr>
        <w:t>附件</w:t>
      </w:r>
      <w:r>
        <w:rPr>
          <w:rFonts w:hint="eastAsia" w:ascii="黑体" w:hAnsi="宋体" w:eastAsia="黑体"/>
          <w:szCs w:val="32"/>
        </w:rPr>
        <w:t>5</w:t>
      </w:r>
    </w:p>
    <w:p>
      <w:pPr>
        <w:pStyle w:val="2"/>
        <w:numPr>
          <w:ilvl w:val="0"/>
          <w:numId w:val="0"/>
        </w:numPr>
        <w:ind w:left="640"/>
        <w:jc w:val="center"/>
        <w:rPr>
          <w:rFonts w:hAnsi="黑体"/>
          <w:sz w:val="28"/>
        </w:rPr>
      </w:pPr>
      <w:r>
        <w:rPr>
          <w:rFonts w:hint="eastAsia" w:hAnsi="黑体"/>
          <w:sz w:val="28"/>
        </w:rPr>
        <w:t>丰台区声环境功能区划示意图</w:t>
      </w:r>
    </w:p>
    <w:p>
      <w:pPr>
        <w:pStyle w:val="3"/>
        <w:sectPr>
          <w:headerReference r:id="rId7" w:type="first"/>
          <w:footerReference r:id="rId10" w:type="first"/>
          <w:headerReference r:id="rId5" w:type="default"/>
          <w:footerReference r:id="rId8" w:type="default"/>
          <w:headerReference r:id="rId6" w:type="even"/>
          <w:footerReference r:id="rId9" w:type="even"/>
          <w:pgSz w:w="12240" w:h="15840"/>
          <w:pgMar w:top="2098" w:right="1474" w:bottom="1985" w:left="1588" w:header="720" w:footer="720" w:gutter="0"/>
          <w:pgNumType w:fmt="numberInDash"/>
          <w:cols w:space="720" w:num="1"/>
        </w:sectPr>
      </w:pPr>
    </w:p>
    <w:p>
      <w:pPr>
        <w:pStyle w:val="3"/>
        <w:spacing w:line="240" w:lineRule="auto"/>
      </w:pPr>
      <w:r>
        <w:drawing>
          <wp:inline distT="0" distB="0" distL="0" distR="0">
            <wp:extent cx="12741910" cy="8999855"/>
            <wp:effectExtent l="0" t="0" r="0" b="0"/>
            <wp:docPr id="3" name="图片 3" descr="E:\2021-08-24 北京丰台 声环境功能区\06 项目执行\07 丰台出图\北京丰台区功能区划图20240115【制图公司】-02 最终.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E:\2021-08-24 北京丰台 声环境功能区\06 项目执行\07 丰台出图\北京丰台区功能区划图20240115【制图公司】-02 最终.jpg"/>
                    <pic:cNvPicPr>
                      <a:picLocks noChangeAspect="true" noChangeArrowheads="true"/>
                    </pic:cNvPicPr>
                  </pic:nvPicPr>
                  <pic:blipFill>
                    <a:blip r:embed="rId12" cstate="print"/>
                    <a:srcRect/>
                    <a:stretch>
                      <a:fillRect/>
                    </a:stretch>
                  </pic:blipFill>
                  <pic:spPr>
                    <a:xfrm>
                      <a:off x="0" y="0"/>
                      <a:ext cx="12741930" cy="9000000"/>
                    </a:xfrm>
                    <a:prstGeom prst="rect">
                      <a:avLst/>
                    </a:prstGeom>
                    <a:noFill/>
                    <a:ln>
                      <a:noFill/>
                    </a:ln>
                  </pic:spPr>
                </pic:pic>
              </a:graphicData>
            </a:graphic>
          </wp:inline>
        </w:drawing>
      </w:r>
    </w:p>
    <w:sectPr>
      <w:pgSz w:w="23814" w:h="16840" w:orient="landscape"/>
      <w:pgMar w:top="1588" w:right="2098" w:bottom="1474" w:left="1985"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604030504040204"/>
    <w:charset w:val="86"/>
    <w:family w:val="swiss"/>
    <w:pitch w:val="default"/>
    <w:sig w:usb0="F7FFAEFF" w:usb1="F9DFFFFF" w:usb2="001FFDFF" w:usb3="00000000" w:csb0="603F01FF" w:csb1="FFFF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41715069"/>
                          </w:sdtPr>
                          <w:sdtContent>
                            <w:p>
                              <w:pPr>
                                <w:pStyle w:val="14"/>
                                <w:ind w:firstLine="360"/>
                                <w:jc w:val="center"/>
                              </w:pPr>
                              <w:r>
                                <w:fldChar w:fldCharType="begin"/>
                              </w:r>
                              <w:r>
                                <w:instrText xml:space="preserve">PAGE   \* MERGEFORMAT</w:instrText>
                              </w:r>
                              <w:r>
                                <w:fldChar w:fldCharType="separate"/>
                              </w:r>
                              <w:r>
                                <w:rPr>
                                  <w:lang w:val="zh-CN"/>
                                </w:rPr>
                                <w:t>-</w:t>
                              </w:r>
                              <w:r>
                                <w:t xml:space="preserve"> 15 -</w:t>
                              </w:r>
                              <w:r>
                                <w:fldChar w:fldCharType="end"/>
                              </w:r>
                            </w:p>
                          </w:sdtContent>
                        </w:sdt>
                        <w:p>
                          <w:pPr>
                            <w:ind w:firstLine="64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041715069"/>
                    </w:sdtPr>
                    <w:sdtContent>
                      <w:p>
                        <w:pPr>
                          <w:pStyle w:val="14"/>
                          <w:ind w:firstLine="360"/>
                          <w:jc w:val="center"/>
                        </w:pPr>
                        <w:r>
                          <w:fldChar w:fldCharType="begin"/>
                        </w:r>
                        <w:r>
                          <w:instrText xml:space="preserve">PAGE   \* MERGEFORMAT</w:instrText>
                        </w:r>
                        <w:r>
                          <w:fldChar w:fldCharType="separate"/>
                        </w:r>
                        <w:r>
                          <w:rPr>
                            <w:lang w:val="zh-CN"/>
                          </w:rPr>
                          <w:t>-</w:t>
                        </w:r>
                        <w:r>
                          <w:t xml:space="preserve"> 15 -</w:t>
                        </w:r>
                        <w:r>
                          <w:fldChar w:fldCharType="end"/>
                        </w:r>
                      </w:p>
                    </w:sdtContent>
                  </w:sdt>
                  <w:p>
                    <w:pPr>
                      <w:ind w:firstLine="640"/>
                    </w:pPr>
                  </w:p>
                </w:txbxContent>
              </v:textbox>
            </v:shape>
          </w:pict>
        </mc:Fallback>
      </mc:AlternateContent>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C1AF2"/>
    <w:multiLevelType w:val="multilevel"/>
    <w:tmpl w:val="111C1AF2"/>
    <w:lvl w:ilvl="0" w:tentative="0">
      <w:start w:val="1"/>
      <w:numFmt w:val="chineseCountingThousand"/>
      <w:pStyle w:val="2"/>
      <w:suff w:val="nothing"/>
      <w:lvlText w:val="%1、"/>
      <w:lvlJc w:val="left"/>
      <w:pPr>
        <w:ind w:left="0" w:firstLine="1134"/>
      </w:pPr>
      <w:rPr>
        <w:rFonts w:hint="default"/>
      </w:rPr>
    </w:lvl>
    <w:lvl w:ilvl="1" w:tentative="0">
      <w:start w:val="1"/>
      <w:numFmt w:val="decimal"/>
      <w:lvlText w:val="%1.%2"/>
      <w:lvlJc w:val="left"/>
      <w:pPr>
        <w:ind w:left="840" w:firstLine="0"/>
      </w:pPr>
      <w:rPr>
        <w:rFonts w:hint="eastAsia"/>
      </w:rPr>
    </w:lvl>
    <w:lvl w:ilvl="2" w:tentative="0">
      <w:start w:val="1"/>
      <w:numFmt w:val="decimal"/>
      <w:lvlText w:val="%1.%2.%3"/>
      <w:lvlJc w:val="left"/>
      <w:pPr>
        <w:ind w:left="840" w:firstLine="0"/>
      </w:pPr>
      <w:rPr>
        <w:rFonts w:hint="eastAsia"/>
      </w:rPr>
    </w:lvl>
    <w:lvl w:ilvl="3" w:tentative="0">
      <w:start w:val="1"/>
      <w:numFmt w:val="decimal"/>
      <w:lvlText w:val="%1.%2.%3.%4"/>
      <w:lvlJc w:val="left"/>
      <w:pPr>
        <w:ind w:left="840" w:firstLine="0"/>
      </w:pPr>
      <w:rPr>
        <w:rFonts w:hint="eastAsia"/>
      </w:rPr>
    </w:lvl>
    <w:lvl w:ilvl="4" w:tentative="0">
      <w:start w:val="1"/>
      <w:numFmt w:val="decimal"/>
      <w:lvlText w:val="%1.%2.%3.%4.%5"/>
      <w:lvlJc w:val="left"/>
      <w:pPr>
        <w:ind w:left="840" w:firstLine="0"/>
      </w:pPr>
      <w:rPr>
        <w:rFonts w:hint="eastAsia"/>
      </w:rPr>
    </w:lvl>
    <w:lvl w:ilvl="5" w:tentative="0">
      <w:start w:val="1"/>
      <w:numFmt w:val="decimal"/>
      <w:lvlText w:val="%1.%2.%3.%4.%5.%6"/>
      <w:lvlJc w:val="left"/>
      <w:pPr>
        <w:ind w:left="840" w:firstLine="0"/>
      </w:pPr>
      <w:rPr>
        <w:rFonts w:hint="eastAsia"/>
      </w:rPr>
    </w:lvl>
    <w:lvl w:ilvl="6" w:tentative="0">
      <w:start w:val="1"/>
      <w:numFmt w:val="decimal"/>
      <w:lvlText w:val="%1.%2.%3.%4.%5.%6.%7"/>
      <w:lvlJc w:val="left"/>
      <w:pPr>
        <w:ind w:left="840" w:firstLine="0"/>
      </w:pPr>
      <w:rPr>
        <w:rFonts w:hint="eastAsia"/>
      </w:rPr>
    </w:lvl>
    <w:lvl w:ilvl="7" w:tentative="0">
      <w:start w:val="1"/>
      <w:numFmt w:val="decimal"/>
      <w:lvlText w:val="%1.%2.%3.%4.%5.%6.%7.%8"/>
      <w:lvlJc w:val="left"/>
      <w:pPr>
        <w:ind w:left="840" w:firstLine="0"/>
      </w:pPr>
      <w:rPr>
        <w:rFonts w:hint="eastAsia"/>
      </w:rPr>
    </w:lvl>
    <w:lvl w:ilvl="8" w:tentative="0">
      <w:start w:val="1"/>
      <w:numFmt w:val="decimal"/>
      <w:lvlText w:val="%1.%2.%3.%4.%5.%6.%7.%8.%9"/>
      <w:lvlJc w:val="left"/>
      <w:pPr>
        <w:ind w:left="8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5A"/>
    <w:rsid w:val="000013DF"/>
    <w:rsid w:val="00007989"/>
    <w:rsid w:val="00013D3F"/>
    <w:rsid w:val="00020EE8"/>
    <w:rsid w:val="00024937"/>
    <w:rsid w:val="00036825"/>
    <w:rsid w:val="000449AF"/>
    <w:rsid w:val="000562BF"/>
    <w:rsid w:val="00071431"/>
    <w:rsid w:val="000760CC"/>
    <w:rsid w:val="00090BB5"/>
    <w:rsid w:val="000A69AB"/>
    <w:rsid w:val="000B219B"/>
    <w:rsid w:val="000C1299"/>
    <w:rsid w:val="000D11D3"/>
    <w:rsid w:val="000D3098"/>
    <w:rsid w:val="000D3681"/>
    <w:rsid w:val="000D40C0"/>
    <w:rsid w:val="000F571A"/>
    <w:rsid w:val="00106917"/>
    <w:rsid w:val="00107D54"/>
    <w:rsid w:val="0011520B"/>
    <w:rsid w:val="00123C72"/>
    <w:rsid w:val="001265BF"/>
    <w:rsid w:val="00126C2A"/>
    <w:rsid w:val="00150063"/>
    <w:rsid w:val="0015531A"/>
    <w:rsid w:val="00174EB2"/>
    <w:rsid w:val="0018449B"/>
    <w:rsid w:val="0018490A"/>
    <w:rsid w:val="001854E4"/>
    <w:rsid w:val="00186052"/>
    <w:rsid w:val="00194154"/>
    <w:rsid w:val="0019423D"/>
    <w:rsid w:val="001A6239"/>
    <w:rsid w:val="001B5C33"/>
    <w:rsid w:val="001B660E"/>
    <w:rsid w:val="001C7CC4"/>
    <w:rsid w:val="001D745A"/>
    <w:rsid w:val="001E6222"/>
    <w:rsid w:val="00202837"/>
    <w:rsid w:val="00212EDE"/>
    <w:rsid w:val="00222196"/>
    <w:rsid w:val="00225D94"/>
    <w:rsid w:val="00235ECE"/>
    <w:rsid w:val="002360AD"/>
    <w:rsid w:val="002368E7"/>
    <w:rsid w:val="00242F28"/>
    <w:rsid w:val="00262CA4"/>
    <w:rsid w:val="00271B41"/>
    <w:rsid w:val="002821D9"/>
    <w:rsid w:val="00294C95"/>
    <w:rsid w:val="002A2FF4"/>
    <w:rsid w:val="002A6868"/>
    <w:rsid w:val="002B152B"/>
    <w:rsid w:val="002B53F1"/>
    <w:rsid w:val="002E3993"/>
    <w:rsid w:val="002F42F2"/>
    <w:rsid w:val="00306A92"/>
    <w:rsid w:val="0031282E"/>
    <w:rsid w:val="00326D32"/>
    <w:rsid w:val="0034637C"/>
    <w:rsid w:val="00346786"/>
    <w:rsid w:val="0035079D"/>
    <w:rsid w:val="00352400"/>
    <w:rsid w:val="00375F66"/>
    <w:rsid w:val="003765F5"/>
    <w:rsid w:val="00384D40"/>
    <w:rsid w:val="003A571E"/>
    <w:rsid w:val="003A5B75"/>
    <w:rsid w:val="003A729A"/>
    <w:rsid w:val="003A7540"/>
    <w:rsid w:val="003B0DAE"/>
    <w:rsid w:val="003B29EB"/>
    <w:rsid w:val="003B6A60"/>
    <w:rsid w:val="003D005A"/>
    <w:rsid w:val="003D2525"/>
    <w:rsid w:val="003F465B"/>
    <w:rsid w:val="003F46B8"/>
    <w:rsid w:val="003F7D6D"/>
    <w:rsid w:val="00412DA4"/>
    <w:rsid w:val="004168E5"/>
    <w:rsid w:val="00416951"/>
    <w:rsid w:val="00424579"/>
    <w:rsid w:val="00432F5C"/>
    <w:rsid w:val="00440D5D"/>
    <w:rsid w:val="00443FBC"/>
    <w:rsid w:val="00454F1F"/>
    <w:rsid w:val="00455495"/>
    <w:rsid w:val="004905B1"/>
    <w:rsid w:val="004A07C9"/>
    <w:rsid w:val="004A5AB0"/>
    <w:rsid w:val="004B7063"/>
    <w:rsid w:val="004C7A1C"/>
    <w:rsid w:val="004D1A0B"/>
    <w:rsid w:val="004D7282"/>
    <w:rsid w:val="004E1E98"/>
    <w:rsid w:val="004E330E"/>
    <w:rsid w:val="005023A5"/>
    <w:rsid w:val="0051498B"/>
    <w:rsid w:val="0053288A"/>
    <w:rsid w:val="00544DE5"/>
    <w:rsid w:val="00547FD8"/>
    <w:rsid w:val="00564CAD"/>
    <w:rsid w:val="005743E7"/>
    <w:rsid w:val="00581469"/>
    <w:rsid w:val="00586D93"/>
    <w:rsid w:val="005873F0"/>
    <w:rsid w:val="005930C3"/>
    <w:rsid w:val="005A771C"/>
    <w:rsid w:val="005B365D"/>
    <w:rsid w:val="005B4826"/>
    <w:rsid w:val="005B7440"/>
    <w:rsid w:val="005C1D94"/>
    <w:rsid w:val="005C7F86"/>
    <w:rsid w:val="006049DD"/>
    <w:rsid w:val="00625733"/>
    <w:rsid w:val="00636024"/>
    <w:rsid w:val="0064461A"/>
    <w:rsid w:val="006629CD"/>
    <w:rsid w:val="0067488E"/>
    <w:rsid w:val="006858BE"/>
    <w:rsid w:val="006A6699"/>
    <w:rsid w:val="006B4DB2"/>
    <w:rsid w:val="006B4DCC"/>
    <w:rsid w:val="006B73AA"/>
    <w:rsid w:val="006C29B3"/>
    <w:rsid w:val="006C3F58"/>
    <w:rsid w:val="006D3A34"/>
    <w:rsid w:val="006E48C6"/>
    <w:rsid w:val="006E4A29"/>
    <w:rsid w:val="006E715F"/>
    <w:rsid w:val="006F0F20"/>
    <w:rsid w:val="00725302"/>
    <w:rsid w:val="00735A35"/>
    <w:rsid w:val="00741630"/>
    <w:rsid w:val="007458B9"/>
    <w:rsid w:val="007549B1"/>
    <w:rsid w:val="007674AA"/>
    <w:rsid w:val="00773E74"/>
    <w:rsid w:val="00785CC7"/>
    <w:rsid w:val="007A0F9D"/>
    <w:rsid w:val="007A24E7"/>
    <w:rsid w:val="007A6B08"/>
    <w:rsid w:val="007B05A3"/>
    <w:rsid w:val="007C6CAC"/>
    <w:rsid w:val="007E3A95"/>
    <w:rsid w:val="007E571D"/>
    <w:rsid w:val="007E6D60"/>
    <w:rsid w:val="007E7118"/>
    <w:rsid w:val="00807E97"/>
    <w:rsid w:val="0081793E"/>
    <w:rsid w:val="00825264"/>
    <w:rsid w:val="00834614"/>
    <w:rsid w:val="0086051D"/>
    <w:rsid w:val="00865061"/>
    <w:rsid w:val="0087301D"/>
    <w:rsid w:val="00880292"/>
    <w:rsid w:val="00896E2E"/>
    <w:rsid w:val="008B1D5B"/>
    <w:rsid w:val="008C008F"/>
    <w:rsid w:val="008C5573"/>
    <w:rsid w:val="008D76CA"/>
    <w:rsid w:val="008E563F"/>
    <w:rsid w:val="008E620D"/>
    <w:rsid w:val="008F0A22"/>
    <w:rsid w:val="008F2833"/>
    <w:rsid w:val="009159D8"/>
    <w:rsid w:val="00925129"/>
    <w:rsid w:val="009361B2"/>
    <w:rsid w:val="00937F32"/>
    <w:rsid w:val="00944846"/>
    <w:rsid w:val="009459F9"/>
    <w:rsid w:val="009730E0"/>
    <w:rsid w:val="00974632"/>
    <w:rsid w:val="00980F14"/>
    <w:rsid w:val="00992B56"/>
    <w:rsid w:val="00994F44"/>
    <w:rsid w:val="009A08ED"/>
    <w:rsid w:val="009A1758"/>
    <w:rsid w:val="009A24D8"/>
    <w:rsid w:val="009A5867"/>
    <w:rsid w:val="009A756C"/>
    <w:rsid w:val="009B580F"/>
    <w:rsid w:val="009C2023"/>
    <w:rsid w:val="009C597C"/>
    <w:rsid w:val="009C59B0"/>
    <w:rsid w:val="009D04A2"/>
    <w:rsid w:val="009D5D96"/>
    <w:rsid w:val="009E0989"/>
    <w:rsid w:val="00A024BC"/>
    <w:rsid w:val="00A07862"/>
    <w:rsid w:val="00A21C92"/>
    <w:rsid w:val="00A27128"/>
    <w:rsid w:val="00A31034"/>
    <w:rsid w:val="00A32129"/>
    <w:rsid w:val="00A6415E"/>
    <w:rsid w:val="00A647C5"/>
    <w:rsid w:val="00A657DA"/>
    <w:rsid w:val="00A661D4"/>
    <w:rsid w:val="00A71B0A"/>
    <w:rsid w:val="00A75F70"/>
    <w:rsid w:val="00A775EA"/>
    <w:rsid w:val="00A84098"/>
    <w:rsid w:val="00A97000"/>
    <w:rsid w:val="00AC6E2C"/>
    <w:rsid w:val="00AF6BE1"/>
    <w:rsid w:val="00AF73E3"/>
    <w:rsid w:val="00B00476"/>
    <w:rsid w:val="00B02CE1"/>
    <w:rsid w:val="00B107C9"/>
    <w:rsid w:val="00B11001"/>
    <w:rsid w:val="00B21787"/>
    <w:rsid w:val="00B578FC"/>
    <w:rsid w:val="00B674AF"/>
    <w:rsid w:val="00B7672A"/>
    <w:rsid w:val="00B86567"/>
    <w:rsid w:val="00BA7CBB"/>
    <w:rsid w:val="00BB6B6A"/>
    <w:rsid w:val="00BD3C6E"/>
    <w:rsid w:val="00BF71B0"/>
    <w:rsid w:val="00C03AA2"/>
    <w:rsid w:val="00C0520D"/>
    <w:rsid w:val="00C06350"/>
    <w:rsid w:val="00C073A3"/>
    <w:rsid w:val="00C10393"/>
    <w:rsid w:val="00C11298"/>
    <w:rsid w:val="00C15F7B"/>
    <w:rsid w:val="00C242C4"/>
    <w:rsid w:val="00C360A8"/>
    <w:rsid w:val="00C36DF0"/>
    <w:rsid w:val="00C41D13"/>
    <w:rsid w:val="00C42CFC"/>
    <w:rsid w:val="00C54BA1"/>
    <w:rsid w:val="00C6056E"/>
    <w:rsid w:val="00C652ED"/>
    <w:rsid w:val="00C70659"/>
    <w:rsid w:val="00C7374E"/>
    <w:rsid w:val="00C74060"/>
    <w:rsid w:val="00C90892"/>
    <w:rsid w:val="00CA72AB"/>
    <w:rsid w:val="00CB59E3"/>
    <w:rsid w:val="00CC543A"/>
    <w:rsid w:val="00CC6769"/>
    <w:rsid w:val="00CE01C6"/>
    <w:rsid w:val="00CE472E"/>
    <w:rsid w:val="00CF2B0B"/>
    <w:rsid w:val="00D15D5E"/>
    <w:rsid w:val="00D250F9"/>
    <w:rsid w:val="00D27DD7"/>
    <w:rsid w:val="00D302D8"/>
    <w:rsid w:val="00D3212F"/>
    <w:rsid w:val="00D4073E"/>
    <w:rsid w:val="00D44994"/>
    <w:rsid w:val="00D467B7"/>
    <w:rsid w:val="00D52B6A"/>
    <w:rsid w:val="00D56312"/>
    <w:rsid w:val="00D63A2C"/>
    <w:rsid w:val="00D651C4"/>
    <w:rsid w:val="00D66A56"/>
    <w:rsid w:val="00D72F7C"/>
    <w:rsid w:val="00D80A4D"/>
    <w:rsid w:val="00D8516E"/>
    <w:rsid w:val="00DA7487"/>
    <w:rsid w:val="00DC0397"/>
    <w:rsid w:val="00DD342B"/>
    <w:rsid w:val="00DD3B9C"/>
    <w:rsid w:val="00DE0A71"/>
    <w:rsid w:val="00DF328B"/>
    <w:rsid w:val="00E00922"/>
    <w:rsid w:val="00E073A1"/>
    <w:rsid w:val="00E17056"/>
    <w:rsid w:val="00E26638"/>
    <w:rsid w:val="00E30D91"/>
    <w:rsid w:val="00E45E45"/>
    <w:rsid w:val="00E47DBC"/>
    <w:rsid w:val="00E50A97"/>
    <w:rsid w:val="00E57C47"/>
    <w:rsid w:val="00E57DBD"/>
    <w:rsid w:val="00E664A5"/>
    <w:rsid w:val="00E73DC0"/>
    <w:rsid w:val="00E84E27"/>
    <w:rsid w:val="00E87750"/>
    <w:rsid w:val="00EA150E"/>
    <w:rsid w:val="00EC3182"/>
    <w:rsid w:val="00EC3D0F"/>
    <w:rsid w:val="00ED15BB"/>
    <w:rsid w:val="00ED1EA4"/>
    <w:rsid w:val="00ED6D8B"/>
    <w:rsid w:val="00EF045F"/>
    <w:rsid w:val="00EF23AB"/>
    <w:rsid w:val="00F17D04"/>
    <w:rsid w:val="00F339D1"/>
    <w:rsid w:val="00F341BE"/>
    <w:rsid w:val="00F426DC"/>
    <w:rsid w:val="00F51FD5"/>
    <w:rsid w:val="00F54800"/>
    <w:rsid w:val="00F62A59"/>
    <w:rsid w:val="00F706B4"/>
    <w:rsid w:val="00F70CB4"/>
    <w:rsid w:val="00F77F0B"/>
    <w:rsid w:val="00F81F5C"/>
    <w:rsid w:val="00F86940"/>
    <w:rsid w:val="00F9228B"/>
    <w:rsid w:val="00FA11E1"/>
    <w:rsid w:val="00FA1E24"/>
    <w:rsid w:val="00FA5313"/>
    <w:rsid w:val="00FB08EF"/>
    <w:rsid w:val="00FC46FC"/>
    <w:rsid w:val="00FC4B60"/>
    <w:rsid w:val="00FC50C3"/>
    <w:rsid w:val="00FE4BD6"/>
    <w:rsid w:val="00FE6259"/>
    <w:rsid w:val="00FF2D1D"/>
    <w:rsid w:val="1E2B47C6"/>
    <w:rsid w:val="25E93350"/>
    <w:rsid w:val="260285AA"/>
    <w:rsid w:val="2B759FDD"/>
    <w:rsid w:val="2FD74F96"/>
    <w:rsid w:val="37D29174"/>
    <w:rsid w:val="37D96FAD"/>
    <w:rsid w:val="3EFD0BE2"/>
    <w:rsid w:val="3FAF2E64"/>
    <w:rsid w:val="5CFFC4C7"/>
    <w:rsid w:val="67BF0099"/>
    <w:rsid w:val="67DFF247"/>
    <w:rsid w:val="6ECE7B8C"/>
    <w:rsid w:val="6FFDE3EE"/>
    <w:rsid w:val="779F8D76"/>
    <w:rsid w:val="7F5B9F18"/>
    <w:rsid w:val="7F7AB37A"/>
    <w:rsid w:val="7F7FA5FA"/>
    <w:rsid w:val="7FFB846B"/>
    <w:rsid w:val="99F8CEFE"/>
    <w:rsid w:val="9F9F815E"/>
    <w:rsid w:val="A9FD5245"/>
    <w:rsid w:val="B17F9320"/>
    <w:rsid w:val="B75745C8"/>
    <w:rsid w:val="BE5F6273"/>
    <w:rsid w:val="BFFF1919"/>
    <w:rsid w:val="C7FBE773"/>
    <w:rsid w:val="CFFAD339"/>
    <w:rsid w:val="D77F8532"/>
    <w:rsid w:val="D7FE85AF"/>
    <w:rsid w:val="DCDDAECF"/>
    <w:rsid w:val="DD50E73E"/>
    <w:rsid w:val="DFB7B61C"/>
    <w:rsid w:val="EF3EE349"/>
    <w:rsid w:val="EFEF81D7"/>
    <w:rsid w:val="EFFF1854"/>
    <w:rsid w:val="F53F9164"/>
    <w:rsid w:val="F96A4BBB"/>
    <w:rsid w:val="F96F75FE"/>
    <w:rsid w:val="FB7F30A0"/>
    <w:rsid w:val="FDB65206"/>
    <w:rsid w:val="FDD96BF1"/>
    <w:rsid w:val="FDDB5546"/>
    <w:rsid w:val="FEAB1D13"/>
    <w:rsid w:val="FFB63842"/>
    <w:rsid w:val="FFDBAB6C"/>
    <w:rsid w:val="FFDFE47D"/>
    <w:rsid w:val="FFFB8131"/>
    <w:rsid w:val="FFFD7C30"/>
    <w:rsid w:val="FFFE86C8"/>
    <w:rsid w:val="FFFF8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3"/>
    <w:link w:val="24"/>
    <w:qFormat/>
    <w:uiPriority w:val="9"/>
    <w:pPr>
      <w:keepNext/>
      <w:keepLines/>
      <w:numPr>
        <w:ilvl w:val="0"/>
        <w:numId w:val="1"/>
      </w:numPr>
      <w:ind w:firstLine="0" w:firstLineChars="0"/>
      <w:jc w:val="left"/>
      <w:outlineLvl w:val="0"/>
    </w:pPr>
    <w:rPr>
      <w:rFonts w:eastAsia="黑体"/>
      <w:bCs/>
      <w:kern w:val="44"/>
      <w:szCs w:val="44"/>
    </w:rPr>
  </w:style>
  <w:style w:type="paragraph" w:styleId="4">
    <w:name w:val="heading 2"/>
    <w:basedOn w:val="1"/>
    <w:next w:val="1"/>
    <w:link w:val="25"/>
    <w:semiHidden/>
    <w:unhideWhenUsed/>
    <w:qFormat/>
    <w:uiPriority w:val="9"/>
    <w:pPr>
      <w:keepNext/>
      <w:keepLines/>
      <w:spacing w:before="260" w:after="260" w:line="416" w:lineRule="atLeast"/>
      <w:ind w:firstLine="0" w:firstLineChars="0"/>
      <w:outlineLvl w:val="1"/>
    </w:pPr>
    <w:rPr>
      <w:rFonts w:asciiTheme="majorHAnsi" w:hAnsiTheme="majorHAnsi" w:eastAsiaTheme="majorEastAsia" w:cstheme="majorBidi"/>
      <w:b/>
      <w:bCs/>
      <w:szCs w:val="32"/>
    </w:rPr>
  </w:style>
  <w:style w:type="paragraph" w:styleId="5">
    <w:name w:val="heading 3"/>
    <w:basedOn w:val="1"/>
    <w:next w:val="1"/>
    <w:link w:val="26"/>
    <w:semiHidden/>
    <w:unhideWhenUsed/>
    <w:qFormat/>
    <w:uiPriority w:val="9"/>
    <w:pPr>
      <w:keepNext/>
      <w:keepLines/>
      <w:spacing w:before="260" w:after="260" w:line="416" w:lineRule="atLeast"/>
      <w:ind w:firstLine="0" w:firstLineChars="0"/>
      <w:outlineLvl w:val="2"/>
    </w:pPr>
    <w:rPr>
      <w:b/>
      <w:bCs/>
      <w:szCs w:val="32"/>
    </w:rPr>
  </w:style>
  <w:style w:type="paragraph" w:styleId="6">
    <w:name w:val="heading 4"/>
    <w:basedOn w:val="1"/>
    <w:next w:val="1"/>
    <w:link w:val="27"/>
    <w:semiHidden/>
    <w:unhideWhenUsed/>
    <w:qFormat/>
    <w:uiPriority w:val="9"/>
    <w:pPr>
      <w:keepNext/>
      <w:keepLines/>
      <w:spacing w:before="280" w:after="290" w:line="376" w:lineRule="atLeast"/>
      <w:ind w:firstLine="0" w:firstLineChars="0"/>
      <w:outlineLvl w:val="3"/>
    </w:pPr>
    <w:rPr>
      <w:rFonts w:asciiTheme="majorHAnsi" w:hAnsiTheme="majorHAnsi" w:eastAsiaTheme="majorEastAsia" w:cstheme="majorBidi"/>
      <w:b/>
      <w:bCs/>
      <w:sz w:val="28"/>
      <w:szCs w:val="28"/>
    </w:rPr>
  </w:style>
  <w:style w:type="paragraph" w:styleId="7">
    <w:name w:val="heading 5"/>
    <w:basedOn w:val="1"/>
    <w:next w:val="1"/>
    <w:link w:val="28"/>
    <w:semiHidden/>
    <w:unhideWhenUsed/>
    <w:qFormat/>
    <w:uiPriority w:val="9"/>
    <w:pPr>
      <w:keepNext/>
      <w:keepLines/>
      <w:spacing w:before="280" w:after="290" w:line="376" w:lineRule="atLeast"/>
      <w:ind w:firstLine="0" w:firstLineChars="0"/>
      <w:outlineLvl w:val="4"/>
    </w:pPr>
    <w:rPr>
      <w:b/>
      <w:bCs/>
      <w:sz w:val="28"/>
      <w:szCs w:val="28"/>
    </w:rPr>
  </w:style>
  <w:style w:type="paragraph" w:styleId="8">
    <w:name w:val="heading 6"/>
    <w:basedOn w:val="1"/>
    <w:next w:val="1"/>
    <w:link w:val="29"/>
    <w:semiHidden/>
    <w:unhideWhenUsed/>
    <w:qFormat/>
    <w:uiPriority w:val="9"/>
    <w:pPr>
      <w:keepNext/>
      <w:keepLines/>
      <w:spacing w:before="240" w:after="64" w:line="320" w:lineRule="atLeast"/>
      <w:ind w:firstLine="0" w:firstLineChars="0"/>
      <w:outlineLvl w:val="5"/>
    </w:pPr>
    <w:rPr>
      <w:rFonts w:asciiTheme="majorHAnsi" w:hAnsiTheme="majorHAnsi" w:eastAsiaTheme="majorEastAsia" w:cstheme="majorBidi"/>
      <w:b/>
      <w:bCs/>
      <w:sz w:val="24"/>
      <w:szCs w:val="24"/>
    </w:rPr>
  </w:style>
  <w:style w:type="paragraph" w:styleId="9">
    <w:name w:val="heading 7"/>
    <w:basedOn w:val="1"/>
    <w:next w:val="1"/>
    <w:link w:val="30"/>
    <w:semiHidden/>
    <w:unhideWhenUsed/>
    <w:qFormat/>
    <w:uiPriority w:val="9"/>
    <w:pPr>
      <w:keepNext/>
      <w:keepLines/>
      <w:spacing w:before="240" w:after="64" w:line="320" w:lineRule="atLeast"/>
      <w:ind w:firstLine="0" w:firstLineChars="0"/>
      <w:outlineLvl w:val="6"/>
    </w:pPr>
    <w:rPr>
      <w:b/>
      <w:bCs/>
      <w:sz w:val="24"/>
      <w:szCs w:val="24"/>
    </w:rPr>
  </w:style>
  <w:style w:type="paragraph" w:styleId="10">
    <w:name w:val="heading 8"/>
    <w:basedOn w:val="1"/>
    <w:next w:val="1"/>
    <w:link w:val="31"/>
    <w:semiHidden/>
    <w:unhideWhenUsed/>
    <w:qFormat/>
    <w:uiPriority w:val="9"/>
    <w:pPr>
      <w:keepNext/>
      <w:keepLines/>
      <w:spacing w:before="240" w:after="64" w:line="320" w:lineRule="atLeast"/>
      <w:ind w:firstLine="0" w:firstLineChars="0"/>
      <w:outlineLvl w:val="7"/>
    </w:pPr>
    <w:rPr>
      <w:rFonts w:asciiTheme="majorHAnsi" w:hAnsiTheme="majorHAnsi" w:eastAsiaTheme="majorEastAsia" w:cstheme="majorBidi"/>
      <w:sz w:val="24"/>
      <w:szCs w:val="24"/>
    </w:rPr>
  </w:style>
  <w:style w:type="paragraph" w:styleId="11">
    <w:name w:val="heading 9"/>
    <w:basedOn w:val="1"/>
    <w:next w:val="1"/>
    <w:link w:val="32"/>
    <w:semiHidden/>
    <w:unhideWhenUsed/>
    <w:qFormat/>
    <w:uiPriority w:val="9"/>
    <w:pPr>
      <w:keepNext/>
      <w:keepLines/>
      <w:spacing w:before="240" w:after="64" w:line="320" w:lineRule="atLeast"/>
      <w:ind w:firstLine="0" w:firstLineChars="0"/>
      <w:outlineLvl w:val="8"/>
    </w:pPr>
    <w:rPr>
      <w:rFonts w:asciiTheme="majorHAnsi" w:hAnsiTheme="majorHAnsi" w:eastAsiaTheme="majorEastAsia" w:cstheme="majorBidi"/>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3">
    <w:name w:val="使用正文"/>
    <w:basedOn w:val="1"/>
    <w:link w:val="34"/>
    <w:qFormat/>
    <w:uiPriority w:val="0"/>
    <w:pPr>
      <w:autoSpaceDE w:val="0"/>
      <w:autoSpaceDN w:val="0"/>
      <w:ind w:firstLine="0" w:firstLineChars="0"/>
      <w:jc w:val="left"/>
    </w:pPr>
    <w:rPr>
      <w:rFonts w:ascii="仿宋_GB2312" w:cs="仿宋_GB2312"/>
      <w:kern w:val="0"/>
      <w:szCs w:val="32"/>
    </w:rPr>
  </w:style>
  <w:style w:type="paragraph" w:styleId="12">
    <w:name w:val="annotation text"/>
    <w:basedOn w:val="1"/>
    <w:link w:val="38"/>
    <w:semiHidden/>
    <w:unhideWhenUsed/>
    <w:qFormat/>
    <w:uiPriority w:val="99"/>
    <w:pPr>
      <w:jc w:val="left"/>
    </w:pPr>
  </w:style>
  <w:style w:type="paragraph" w:styleId="13">
    <w:name w:val="Balloon Text"/>
    <w:basedOn w:val="1"/>
    <w:link w:val="40"/>
    <w:semiHidden/>
    <w:unhideWhenUsed/>
    <w:qFormat/>
    <w:uiPriority w:val="99"/>
    <w:pPr>
      <w:spacing w:line="240" w:lineRule="auto"/>
    </w:pPr>
    <w:rPr>
      <w:sz w:val="18"/>
      <w:szCs w:val="18"/>
    </w:rPr>
  </w:style>
  <w:style w:type="paragraph" w:styleId="14">
    <w:name w:val="footer"/>
    <w:basedOn w:val="1"/>
    <w:link w:val="43"/>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Body Text 2"/>
    <w:basedOn w:val="1"/>
    <w:link w:val="41"/>
    <w:qFormat/>
    <w:uiPriority w:val="0"/>
    <w:pPr>
      <w:adjustRightInd/>
      <w:spacing w:after="120" w:line="480" w:lineRule="auto"/>
      <w:ind w:firstLine="0" w:firstLineChars="0"/>
    </w:pPr>
    <w:rPr>
      <w:rFonts w:eastAsiaTheme="minorEastAsia"/>
      <w:sz w:val="21"/>
      <w:szCs w:val="24"/>
    </w:rPr>
  </w:style>
  <w:style w:type="paragraph" w:styleId="17">
    <w:name w:val="Normal (Web)"/>
    <w:basedOn w:val="1"/>
    <w:qFormat/>
    <w:uiPriority w:val="0"/>
    <w:pPr>
      <w:adjustRightInd/>
      <w:spacing w:line="240" w:lineRule="auto"/>
      <w:ind w:firstLine="0" w:firstLineChars="0"/>
      <w:jc w:val="left"/>
    </w:pPr>
    <w:rPr>
      <w:rFonts w:ascii="微软雅黑" w:hAnsi="微软雅黑" w:eastAsia="微软雅黑" w:cs="Times New Roman"/>
      <w:kern w:val="0"/>
      <w:sz w:val="24"/>
      <w:szCs w:val="24"/>
    </w:rPr>
  </w:style>
  <w:style w:type="paragraph" w:styleId="18">
    <w:name w:val="annotation subject"/>
    <w:basedOn w:val="12"/>
    <w:next w:val="12"/>
    <w:link w:val="39"/>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basedOn w:val="21"/>
    <w:semiHidden/>
    <w:unhideWhenUsed/>
    <w:qFormat/>
    <w:uiPriority w:val="99"/>
    <w:rPr>
      <w:sz w:val="21"/>
      <w:szCs w:val="21"/>
    </w:rPr>
  </w:style>
  <w:style w:type="paragraph" w:styleId="23">
    <w:name w:val="List Paragraph"/>
    <w:basedOn w:val="1"/>
    <w:qFormat/>
    <w:uiPriority w:val="34"/>
    <w:pPr>
      <w:ind w:firstLine="420"/>
    </w:pPr>
  </w:style>
  <w:style w:type="character" w:customStyle="1" w:styleId="24">
    <w:name w:val="标题 1 Char"/>
    <w:basedOn w:val="21"/>
    <w:link w:val="2"/>
    <w:qFormat/>
    <w:uiPriority w:val="9"/>
    <w:rPr>
      <w:rFonts w:eastAsia="黑体" w:asciiTheme="minorHAnsi" w:hAnsiTheme="minorHAnsi" w:cstheme="minorBidi"/>
      <w:bCs/>
      <w:kern w:val="44"/>
      <w:sz w:val="32"/>
      <w:szCs w:val="44"/>
    </w:rPr>
  </w:style>
  <w:style w:type="character" w:customStyle="1" w:styleId="25">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26">
    <w:name w:val="标题 3 Char"/>
    <w:basedOn w:val="21"/>
    <w:link w:val="5"/>
    <w:semiHidden/>
    <w:qFormat/>
    <w:uiPriority w:val="9"/>
    <w:rPr>
      <w:rFonts w:eastAsia="仿宋_GB2312"/>
      <w:b/>
      <w:bCs/>
      <w:sz w:val="32"/>
      <w:szCs w:val="32"/>
    </w:rPr>
  </w:style>
  <w:style w:type="character" w:customStyle="1" w:styleId="27">
    <w:name w:val="标题 4 Char"/>
    <w:basedOn w:val="21"/>
    <w:link w:val="6"/>
    <w:semiHidden/>
    <w:qFormat/>
    <w:uiPriority w:val="9"/>
    <w:rPr>
      <w:rFonts w:asciiTheme="majorHAnsi" w:hAnsiTheme="majorHAnsi" w:eastAsiaTheme="majorEastAsia" w:cstheme="majorBidi"/>
      <w:b/>
      <w:bCs/>
      <w:sz w:val="28"/>
      <w:szCs w:val="28"/>
    </w:rPr>
  </w:style>
  <w:style w:type="character" w:customStyle="1" w:styleId="28">
    <w:name w:val="标题 5 Char"/>
    <w:basedOn w:val="21"/>
    <w:link w:val="7"/>
    <w:semiHidden/>
    <w:qFormat/>
    <w:uiPriority w:val="9"/>
    <w:rPr>
      <w:rFonts w:eastAsia="仿宋_GB2312"/>
      <w:b/>
      <w:bCs/>
      <w:sz w:val="28"/>
      <w:szCs w:val="28"/>
    </w:rPr>
  </w:style>
  <w:style w:type="character" w:customStyle="1" w:styleId="29">
    <w:name w:val="标题 6 Char"/>
    <w:basedOn w:val="21"/>
    <w:link w:val="8"/>
    <w:semiHidden/>
    <w:qFormat/>
    <w:uiPriority w:val="9"/>
    <w:rPr>
      <w:rFonts w:asciiTheme="majorHAnsi" w:hAnsiTheme="majorHAnsi" w:eastAsiaTheme="majorEastAsia" w:cstheme="majorBidi"/>
      <w:b/>
      <w:bCs/>
      <w:sz w:val="24"/>
      <w:szCs w:val="24"/>
    </w:rPr>
  </w:style>
  <w:style w:type="character" w:customStyle="1" w:styleId="30">
    <w:name w:val="标题 7 Char"/>
    <w:basedOn w:val="21"/>
    <w:link w:val="9"/>
    <w:semiHidden/>
    <w:qFormat/>
    <w:uiPriority w:val="9"/>
    <w:rPr>
      <w:rFonts w:eastAsia="仿宋_GB2312"/>
      <w:b/>
      <w:bCs/>
      <w:sz w:val="24"/>
      <w:szCs w:val="24"/>
    </w:rPr>
  </w:style>
  <w:style w:type="character" w:customStyle="1" w:styleId="31">
    <w:name w:val="标题 8 Char"/>
    <w:basedOn w:val="21"/>
    <w:link w:val="10"/>
    <w:semiHidden/>
    <w:qFormat/>
    <w:uiPriority w:val="9"/>
    <w:rPr>
      <w:rFonts w:asciiTheme="majorHAnsi" w:hAnsiTheme="majorHAnsi" w:eastAsiaTheme="majorEastAsia" w:cstheme="majorBidi"/>
      <w:sz w:val="24"/>
      <w:szCs w:val="24"/>
    </w:rPr>
  </w:style>
  <w:style w:type="character" w:customStyle="1" w:styleId="32">
    <w:name w:val="标题 9 Char"/>
    <w:basedOn w:val="21"/>
    <w:link w:val="11"/>
    <w:semiHidden/>
    <w:qFormat/>
    <w:uiPriority w:val="9"/>
    <w:rPr>
      <w:rFonts w:asciiTheme="majorHAnsi" w:hAnsiTheme="majorHAnsi" w:eastAsiaTheme="majorEastAsia" w:cstheme="majorBidi"/>
      <w:szCs w:val="21"/>
    </w:rPr>
  </w:style>
  <w:style w:type="paragraph" w:customStyle="1" w:styleId="33">
    <w:name w:val="标题一"/>
    <w:basedOn w:val="1"/>
    <w:link w:val="36"/>
    <w:qFormat/>
    <w:uiPriority w:val="0"/>
    <w:pPr>
      <w:autoSpaceDE w:val="0"/>
      <w:autoSpaceDN w:val="0"/>
      <w:ind w:firstLine="640"/>
      <w:jc w:val="left"/>
    </w:pPr>
    <w:rPr>
      <w:rFonts w:ascii="黑体" w:eastAsia="黑体" w:cs="黑体"/>
      <w:kern w:val="0"/>
      <w:szCs w:val="32"/>
    </w:rPr>
  </w:style>
  <w:style w:type="character" w:customStyle="1" w:styleId="34">
    <w:name w:val="使用正文 Char"/>
    <w:basedOn w:val="21"/>
    <w:link w:val="3"/>
    <w:qFormat/>
    <w:uiPriority w:val="0"/>
    <w:rPr>
      <w:rFonts w:ascii="仿宋_GB2312" w:eastAsia="仿宋_GB2312" w:cs="仿宋_GB2312"/>
      <w:kern w:val="0"/>
      <w:sz w:val="32"/>
      <w:szCs w:val="32"/>
    </w:rPr>
  </w:style>
  <w:style w:type="paragraph" w:customStyle="1" w:styleId="35">
    <w:name w:val="Char"/>
    <w:basedOn w:val="1"/>
    <w:qFormat/>
    <w:uiPriority w:val="0"/>
    <w:pPr>
      <w:adjustRightInd/>
      <w:spacing w:line="240" w:lineRule="auto"/>
      <w:ind w:firstLine="0" w:firstLineChars="0"/>
    </w:pPr>
    <w:rPr>
      <w:rFonts w:ascii="Tahoma" w:hAnsi="Tahoma" w:eastAsia="宋体" w:cs="Times New Roman"/>
      <w:sz w:val="24"/>
      <w:szCs w:val="20"/>
    </w:rPr>
  </w:style>
  <w:style w:type="character" w:customStyle="1" w:styleId="36">
    <w:name w:val="标题一 Char"/>
    <w:basedOn w:val="21"/>
    <w:link w:val="33"/>
    <w:qFormat/>
    <w:uiPriority w:val="0"/>
    <w:rPr>
      <w:rFonts w:ascii="黑体" w:eastAsia="黑体" w:cs="黑体"/>
      <w:kern w:val="0"/>
      <w:sz w:val="32"/>
      <w:szCs w:val="32"/>
    </w:rPr>
  </w:style>
  <w:style w:type="paragraph" w:customStyle="1" w:styleId="37">
    <w:name w:val="p0"/>
    <w:basedOn w:val="1"/>
    <w:qFormat/>
    <w:uiPriority w:val="0"/>
    <w:pPr>
      <w:widowControl/>
      <w:adjustRightInd/>
      <w:spacing w:line="240" w:lineRule="auto"/>
      <w:ind w:firstLine="0" w:firstLineChars="0"/>
    </w:pPr>
    <w:rPr>
      <w:rFonts w:ascii="Times New Roman" w:hAnsi="Times New Roman" w:eastAsia="宋体" w:cs="Times New Roman"/>
      <w:kern w:val="0"/>
      <w:sz w:val="21"/>
      <w:szCs w:val="21"/>
    </w:rPr>
  </w:style>
  <w:style w:type="character" w:customStyle="1" w:styleId="38">
    <w:name w:val="批注文字 Char"/>
    <w:basedOn w:val="21"/>
    <w:link w:val="12"/>
    <w:semiHidden/>
    <w:qFormat/>
    <w:uiPriority w:val="99"/>
    <w:rPr>
      <w:rFonts w:eastAsia="仿宋_GB2312"/>
      <w:sz w:val="32"/>
    </w:rPr>
  </w:style>
  <w:style w:type="character" w:customStyle="1" w:styleId="39">
    <w:name w:val="批注主题 Char"/>
    <w:basedOn w:val="38"/>
    <w:link w:val="18"/>
    <w:semiHidden/>
    <w:qFormat/>
    <w:uiPriority w:val="99"/>
    <w:rPr>
      <w:rFonts w:eastAsia="仿宋_GB2312"/>
      <w:b/>
      <w:bCs/>
      <w:sz w:val="32"/>
    </w:rPr>
  </w:style>
  <w:style w:type="character" w:customStyle="1" w:styleId="40">
    <w:name w:val="批注框文本 Char"/>
    <w:basedOn w:val="21"/>
    <w:link w:val="13"/>
    <w:semiHidden/>
    <w:qFormat/>
    <w:uiPriority w:val="99"/>
    <w:rPr>
      <w:rFonts w:eastAsia="仿宋_GB2312"/>
      <w:sz w:val="18"/>
      <w:szCs w:val="18"/>
    </w:rPr>
  </w:style>
  <w:style w:type="character" w:customStyle="1" w:styleId="41">
    <w:name w:val="正文文本 2 Char"/>
    <w:basedOn w:val="21"/>
    <w:link w:val="16"/>
    <w:qFormat/>
    <w:uiPriority w:val="0"/>
    <w:rPr>
      <w:szCs w:val="24"/>
    </w:rPr>
  </w:style>
  <w:style w:type="character" w:customStyle="1" w:styleId="42">
    <w:name w:val="页眉 Char"/>
    <w:basedOn w:val="21"/>
    <w:link w:val="15"/>
    <w:qFormat/>
    <w:uiPriority w:val="99"/>
    <w:rPr>
      <w:rFonts w:eastAsia="仿宋_GB2312"/>
      <w:sz w:val="18"/>
      <w:szCs w:val="18"/>
    </w:rPr>
  </w:style>
  <w:style w:type="character" w:customStyle="1" w:styleId="43">
    <w:name w:val="页脚 Char"/>
    <w:basedOn w:val="21"/>
    <w:link w:val="14"/>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1070</Words>
  <Characters>6104</Characters>
  <Lines>50</Lines>
  <Paragraphs>14</Paragraphs>
  <TotalTime>2</TotalTime>
  <ScaleCrop>false</ScaleCrop>
  <LinksUpToDate>false</LinksUpToDate>
  <CharactersWithSpaces>7160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2024-01-16T01:18:00Z</dcterms:created>
  <dc:creator>User</dc:creator>
  <cp:lastModifiedBy>uos</cp:lastModifiedBy>
  <cp:lastPrinted>2024-01-16T01:11:00Z</cp:lastPrinted>
  <dcterms:modified xsi:type="dcterms:W3CDTF">2024-01-15T17:55:36Z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