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jc w:val="left"/>
        <w:rPr>
          <w:rFonts w:hint="default" w:ascii="方正小标宋简体" w:hAnsi="Calibri" w:eastAsia="方正小标宋简体" w:cs="Times New Roman"/>
          <w:bCs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</w:p>
    <w:p>
      <w:pPr>
        <w:autoSpaceDE w:val="0"/>
        <w:spacing w:line="560" w:lineRule="exact"/>
        <w:jc w:val="center"/>
        <w:rPr>
          <w:rFonts w:ascii="方正小标宋简体" w:hAnsi="Calibri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bCs/>
          <w:sz w:val="44"/>
          <w:szCs w:val="44"/>
        </w:rPr>
        <w:t>北京市密云区密云镇人民政府</w:t>
      </w:r>
    </w:p>
    <w:p>
      <w:pPr>
        <w:spacing w:line="560" w:lineRule="exact"/>
        <w:jc w:val="center"/>
        <w:rPr>
          <w:rFonts w:ascii="方正小标宋简体" w:hAnsi="Calibri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bCs/>
          <w:sz w:val="44"/>
          <w:szCs w:val="44"/>
        </w:rPr>
        <w:t>关于《</w:t>
      </w:r>
      <w:r>
        <w:rPr>
          <w:rFonts w:hint="eastAsia" w:ascii="方正小标宋简体" w:eastAsia="方正小标宋简体"/>
          <w:sz w:val="44"/>
          <w:szCs w:val="44"/>
        </w:rPr>
        <w:t>北京市密云区朝阳滨河学校（一期）新建工程项目腾退补偿方案</w:t>
      </w:r>
      <w:r>
        <w:rPr>
          <w:rFonts w:hint="eastAsia" w:ascii="方正小标宋简体" w:hAnsi="Calibri" w:eastAsia="方正小标宋简体" w:cs="Times New Roman"/>
          <w:bCs/>
          <w:sz w:val="44"/>
          <w:szCs w:val="44"/>
        </w:rPr>
        <w:t>》的</w:t>
      </w:r>
    </w:p>
    <w:p>
      <w:pPr>
        <w:spacing w:line="56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bCs/>
          <w:sz w:val="44"/>
          <w:szCs w:val="44"/>
        </w:rPr>
        <w:t>起草说明</w:t>
      </w:r>
    </w:p>
    <w:p>
      <w:pPr>
        <w:autoSpaceDE w:val="0"/>
        <w:spacing w:line="560" w:lineRule="exac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 xml:space="preserve"> </w:t>
      </w:r>
    </w:p>
    <w:p>
      <w:pPr>
        <w:autoSpaceDE w:val="0"/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一、腾退补偿方案的编制背景</w:t>
      </w:r>
    </w:p>
    <w:p>
      <w:pPr>
        <w:autoSpaceDE w:val="0"/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障密云区朝阳滨河学校（一期）新建工程项目集体土地腾退工作顺利实施，根据相关法律法规和北京市发改委关于北京市密云区朝阳滨河学校（一期）新建工程项目建议书（代可行性研究报告）的批复【京发改（审）[2023]308号】，制定本方案。</w:t>
      </w:r>
      <w:r>
        <w:rPr>
          <w:rFonts w:hint="eastAsia" w:ascii="仿宋_GB2312" w:hAnsi="Calibri" w:eastAsia="仿宋_GB2312" w:cs="Times New Roman"/>
          <w:sz w:val="32"/>
          <w:szCs w:val="32"/>
        </w:rPr>
        <w:t xml:space="preserve"> </w:t>
      </w:r>
    </w:p>
    <w:p>
      <w:pPr>
        <w:autoSpaceDE w:val="0"/>
        <w:spacing w:line="560" w:lineRule="exact"/>
        <w:ind w:firstLine="642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sz w:val="32"/>
          <w:szCs w:val="32"/>
        </w:rPr>
        <w:t>二</w:t>
      </w:r>
      <w:r>
        <w:rPr>
          <w:rFonts w:hint="eastAsia" w:ascii="黑体" w:hAnsi="黑体" w:eastAsia="黑体" w:cs="Times New Roman"/>
          <w:sz w:val="32"/>
          <w:szCs w:val="32"/>
        </w:rPr>
        <w:t>、腾退补偿方案的依据</w:t>
      </w:r>
    </w:p>
    <w:p>
      <w:pPr>
        <w:pStyle w:val="4"/>
        <w:ind w:firstLine="640" w:firstLineChars="200"/>
        <w:jc w:val="left"/>
        <w:rPr>
          <w:rFonts w:hint="eastAsia" w:ascii="仿宋_GB2312" w:hAnsi="Calibri" w:eastAsia="仿宋_GB2312" w:cs="Times New Roman"/>
          <w:bCs w:val="0"/>
          <w:sz w:val="32"/>
          <w:szCs w:val="32"/>
        </w:rPr>
      </w:pPr>
      <w:bookmarkStart w:id="1" w:name="_GoBack"/>
      <w:bookmarkEnd w:id="1"/>
      <w:r>
        <w:rPr>
          <w:rFonts w:hint="eastAsia" w:ascii="仿宋_GB2312" w:hAnsi="Calibri" w:eastAsia="仿宋_GB2312" w:cs="Times New Roman"/>
          <w:sz w:val="32"/>
          <w:szCs w:val="32"/>
        </w:rPr>
        <w:t>参考密云区同类项目相关标准，结合本地区项目实际情况，根据《密云区穆家峪镇新农村、刘林池</w:t>
      </w:r>
      <w:r>
        <w:rPr>
          <w:rFonts w:ascii="仿宋_GB2312" w:hAnsi="Calibri" w:eastAsia="仿宋_GB2312" w:cs="Times New Roman"/>
          <w:sz w:val="32"/>
          <w:szCs w:val="32"/>
        </w:rPr>
        <w:t>棚户区改造项目</w:t>
      </w:r>
      <w:r>
        <w:rPr>
          <w:rFonts w:hint="eastAsia" w:ascii="仿宋_GB2312" w:hAnsi="Calibri" w:eastAsia="仿宋_GB2312" w:cs="Times New Roman"/>
          <w:bCs w:val="0"/>
          <w:sz w:val="32"/>
          <w:szCs w:val="32"/>
        </w:rPr>
        <w:t>集体土地上住宅房屋拆迁补偿安置方案》、《密云区大唐庄、小唐庄、王家楼三村棚户区改造项目住宅、非住宅腾退补偿（安置）方案》，制定本方案。</w:t>
      </w:r>
    </w:p>
    <w:p>
      <w:pPr>
        <w:pStyle w:val="6"/>
        <w:numPr>
          <w:ilvl w:val="0"/>
          <w:numId w:val="1"/>
        </w:numPr>
        <w:autoSpaceDE w:val="0"/>
        <w:spacing w:before="100" w:beforeAutospacing="1" w:after="120" w:line="560" w:lineRule="exact"/>
        <w:ind w:firstLineChars="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腾退补偿方案的编制过程</w:t>
      </w:r>
    </w:p>
    <w:p>
      <w:pPr>
        <w:wordWrap w:val="0"/>
        <w:autoSpaceDE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在起草过程中，我镇项目指挥部组织相关专业公司，对密云区现行的类似项目相关标准进行研究、讨论，并进行多次对比测算，并通过区政府专题会议讨论，参会单位包括规自分局、住建委、教委等部门均表示对本方案中相关标准无异议。</w:t>
      </w:r>
    </w:p>
    <w:p>
      <w:pPr>
        <w:pStyle w:val="6"/>
        <w:numPr>
          <w:ilvl w:val="0"/>
          <w:numId w:val="1"/>
        </w:numPr>
        <w:autoSpaceDE w:val="0"/>
        <w:spacing w:line="560" w:lineRule="exact"/>
        <w:ind w:firstLineChars="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腾退补偿方案的主要内容</w:t>
      </w:r>
    </w:p>
    <w:p>
      <w:pPr>
        <w:autoSpaceDE w:val="0"/>
        <w:spacing w:before="100" w:beforeAutospacing="1" w:after="120"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《北京市密云区朝阳滨河学校（一期）新建工程项目腾退补偿方案》包括总则、房屋重置成新价及地上附着物腾退补偿、其他三个章节及附件。</w:t>
      </w:r>
    </w:p>
    <w:p>
      <w:pPr>
        <w:wordWrap w:val="0"/>
        <w:autoSpaceDE w:val="0"/>
        <w:spacing w:line="560" w:lineRule="exact"/>
        <w:ind w:left="64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（一）总则</w:t>
      </w:r>
    </w:p>
    <w:p>
      <w:pPr>
        <w:autoSpaceDE w:val="0"/>
        <w:spacing w:line="560" w:lineRule="exact"/>
        <w:ind w:firstLine="640" w:firstLineChars="200"/>
        <w:rPr>
          <w:rFonts w:hint="eastAsia" w:ascii="Calibri" w:hAnsi="Calibri" w:eastAsia="宋体" w:cs="Times New Roman"/>
          <w:kern w:val="32"/>
          <w:szCs w:val="21"/>
        </w:rPr>
      </w:pPr>
      <w:r>
        <w:rPr>
          <w:rFonts w:hint="eastAsia" w:ascii="仿宋_GB2312" w:hAnsi="Calibri" w:eastAsia="仿宋_GB2312" w:cs="Times New Roman"/>
          <w:kern w:val="32"/>
          <w:sz w:val="32"/>
          <w:szCs w:val="32"/>
        </w:rPr>
        <w:t>主要介绍了项目基本情况，明确了腾退范围，补偿方式为货币补偿，</w:t>
      </w:r>
      <w:r>
        <w:rPr>
          <w:rFonts w:hint="eastAsia" w:ascii="仿宋_GB2312" w:hAnsi="仿宋_GB2312" w:eastAsia="仿宋_GB2312" w:cs="仿宋_GB2312"/>
          <w:sz w:val="32"/>
          <w:szCs w:val="32"/>
        </w:rPr>
        <w:t>房屋重置成新</w:t>
      </w:r>
      <w:r>
        <w:rPr>
          <w:rFonts w:ascii="仿宋_GB2312" w:hAnsi="仿宋_GB2312" w:eastAsia="仿宋_GB2312" w:cs="仿宋_GB2312"/>
          <w:sz w:val="32"/>
          <w:szCs w:val="32"/>
        </w:rPr>
        <w:t>价补偿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执行《北京市房屋重置成新价评估技术标准》（北估秘〔2016〕001号）规定，</w:t>
      </w:r>
      <w:r>
        <w:rPr>
          <w:rFonts w:hint="eastAsia" w:ascii="仿宋_GB2312" w:hAnsi="楷体_GB2312" w:eastAsia="仿宋_GB2312" w:cs="楷体_GB2312"/>
          <w:color w:val="000000"/>
          <w:sz w:val="32"/>
          <w:szCs w:val="32"/>
        </w:rPr>
        <w:t>林木、果树、青苗补偿标准及适宜栽植密度标准。</w:t>
      </w:r>
    </w:p>
    <w:p>
      <w:pPr>
        <w:autoSpaceDE w:val="0"/>
        <w:spacing w:before="100" w:beforeAutospacing="1" w:after="120" w:line="560" w:lineRule="exact"/>
        <w:ind w:left="640"/>
        <w:rPr>
          <w:rFonts w:hint="eastAsia" w:ascii="仿宋_GB2312" w:hAnsi="Calibri" w:eastAsia="仿宋_GB2312" w:cs="Times New Roman"/>
          <w:kern w:val="3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（二）房屋重置成新价及地上附着物腾退补偿</w:t>
      </w:r>
    </w:p>
    <w:p>
      <w:pPr>
        <w:wordWrap w:val="0"/>
        <w:autoSpaceDE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</w:rPr>
        <w:t>1</w:t>
      </w:r>
      <w:r>
        <w:rPr>
          <w:rFonts w:ascii="仿宋_GB2312" w:hAnsi="Times New Roman" w:eastAsia="仿宋_GB2312" w:cs="Times New Roman"/>
          <w:kern w:val="32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</w:rPr>
        <w:t>明确了签约主体及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存在争议的解决方式。</w:t>
      </w:r>
    </w:p>
    <w:p>
      <w:pPr>
        <w:wordWrap w:val="0"/>
        <w:autoSpaceDE w:val="0"/>
        <w:spacing w:line="560" w:lineRule="exact"/>
        <w:ind w:firstLine="640" w:firstLineChars="200"/>
        <w:rPr>
          <w:rFonts w:ascii="仿宋_GB2312" w:hAnsi="楷体_GB2312" w:eastAsia="仿宋_GB2312" w:cs="楷体_GB2312"/>
          <w:color w:val="000000"/>
          <w:sz w:val="32"/>
          <w:szCs w:val="32"/>
        </w:rPr>
      </w:pPr>
      <w:r>
        <w:rPr>
          <w:rFonts w:ascii="仿宋_GB2312" w:hAnsi="Times New Roman" w:eastAsia="仿宋_GB2312" w:cs="Times New Roman"/>
          <w:kern w:val="32"/>
          <w:sz w:val="32"/>
          <w:szCs w:val="32"/>
        </w:rPr>
        <w:t>2.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</w:rPr>
        <w:t>明确了</w:t>
      </w:r>
      <w:r>
        <w:rPr>
          <w:rFonts w:hint="eastAsia" w:ascii="仿宋_GB2312" w:hAnsi="楷体_GB2312" w:eastAsia="仿宋_GB2312" w:cs="楷体_GB2312"/>
          <w:color w:val="000000"/>
          <w:sz w:val="32"/>
          <w:szCs w:val="32"/>
        </w:rPr>
        <w:t>认定和清登工作程序及内容。</w:t>
      </w:r>
    </w:p>
    <w:p>
      <w:pPr>
        <w:wordWrap w:val="0"/>
        <w:autoSpaceDE w:val="0"/>
        <w:spacing w:line="560" w:lineRule="exact"/>
        <w:ind w:firstLine="640" w:firstLineChars="200"/>
        <w:rPr>
          <w:rFonts w:ascii="仿宋_GB2312" w:hAnsi="楷体_GB2312" w:eastAsia="仿宋_GB2312" w:cs="楷体_GB2312"/>
          <w:color w:val="000000"/>
          <w:sz w:val="32"/>
          <w:szCs w:val="32"/>
        </w:rPr>
      </w:pPr>
      <w:r>
        <w:rPr>
          <w:rFonts w:hint="eastAsia" w:ascii="仿宋_GB2312" w:hAnsi="楷体_GB2312" w:eastAsia="仿宋_GB2312" w:cs="楷体_GB2312"/>
          <w:color w:val="000000"/>
          <w:sz w:val="32"/>
          <w:szCs w:val="32"/>
        </w:rPr>
        <w:t>3</w:t>
      </w:r>
      <w:r>
        <w:rPr>
          <w:rFonts w:ascii="仿宋_GB2312" w:hAnsi="楷体_GB2312" w:eastAsia="仿宋_GB2312" w:cs="楷体_GB2312"/>
          <w:color w:val="000000"/>
          <w:sz w:val="32"/>
          <w:szCs w:val="32"/>
        </w:rPr>
        <w:t>.</w:t>
      </w:r>
      <w:r>
        <w:rPr>
          <w:rFonts w:hint="eastAsia" w:ascii="仿宋_GB2312" w:hAnsi="楷体_GB2312" w:eastAsia="仿宋_GB2312" w:cs="楷体_GB2312"/>
          <w:color w:val="000000"/>
          <w:sz w:val="32"/>
          <w:szCs w:val="32"/>
        </w:rPr>
        <w:t>补偿内容：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腾退补偿费总价=房屋重置成新价+地上附着物补偿价＋其他补助+奖励费</w:t>
      </w:r>
    </w:p>
    <w:p>
      <w:pPr>
        <w:wordWrap w:val="0"/>
        <w:autoSpaceDE w:val="0"/>
        <w:spacing w:line="560" w:lineRule="exact"/>
        <w:ind w:firstLine="640" w:firstLineChars="200"/>
        <w:rPr>
          <w:rFonts w:ascii="仿宋_GB2312" w:hAnsi="楷体_GB2312" w:eastAsia="仿宋_GB2312" w:cs="楷体_GB2312"/>
          <w:color w:val="000000"/>
          <w:sz w:val="32"/>
          <w:szCs w:val="32"/>
        </w:rPr>
      </w:pPr>
      <w:r>
        <w:rPr>
          <w:rFonts w:hint="eastAsia" w:ascii="仿宋_GB2312" w:hAnsi="楷体_GB2312" w:eastAsia="仿宋_GB2312" w:cs="楷体_GB2312"/>
          <w:color w:val="000000"/>
          <w:sz w:val="32"/>
          <w:szCs w:val="32"/>
        </w:rPr>
        <w:t>（1）房屋重置成新价及地上附着物补偿价由评估公司参照《北京市房屋重置成新价评估技术标准》（北估秘〔2016〕001号）评估及《朝阳滨河学校一期新建工程项目林木、果树、青苗补偿标准》确定，评估值不足40000元/亩的按40000元/亩标准补偿。</w:t>
      </w:r>
    </w:p>
    <w:p>
      <w:pPr>
        <w:wordWrap w:val="0"/>
        <w:autoSpaceDE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楷体_GB2312" w:eastAsia="仿宋_GB2312" w:cs="楷体_GB2312"/>
          <w:color w:val="000000"/>
          <w:sz w:val="32"/>
          <w:szCs w:val="32"/>
        </w:rPr>
        <w:t>（2）其他补助：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单坟按照5000元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座、双坟按照10000元/座的标准给予迁移补助。</w:t>
      </w:r>
    </w:p>
    <w:p>
      <w:pPr>
        <w:wordWrap w:val="0"/>
        <w:autoSpaceDE w:val="0"/>
        <w:spacing w:line="560" w:lineRule="exact"/>
        <w:ind w:firstLine="640" w:firstLineChars="200"/>
        <w:rPr>
          <w:rFonts w:ascii="仿宋_GB2312" w:hAnsi="楷体_GB2312" w:eastAsia="仿宋_GB2312" w:cs="楷体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（3）奖励费：40000元/亩的工程配合奖，20000元/亩履行合同奖励。</w:t>
      </w:r>
    </w:p>
    <w:p>
      <w:pPr>
        <w:autoSpaceDE w:val="0"/>
        <w:spacing w:before="100" w:beforeAutospacing="1" w:after="120" w:line="560" w:lineRule="exact"/>
        <w:ind w:left="64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（三）其他</w:t>
      </w:r>
    </w:p>
    <w:p>
      <w:pPr>
        <w:ind w:firstLine="640" w:firstLineChars="200"/>
        <w:rPr>
          <w:rFonts w:ascii="仿宋_GB2312" w:hAnsi="Calibri" w:eastAsia="仿宋_GB2312" w:cs="Times New Roman"/>
          <w:kern w:val="32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32"/>
          <w:sz w:val="32"/>
          <w:szCs w:val="32"/>
        </w:rPr>
        <w:t>主要明确本方案的生效条件及未尽事宜的处理方式。</w:t>
      </w:r>
    </w:p>
    <w:p>
      <w:pPr>
        <w:autoSpaceDE w:val="0"/>
        <w:spacing w:before="100" w:beforeAutospacing="1" w:after="120" w:line="560" w:lineRule="exact"/>
        <w:ind w:left="64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（四）附件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32"/>
          <w:sz w:val="32"/>
          <w:szCs w:val="32"/>
        </w:rPr>
        <w:t>1</w:t>
      </w:r>
      <w:r>
        <w:rPr>
          <w:rFonts w:ascii="仿宋_GB2312" w:hAnsi="Calibri" w:eastAsia="仿宋_GB2312" w:cs="Times New Roman"/>
          <w:kern w:val="3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《</w:t>
      </w:r>
      <w:bookmarkStart w:id="0" w:name="_Hlk150945651"/>
      <w:r>
        <w:rPr>
          <w:rFonts w:hint="eastAsia" w:ascii="仿宋_GB2312" w:eastAsia="仿宋_GB2312"/>
          <w:sz w:val="32"/>
          <w:szCs w:val="32"/>
        </w:rPr>
        <w:t>北京市密云区朝阳滨河学校（一期）新建工程项目腾退工作实施方案</w:t>
      </w:r>
      <w:bookmarkEnd w:id="0"/>
      <w:r>
        <w:rPr>
          <w:rFonts w:hint="eastAsia" w:ascii="仿宋_GB2312" w:eastAsia="仿宋_GB2312"/>
          <w:sz w:val="32"/>
          <w:szCs w:val="32"/>
        </w:rPr>
        <w:t>》</w:t>
      </w:r>
    </w:p>
    <w:p>
      <w:pPr>
        <w:ind w:firstLine="643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明确了工作任务、工作原则、组织结构、工作职责、工作程序、费用来源、用途、支付流程及工作要求。</w:t>
      </w:r>
    </w:p>
    <w:p>
      <w:pPr>
        <w:spacing w:line="560" w:lineRule="exact"/>
        <w:ind w:firstLine="640" w:firstLineChars="200"/>
        <w:rPr>
          <w:rFonts w:ascii="仿宋_GB2312" w:hAnsi="Calibri" w:eastAsia="仿宋_GB2312" w:cs="Times New Roman"/>
          <w:kern w:val="3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Calibri" w:eastAsia="仿宋_GB2312" w:cs="Times New Roman"/>
          <w:kern w:val="32"/>
          <w:sz w:val="32"/>
          <w:szCs w:val="32"/>
        </w:rPr>
        <w:t>附件</w:t>
      </w:r>
      <w:r>
        <w:rPr>
          <w:rFonts w:hint="eastAsia" w:ascii="仿宋_GB2312" w:hAnsi="Calibri" w:eastAsia="仿宋_GB2312" w:cs="Times New Roman"/>
          <w:kern w:val="32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Times New Roman"/>
          <w:kern w:val="32"/>
          <w:sz w:val="32"/>
          <w:szCs w:val="32"/>
        </w:rPr>
        <w:t>《北京市密云区朝阳滨河学校（一期）新建工程项目林木、果树、青苗补偿标准》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32"/>
          <w:sz w:val="32"/>
          <w:szCs w:val="32"/>
        </w:rPr>
        <w:t>明确了林木、果树、青苗补偿标准及</w:t>
      </w:r>
      <w:r>
        <w:rPr>
          <w:rFonts w:hint="eastAsia" w:ascii="仿宋_GB2312" w:eastAsia="仿宋_GB2312"/>
          <w:sz w:val="32"/>
          <w:szCs w:val="32"/>
        </w:rPr>
        <w:t>适宜栽植的密度，并确定了未列入项目，按照市场价格结合实物具体情况进行评估作价。</w:t>
      </w:r>
    </w:p>
    <w:p>
      <w:pPr>
        <w:ind w:firstLine="643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/>
        </w:rPr>
      </w:pPr>
    </w:p>
    <w:p>
      <w:pPr>
        <w:ind w:firstLine="420" w:firstLineChars="200"/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</w:pPr>
    </w:p>
    <w:p>
      <w:pPr>
        <w:spacing w:line="560" w:lineRule="exact"/>
        <w:jc w:val="right"/>
        <w:rPr>
          <w:rFonts w:ascii="仿宋_GB2312" w:hAnsi="Calibri" w:eastAsia="仿宋_GB2312" w:cs="Times New Roman"/>
          <w:kern w:val="32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32"/>
          <w:sz w:val="32"/>
          <w:szCs w:val="32"/>
        </w:rPr>
        <w:t>密云镇人民政府</w:t>
      </w:r>
    </w:p>
    <w:p>
      <w:pPr>
        <w:spacing w:line="560" w:lineRule="exact"/>
        <w:jc w:val="right"/>
        <w:rPr>
          <w:rFonts w:hint="eastAsia" w:ascii="仿宋_GB2312" w:hAnsi="Calibri" w:eastAsia="仿宋_GB2312" w:cs="Times New Roman"/>
          <w:kern w:val="32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32"/>
          <w:sz w:val="32"/>
          <w:szCs w:val="32"/>
        </w:rPr>
        <w:t>2</w:t>
      </w:r>
      <w:r>
        <w:rPr>
          <w:rFonts w:ascii="仿宋_GB2312" w:hAnsi="Calibri" w:eastAsia="仿宋_GB2312" w:cs="Times New Roman"/>
          <w:kern w:val="32"/>
          <w:sz w:val="32"/>
          <w:szCs w:val="32"/>
        </w:rPr>
        <w:t>023</w:t>
      </w:r>
      <w:r>
        <w:rPr>
          <w:rFonts w:hint="eastAsia" w:ascii="仿宋_GB2312" w:hAnsi="Calibri" w:eastAsia="仿宋_GB2312" w:cs="Times New Roman"/>
          <w:kern w:val="32"/>
          <w:sz w:val="32"/>
          <w:szCs w:val="32"/>
        </w:rPr>
        <w:t>年1</w:t>
      </w:r>
      <w:r>
        <w:rPr>
          <w:rFonts w:ascii="仿宋_GB2312" w:hAnsi="Calibri" w:eastAsia="仿宋_GB2312" w:cs="Times New Roman"/>
          <w:kern w:val="32"/>
          <w:sz w:val="32"/>
          <w:szCs w:val="32"/>
        </w:rPr>
        <w:t>2</w:t>
      </w:r>
      <w:r>
        <w:rPr>
          <w:rFonts w:hint="eastAsia" w:ascii="仿宋_GB2312" w:hAnsi="Calibri" w:eastAsia="仿宋_GB2312" w:cs="Times New Roman"/>
          <w:kern w:val="32"/>
          <w:sz w:val="32"/>
          <w:szCs w:val="32"/>
        </w:rPr>
        <w:t>月1</w:t>
      </w:r>
      <w:r>
        <w:rPr>
          <w:rFonts w:ascii="仿宋_GB2312" w:hAnsi="Calibri" w:eastAsia="仿宋_GB2312" w:cs="Times New Roman"/>
          <w:kern w:val="32"/>
          <w:sz w:val="32"/>
          <w:szCs w:val="32"/>
        </w:rPr>
        <w:t>2</w:t>
      </w:r>
      <w:r>
        <w:rPr>
          <w:rFonts w:hint="eastAsia" w:ascii="仿宋_GB2312" w:hAnsi="Calibri" w:eastAsia="仿宋_GB2312" w:cs="Times New Roman"/>
          <w:kern w:val="32"/>
          <w:sz w:val="32"/>
          <w:szCs w:val="32"/>
        </w:rPr>
        <w:t>日</w:t>
      </w:r>
    </w:p>
    <w:p>
      <w:pPr>
        <w:rPr>
          <w:rFonts w:hint="eastAsia" w:ascii="Calibri" w:hAnsi="Calibri" w:eastAsia="宋体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71017C"/>
    <w:multiLevelType w:val="multilevel"/>
    <w:tmpl w:val="4771017C"/>
    <w:lvl w:ilvl="0" w:tentative="0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13"/>
    <w:rsid w:val="002A4AB8"/>
    <w:rsid w:val="00556AD1"/>
    <w:rsid w:val="0071074F"/>
    <w:rsid w:val="0080251A"/>
    <w:rsid w:val="008F1204"/>
    <w:rsid w:val="00BD5F3F"/>
    <w:rsid w:val="00E45213"/>
    <w:rsid w:val="00E53C0B"/>
    <w:rsid w:val="00FD76E7"/>
    <w:rsid w:val="65916F11"/>
    <w:rsid w:val="C9FDD722"/>
    <w:rsid w:val="EF7F9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标题"/>
    <w:basedOn w:val="1"/>
    <w:link w:val="5"/>
    <w:qFormat/>
    <w:uiPriority w:val="0"/>
    <w:pPr>
      <w:autoSpaceDE w:val="0"/>
      <w:autoSpaceDN w:val="0"/>
      <w:adjustRightInd w:val="0"/>
      <w:spacing w:line="540" w:lineRule="exact"/>
      <w:jc w:val="center"/>
    </w:pPr>
    <w:rPr>
      <w:rFonts w:ascii="方正小标宋简体" w:hAnsi="宋体" w:eastAsia="方正小标宋简体" w:cs="宋体"/>
      <w:bCs/>
      <w:sz w:val="44"/>
      <w:szCs w:val="44"/>
      <w:lang w:val="zh-CN"/>
    </w:rPr>
  </w:style>
  <w:style w:type="character" w:customStyle="1" w:styleId="5">
    <w:name w:val="公文标题 字符"/>
    <w:basedOn w:val="3"/>
    <w:link w:val="4"/>
    <w:qFormat/>
    <w:uiPriority w:val="0"/>
    <w:rPr>
      <w:rFonts w:ascii="方正小标宋简体" w:hAnsi="宋体" w:eastAsia="方正小标宋简体" w:cs="宋体"/>
      <w:bCs/>
      <w:sz w:val="44"/>
      <w:szCs w:val="44"/>
      <w:lang w:val="zh-CN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173</Words>
  <Characters>992</Characters>
  <Lines>8</Lines>
  <Paragraphs>2</Paragraphs>
  <TotalTime>0</TotalTime>
  <ScaleCrop>false</ScaleCrop>
  <LinksUpToDate>false</LinksUpToDate>
  <CharactersWithSpaces>1163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2023-12-13T04:07:00Z</dcterms:created>
  <dc:creator>jingp9n800@outlook.com</dc:creator>
  <cp:lastModifiedBy>user</cp:lastModifiedBy>
  <dcterms:modified xsi:type="dcterms:W3CDTF">2023-12-12T15:43:16Z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