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中关村房山园新能源与新材料产业园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FS00-0215-0001等地块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规划综合实施方案</w:t>
      </w:r>
    </w:p>
    <w:p>
      <w:pPr>
        <w:spacing w:line="560" w:lineRule="exact"/>
        <w:jc w:val="center"/>
        <w:rPr>
          <w:rFonts w:hint="eastAsia" w:asciiTheme="majorEastAsia" w:hAnsiTheme="majorEastAsia" w:eastAsiaTheme="majorEastAsia"/>
          <w:b/>
          <w:bCs/>
          <w:sz w:val="36"/>
          <w:szCs w:val="36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一、概述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贯彻落实《房山分区规划（国土空间规划）（2017年—2035年）》相关要求，衔接《北京房山区燕房组团北部片区街区控制性详细规划（街区层面）(2021年-2035年)》（在编），促进中关村房山园建设，加快区级重点项目落位实施，根据有关法律法规以及经批准的城乡规划编制《中关村房山园新能源与新材料产业园FS00-0215-0001等地块规划综合实施方案》，公示期限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2023年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11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日至2023年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ascii="仿宋_GB2312" w:hAnsi="仿宋_GB2312" w:eastAsia="仿宋_GB2312" w:cs="仿宋_GB2312"/>
          <w:color w:val="auto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二、区位及规划范围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项目用地位于房山区燕房组团新材料基地0215街区东部，城关街道辖区内，用地西侧紧邻片区干道（丁盛南路），南距主干道（大件路）约1.5公里。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本次规划范围西至丁盛南路东侧红线，南至创享南路（规划支路）南侧红线，东至汇和街（规划支路）东侧红线，北至规划一级公路南侧红线，占地约20.60公顷。</w:t>
      </w:r>
    </w:p>
    <w:p>
      <w:pPr>
        <w:jc w:val="center"/>
        <w:rPr>
          <w:rFonts w:ascii="仿宋_GB2312" w:eastAsia="仿宋_GB2312" w:hAnsiTheme="majorEastAsia"/>
          <w:b/>
          <w:bCs/>
          <w:sz w:val="28"/>
          <w:szCs w:val="28"/>
        </w:rPr>
      </w:pPr>
      <w:r>
        <w:rPr>
          <w:rFonts w:hint="eastAsia" w:ascii="仿宋_GB2312" w:eastAsia="仿宋_GB2312" w:hAnsiTheme="majorEastAsia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32385</wp:posOffset>
            </wp:positionV>
            <wp:extent cx="5235575" cy="3907790"/>
            <wp:effectExtent l="0" t="0" r="317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hAnsiTheme="majorEastAsia"/>
          <w:b/>
          <w:bCs/>
          <w:sz w:val="22"/>
        </w:rPr>
        <w:t>项目区位图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三、规模控制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规划范围总用地面积20.60公顷，其中一类工业用地12.88公顷，供电用地0.94公顷。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地上建筑总规模约13.82万平方米，其中工业建筑规模12.88万平方米，供电设施规模0</w:t>
      </w:r>
      <w:r>
        <w:rPr>
          <w:rFonts w:ascii="仿宋_GB2312" w:hAnsi="仿宋_GB2312" w:eastAsia="仿宋_GB2312" w:cs="仿宋_GB2312"/>
          <w:sz w:val="32"/>
          <w:szCs w:val="32"/>
        </w:rPr>
        <w:t>.94</w:t>
      </w:r>
      <w:r>
        <w:rPr>
          <w:rFonts w:hint="eastAsia" w:ascii="仿宋_GB2312" w:hAnsi="仿宋_GB2312" w:eastAsia="仿宋_GB2312" w:cs="仿宋_GB2312"/>
          <w:sz w:val="32"/>
          <w:szCs w:val="32"/>
        </w:rPr>
        <w:t>万平方米。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475480" cy="3583305"/>
            <wp:effectExtent l="0" t="0" r="1270" b="0"/>
            <wp:docPr id="20213379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37910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9"/>
                    <a:stretch>
                      <a:fillRect/>
                    </a:stretch>
                  </pic:blipFill>
                  <pic:spPr>
                    <a:xfrm>
                      <a:off x="0" y="0"/>
                      <a:ext cx="4482577" cy="35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hint="eastAsia" w:ascii="仿宋_GB2312" w:eastAsia="仿宋_GB2312" w:hAnsiTheme="minorEastAsia"/>
          <w:b/>
          <w:bCs/>
          <w:sz w:val="22"/>
          <w:szCs w:val="24"/>
        </w:rPr>
        <w:t>用地规划图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四、控制指标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1．容积率：规划范围内一类工业用地容积率控制为1.0，供电用地容积率控制为1.0。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．建筑高度：规划范围内一类工业用地建筑高度控制为</w:t>
      </w:r>
      <w:r>
        <w:rPr>
          <w:rFonts w:ascii="仿宋_GB2312" w:hAnsi="仿宋_GB2312" w:eastAsia="仿宋_GB2312" w:cs="仿宋_GB2312"/>
          <w:sz w:val="32"/>
          <w:szCs w:val="32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米，供电用地建筑高度控制为2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米。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．绿地率：规划范围内一类工业用地绿地率大于等于1</w:t>
      </w:r>
      <w:r>
        <w:rPr>
          <w:rFonts w:ascii="仿宋_GB2312" w:hAnsi="仿宋_GB2312" w:eastAsia="仿宋_GB2312" w:cs="仿宋_GB2312"/>
          <w:sz w:val="32"/>
          <w:szCs w:val="32"/>
        </w:rPr>
        <w:t>5%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4．建筑密度以最终审定方案为准。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五、城市设计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营造与周边环境的协调，具备完善的交通与市政设施，以人为本的高品质示范性产业园区。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527550" cy="3547110"/>
            <wp:effectExtent l="0" t="0" r="6350" b="0"/>
            <wp:docPr id="1605905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0556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r="16516"/>
                    <a:stretch>
                      <a:fillRect/>
                    </a:stretch>
                  </pic:blipFill>
                  <pic:spPr>
                    <a:xfrm>
                      <a:off x="0" y="0"/>
                      <a:ext cx="4533890" cy="35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hint="eastAsia" w:ascii="仿宋_GB2312" w:eastAsia="仿宋_GB2312" w:hAnsiTheme="minorEastAsia"/>
          <w:b/>
          <w:bCs/>
          <w:sz w:val="22"/>
          <w:szCs w:val="24"/>
        </w:rPr>
        <w:t>总平面图</w:t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ascii="仿宋_GB2312" w:eastAsia="仿宋_GB2312" w:hAnsiTheme="minorEastAsia"/>
          <w:b/>
          <w:bCs/>
          <w:sz w:val="22"/>
          <w:szCs w:val="24"/>
        </w:rPr>
        <w:drawing>
          <wp:inline distT="0" distB="0" distL="0" distR="0">
            <wp:extent cx="4653915" cy="2703830"/>
            <wp:effectExtent l="0" t="0" r="0" b="1270"/>
            <wp:docPr id="119974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4318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" r="7697"/>
                    <a:stretch>
                      <a:fillRect/>
                    </a:stretch>
                  </pic:blipFill>
                  <pic:spPr>
                    <a:xfrm>
                      <a:off x="0" y="0"/>
                      <a:ext cx="4664004" cy="27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hint="eastAsia" w:ascii="仿宋_GB2312" w:eastAsia="仿宋_GB2312" w:hAnsiTheme="minorEastAsia"/>
          <w:b/>
          <w:bCs/>
          <w:sz w:val="22"/>
          <w:szCs w:val="24"/>
        </w:rPr>
        <w:t>鸟瞰效果图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六、配套支撑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1、市政设施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统筹燕房组团用电需求在本次规划范围内新增220千伏变电站一处，用地面积约0.94公顷，容积率和建筑控高分别按1.0和24米控制（以满足功能需求为准），建设指标满足供电公司要求。</w:t>
      </w:r>
    </w:p>
    <w:p>
      <w:pPr>
        <w:spacing w:line="56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2、防洪及河道治理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规划范围内布置1、2号截洪沟，1号截洪沟穿越防护绿地，规划沟上口宽为3米；2号截洪沟布置于汇和街道路红线内（东侧），规划沟上口宽为2米。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514215" cy="3931920"/>
            <wp:effectExtent l="0" t="0" r="635" b="0"/>
            <wp:docPr id="12398271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27158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15517" b="2359"/>
                    <a:stretch>
                      <a:fillRect/>
                    </a:stretch>
                  </pic:blipFill>
                  <pic:spPr>
                    <a:xfrm>
                      <a:off x="0" y="0"/>
                      <a:ext cx="4523034" cy="39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hint="eastAsia" w:ascii="仿宋_GB2312" w:eastAsia="仿宋_GB2312" w:hAnsiTheme="minorEastAsia"/>
          <w:b/>
          <w:bCs/>
          <w:sz w:val="22"/>
          <w:szCs w:val="24"/>
        </w:rPr>
        <w:t>防洪及河道治理规划图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七、交通体系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全面落实上位规划的相关要求，因地制宜优化路网格局。项目北侧紧邻一级公路，规划红线标准段宽度50米，拓宽段宽度不超过120米，道路南侧预留一处隧道管理所；西侧紧邻城市次干路，规划红线宽度35米。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规划范围内规划四条支路，规划红线宽度均为20米。</w:t>
      </w:r>
    </w:p>
    <w:p>
      <w:pPr>
        <w:ind w:firstLine="560" w:firstLineChars="200"/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515485" cy="4135120"/>
            <wp:effectExtent l="0" t="0" r="0" b="0"/>
            <wp:docPr id="1200922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2227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t="8419" b="1385"/>
                    <a:stretch>
                      <a:fillRect/>
                    </a:stretch>
                  </pic:blipFill>
                  <pic:spPr>
                    <a:xfrm>
                      <a:off x="0" y="0"/>
                      <a:ext cx="4528047" cy="41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  <w:r>
        <w:rPr>
          <w:rFonts w:hint="eastAsia" w:ascii="仿宋_GB2312" w:eastAsia="仿宋_GB2312" w:hAnsiTheme="minorEastAsia"/>
          <w:b/>
          <w:bCs/>
          <w:sz w:val="22"/>
          <w:szCs w:val="24"/>
        </w:rPr>
        <w:t>道路交通规划图</w:t>
      </w: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</w:p>
    <w:p>
      <w:pPr>
        <w:ind w:firstLine="442" w:firstLineChars="200"/>
        <w:jc w:val="center"/>
        <w:rPr>
          <w:rFonts w:ascii="仿宋_GB2312" w:eastAsia="仿宋_GB2312" w:hAnsiTheme="minorEastAsia"/>
          <w:b/>
          <w:bCs/>
          <w:sz w:val="22"/>
          <w:szCs w:val="24"/>
        </w:rPr>
      </w:pP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中关村科技园区房山园管理委员会</w:t>
      </w:r>
    </w:p>
    <w:p>
      <w:pPr>
        <w:spacing w:line="560" w:lineRule="exact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2023年</w:t>
      </w:r>
      <w:r>
        <w:rPr>
          <w:rFonts w:ascii="仿宋_GB2312" w:hAnsi="仿宋_GB2312" w:eastAsia="仿宋_GB2312" w:cs="仿宋_GB2312"/>
          <w:sz w:val="32"/>
          <w:szCs w:val="32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lOWExYzFmNzEwMDBhYjdjNzdkMzA4NDMwNGIwNGUifQ=="/>
  </w:docVars>
  <w:rsids>
    <w:rsidRoot w:val="00002DB3"/>
    <w:rsid w:val="00002DB3"/>
    <w:rsid w:val="00083912"/>
    <w:rsid w:val="000900E2"/>
    <w:rsid w:val="00164832"/>
    <w:rsid w:val="001C37AE"/>
    <w:rsid w:val="00227DE7"/>
    <w:rsid w:val="002C72FA"/>
    <w:rsid w:val="003006B0"/>
    <w:rsid w:val="005216EE"/>
    <w:rsid w:val="00540422"/>
    <w:rsid w:val="006A62A4"/>
    <w:rsid w:val="00791B96"/>
    <w:rsid w:val="007B7631"/>
    <w:rsid w:val="007F1ECB"/>
    <w:rsid w:val="00823F68"/>
    <w:rsid w:val="008D6E6C"/>
    <w:rsid w:val="009475A7"/>
    <w:rsid w:val="00A016FE"/>
    <w:rsid w:val="00A731CC"/>
    <w:rsid w:val="00A968BF"/>
    <w:rsid w:val="00AF62BF"/>
    <w:rsid w:val="00B03085"/>
    <w:rsid w:val="00BD0BA4"/>
    <w:rsid w:val="00CA328C"/>
    <w:rsid w:val="00CD4E5D"/>
    <w:rsid w:val="00D9715F"/>
    <w:rsid w:val="00DE09AF"/>
    <w:rsid w:val="00E13B9B"/>
    <w:rsid w:val="00E62EF8"/>
    <w:rsid w:val="00F369B2"/>
    <w:rsid w:val="00F60206"/>
    <w:rsid w:val="00F66E26"/>
    <w:rsid w:val="00F914FD"/>
    <w:rsid w:val="05FE02E6"/>
    <w:rsid w:val="13772ED2"/>
    <w:rsid w:val="13A44102"/>
    <w:rsid w:val="16A547E4"/>
    <w:rsid w:val="176A407A"/>
    <w:rsid w:val="1E3A0BB7"/>
    <w:rsid w:val="21BE7FE1"/>
    <w:rsid w:val="227F3050"/>
    <w:rsid w:val="26B52502"/>
    <w:rsid w:val="27265050"/>
    <w:rsid w:val="2E60440B"/>
    <w:rsid w:val="2EB30D54"/>
    <w:rsid w:val="31470D6C"/>
    <w:rsid w:val="33B41E11"/>
    <w:rsid w:val="37DE621C"/>
    <w:rsid w:val="3C90317B"/>
    <w:rsid w:val="43FE628C"/>
    <w:rsid w:val="444D1D34"/>
    <w:rsid w:val="44950E87"/>
    <w:rsid w:val="53AF6C4D"/>
    <w:rsid w:val="542B366E"/>
    <w:rsid w:val="5B323AF8"/>
    <w:rsid w:val="5C131E26"/>
    <w:rsid w:val="5CAD3A51"/>
    <w:rsid w:val="606E64AB"/>
    <w:rsid w:val="61634479"/>
    <w:rsid w:val="6A4E2F77"/>
    <w:rsid w:val="6F4E4D58"/>
    <w:rsid w:val="735C098A"/>
    <w:rsid w:val="74FF0E5D"/>
    <w:rsid w:val="75505CB2"/>
    <w:rsid w:val="75AA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列表段落1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customStyle="1" w:styleId="9">
    <w:name w:val="石墨文档正文"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="微软雅黑" w:hAnsi="微软雅黑" w:eastAsia="宋体" w:cs="微软雅黑"/>
      <w:sz w:val="28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167</Words>
  <Characters>954</Characters>
  <Lines>7</Lines>
  <Paragraphs>2</Paragraphs>
  <ScaleCrop>false</ScaleCrop>
  <LinksUpToDate>false</LinksUpToDate>
  <CharactersWithSpaces>1119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2023-11-27T05:51:00Z</dcterms:created>
  <dc:creator>SHIJIE ZHANG</dc:creator>
  <cp:lastModifiedBy>GWH-PC</cp:lastModifiedBy>
  <dcterms:modified xsi:type="dcterms:W3CDTF">2023-11-28T07:53:36Z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A8D62D2ADFAA490D8423BC2B592FA55D_13</vt:lpwstr>
  </property>
</Properties>
</file>