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val="0"/>
        <w:snapToGrid w:val="0"/>
        <w:spacing w:after="0" w:line="540" w:lineRule="exact"/>
        <w:ind w:right="0" w:rightChars="0"/>
        <w:jc w:val="center"/>
        <w:textAlignment w:val="auto"/>
        <w:rPr>
          <w:rFonts w:hint="default"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sz w:val="44"/>
          <w:szCs w:val="44"/>
          <w:highlight w:val="none"/>
          <w:lang w:eastAsia="zh-CN"/>
        </w:rPr>
        <w:t>关于</w:t>
      </w:r>
      <w:r>
        <w:rPr>
          <w:rFonts w:hint="default" w:ascii="Times New Roman" w:hAnsi="Times New Roman" w:eastAsia="方正小标宋简体" w:cs="Times New Roman"/>
          <w:sz w:val="44"/>
          <w:szCs w:val="44"/>
          <w:highlight w:val="none"/>
        </w:rPr>
        <w:t>《</w:t>
      </w:r>
      <w:r>
        <w:rPr>
          <w:rFonts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rPr>
        <w:t>石景山区</w:t>
      </w:r>
      <w:r>
        <w:rPr>
          <w:rFonts w:ascii="方正小标宋简体" w:hAnsi="方正小标宋简体" w:eastAsia="方正小标宋简体" w:cs="方正小标宋简体"/>
          <w:sz w:val="44"/>
          <w:szCs w:val="44"/>
        </w:rPr>
        <w:t>加强科技类校外培训机构预收费资金监管工作方案（试行）</w:t>
      </w:r>
      <w:r>
        <w:rPr>
          <w:rFonts w:hint="eastAsia" w:ascii="方正小标宋简体" w:hAnsi="方正小标宋简体" w:eastAsia="方正小标宋简体" w:cs="方正小标宋简体"/>
          <w:sz w:val="44"/>
          <w:szCs w:val="44"/>
          <w:lang w:eastAsia="zh-CN"/>
        </w:rPr>
        <w:t>（征求意见稿）</w:t>
      </w:r>
      <w:r>
        <w:rPr>
          <w:rFonts w:hint="default" w:ascii="Times New Roman" w:hAnsi="Times New Roman" w:eastAsia="方正小标宋简体" w:cs="Times New Roman"/>
          <w:sz w:val="44"/>
          <w:szCs w:val="44"/>
          <w:highlight w:val="none"/>
        </w:rPr>
        <w:t>》</w:t>
      </w:r>
      <w:r>
        <w:rPr>
          <w:rFonts w:hint="eastAsia" w:ascii="Times New Roman" w:hAnsi="Times New Roman" w:eastAsia="方正小标宋简体" w:cs="Times New Roman"/>
          <w:sz w:val="44"/>
          <w:szCs w:val="44"/>
          <w:highlight w:val="none"/>
          <w:lang w:eastAsia="zh-CN"/>
        </w:rPr>
        <w:t>起草说明</w:t>
      </w:r>
    </w:p>
    <w:p>
      <w:pPr>
        <w:keepNext w:val="0"/>
        <w:keepLines w:val="0"/>
        <w:pageBreakBefore w:val="0"/>
        <w:widowControl/>
        <w:kinsoku/>
        <w:wordWrap/>
        <w:overflowPunct/>
        <w:topLinePunct w:val="0"/>
        <w:autoSpaceDE/>
        <w:bidi w:val="0"/>
        <w:spacing w:after="0" w:line="540" w:lineRule="exact"/>
        <w:ind w:right="0" w:rightChars="0" w:firstLine="780" w:firstLineChars="244"/>
        <w:textAlignment w:val="auto"/>
        <w:rPr>
          <w:rFonts w:hint="default"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一、《北京市石景山区加强科技类校外培训机构预收费资金监管工作方案（试行）</w:t>
      </w:r>
      <w:r>
        <w:rPr>
          <w:rFonts w:hint="eastAsia" w:ascii="国标黑体" w:hAnsi="国标黑体" w:eastAsia="国标黑体" w:cs="国标黑体"/>
          <w:sz w:val="32"/>
          <w:szCs w:val="32"/>
          <w:lang w:eastAsia="zh-CN"/>
        </w:rPr>
        <w:t>（意见征求稿）</w:t>
      </w:r>
      <w:r>
        <w:rPr>
          <w:rFonts w:hint="eastAsia" w:ascii="国标黑体" w:hAnsi="国标黑体" w:eastAsia="国标黑体" w:cs="国标黑体"/>
          <w:sz w:val="32"/>
          <w:szCs w:val="32"/>
        </w:rPr>
        <w:t>》起草必要性</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年来，预付式消费在科技类校外培训领域的应用范围越来越广。预付式消费作为市场上一种消费行为，对便利支付、促进消费、繁荣市场起到了积极作用。部分商家将其作为扩张经营的筹资手段，具有预付式消费履约风险；有的商家因服务质量下降，甚至闭店破产等，侵犯了消费者合法权益，对消费环境和市场秩序造成一定负面影响。为加强单用途预付卡管理，保护消费者合法权益，规范预付式消费市场秩序，2021年11月26日北京市第十五届人民代表大会常务委员会第三十五次会议通过了《北京市单用途预付卡管理条例》（以下简称《条例》），自2022年6月1日起施行。</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二、《北京市石景山区加强科技类校外培训机构预收费资金监管工作方案（试行）</w:t>
      </w:r>
      <w:r>
        <w:rPr>
          <w:rFonts w:hint="eastAsia" w:ascii="国标黑体" w:hAnsi="国标黑体" w:eastAsia="国标黑体" w:cs="国标黑体"/>
          <w:sz w:val="32"/>
          <w:szCs w:val="32"/>
          <w:lang w:eastAsia="zh-CN"/>
        </w:rPr>
        <w:t>（意见征求稿）</w:t>
      </w:r>
      <w:r>
        <w:rPr>
          <w:rFonts w:hint="eastAsia" w:ascii="国标黑体" w:hAnsi="国标黑体" w:eastAsia="国标黑体" w:cs="国标黑体"/>
          <w:sz w:val="32"/>
          <w:szCs w:val="32"/>
        </w:rPr>
        <w:t>》起草总体思路</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教育部等十三部门关于规范面向中小学生的非学科类校外培训的意见》（教监管〔2022〕4号）、《北京市单用途预付卡管理条例》（北京市人民代表大会常务委员会公告〔十五届〕第68号）、《北京市科技类校外培训预收费管理办法（试行）》（京科发〔2023〕10号）等文件要求，进一步规范我区科技类校外培训机构办学行为，保障预收费资金安全和学员合法权益，</w:t>
      </w:r>
      <w:r>
        <w:rPr>
          <w:rFonts w:hint="eastAsia" w:ascii="仿宋_GB2312" w:hAnsi="仿宋_GB2312" w:eastAsia="仿宋_GB2312" w:cs="仿宋_GB2312"/>
          <w:sz w:val="32"/>
          <w:szCs w:val="32"/>
          <w:lang w:eastAsia="zh-CN"/>
        </w:rPr>
        <w:t>研究制定《</w:t>
      </w:r>
      <w:r>
        <w:rPr>
          <w:rFonts w:hint="eastAsia" w:ascii="仿宋_GB2312" w:hAnsi="仿宋_GB2312" w:eastAsia="仿宋_GB2312" w:cs="仿宋_GB2312"/>
          <w:sz w:val="32"/>
          <w:szCs w:val="32"/>
        </w:rPr>
        <w:t>北京市石景山区加强科技类校外培训机构预收费资金监管工作方案（试行）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三</w:t>
      </w:r>
      <w:r>
        <w:rPr>
          <w:rFonts w:hint="eastAsia" w:ascii="国标黑体" w:hAnsi="国标黑体" w:eastAsia="国标黑体" w:cs="国标黑体"/>
          <w:sz w:val="32"/>
          <w:szCs w:val="32"/>
        </w:rPr>
        <w:t>、《北京市石景山区加强科技类校外培训机构预收费资金监管工作方案（试行）</w:t>
      </w:r>
      <w:r>
        <w:rPr>
          <w:rFonts w:hint="eastAsia" w:ascii="国标黑体" w:hAnsi="国标黑体" w:eastAsia="国标黑体" w:cs="国标黑体"/>
          <w:sz w:val="32"/>
          <w:szCs w:val="32"/>
          <w:lang w:eastAsia="zh-CN"/>
        </w:rPr>
        <w:t>（意见征求稿）</w:t>
      </w:r>
      <w:r>
        <w:rPr>
          <w:rFonts w:hint="eastAsia" w:ascii="国标黑体" w:hAnsi="国标黑体" w:eastAsia="国标黑体" w:cs="国标黑体"/>
          <w:sz w:val="32"/>
          <w:szCs w:val="32"/>
        </w:rPr>
        <w:t>》</w:t>
      </w:r>
      <w:r>
        <w:rPr>
          <w:rFonts w:hint="eastAsia" w:ascii="国标黑体" w:hAnsi="国标黑体" w:eastAsia="国标黑体" w:cs="国标黑体"/>
          <w:sz w:val="32"/>
          <w:szCs w:val="32"/>
          <w:lang w:eastAsia="zh-CN"/>
        </w:rPr>
        <w:t>主要任务</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《方案》共计17条，主要内容如下：</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一是明晰监管范围</w:t>
      </w:r>
      <w:r>
        <w:rPr>
          <w:rFonts w:hint="eastAsia" w:ascii="仿宋_GB2312" w:hAnsi="仿宋_GB2312" w:eastAsia="仿宋_GB2312" w:cs="仿宋_GB2312"/>
          <w:sz w:val="32"/>
          <w:szCs w:val="32"/>
          <w:lang w:val="en-US" w:eastAsia="zh-CN"/>
        </w:rPr>
        <w:t>。面向中小学生（含3至6岁儿童）且采取预收费方式经营的所有科技类校外培训机构（以下简称“机构”）均要接受监管。</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二是明确资金监管平台、存管和支取要求。</w:t>
      </w:r>
      <w:r>
        <w:rPr>
          <w:rFonts w:hint="eastAsia" w:ascii="仿宋_GB2312" w:hAnsi="仿宋_GB2312" w:eastAsia="仿宋_GB2312" w:cs="仿宋_GB2312"/>
          <w:sz w:val="32"/>
          <w:szCs w:val="32"/>
          <w:lang w:val="en-US" w:eastAsia="zh-CN"/>
        </w:rPr>
        <w:t>培训机构应在石景山区预付式消费信用监管和服务平台上完成企业注册、经营信息备案、绑定存管账户、按行业示范合同发卡等工作，通过平台或与平台数据对接的售卡平台进行售卡，并按规定接受资金存管；机构可以选择“一课一结”或“一月一结”的存管资金支取方式。工作要求参照市级管理办法，结合石景山实际制定。</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三是加强收费管理。</w:t>
      </w:r>
      <w:r>
        <w:rPr>
          <w:rFonts w:hint="eastAsia" w:ascii="仿宋_GB2312" w:hAnsi="仿宋_GB2312" w:eastAsia="仿宋_GB2312" w:cs="仿宋_GB2312"/>
          <w:sz w:val="32"/>
          <w:szCs w:val="32"/>
          <w:lang w:val="en-US" w:eastAsia="zh-CN"/>
        </w:rPr>
        <w:t>机构收费时段不得早于培训开始前一个月时间，不得长于场地租赁期限，不得一次性收取时间跨度超过3个月或60课时的费用，且不超过5000元等要求。</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四是加强信息管理。</w:t>
      </w:r>
      <w:r>
        <w:rPr>
          <w:rFonts w:hint="eastAsia" w:ascii="仿宋_GB2312" w:hAnsi="仿宋_GB2312" w:eastAsia="仿宋_GB2312" w:cs="仿宋_GB2312"/>
          <w:sz w:val="32"/>
          <w:szCs w:val="32"/>
          <w:lang w:val="en-US" w:eastAsia="zh-CN"/>
        </w:rPr>
        <w:t>机构应提供培训服</w:t>
      </w:r>
      <w:bookmarkStart w:id="0" w:name="_GoBack"/>
      <w:bookmarkEnd w:id="0"/>
      <w:r>
        <w:rPr>
          <w:rFonts w:hint="eastAsia" w:ascii="仿宋_GB2312" w:hAnsi="仿宋_GB2312" w:eastAsia="仿宋_GB2312" w:cs="仿宋_GB2312"/>
          <w:sz w:val="32"/>
          <w:szCs w:val="32"/>
          <w:lang w:val="en-US" w:eastAsia="zh-CN"/>
        </w:rPr>
        <w:t>务费使用情况、培训服务消费记录、余额等信息查询服务，应公示培训内容、培训时长、收费项目、收费标准（价格或者计价方法）、退费办法等信息；提出了保护学员信息安全的要求。</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CESI楷体-GB2312" w:hAnsi="CESI楷体-GB2312" w:eastAsia="CESI楷体-GB2312" w:cs="CESI楷体-GB2312"/>
          <w:sz w:val="32"/>
          <w:szCs w:val="32"/>
          <w:lang w:val="en-US" w:eastAsia="zh-CN"/>
        </w:rPr>
        <w:t>五是明确管理职责。</w:t>
      </w:r>
      <w:r>
        <w:rPr>
          <w:rFonts w:hint="eastAsia" w:ascii="仿宋_GB2312" w:hAnsi="仿宋_GB2312" w:eastAsia="仿宋_GB2312" w:cs="仿宋_GB2312"/>
          <w:sz w:val="32"/>
          <w:szCs w:val="32"/>
          <w:lang w:val="en-US" w:eastAsia="zh-CN"/>
        </w:rPr>
        <w:t>确定了各主管部门在预收费管理的不同管理职责；要求建立健全协同监管机制，明确协同监管相关部门的监管职责；明确存管银行的责任。区金融办负责协调区内金融机构；区市场监管局负责规范运营；区教委负责统筹区级“双减”工作。</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30"/>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68350" cy="32766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8350" cy="327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5.8pt;width:60.5pt;mso-position-horizontal:outside;mso-position-horizontal-relative:margin;z-index:251658240;mso-width-relative:page;mso-height-relative:page;" filled="f" stroked="f" coordsize="21600,21600" o:gfxdata="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g6jejSAAAABAEAAA8AAAAAAAAAAQAgAAAAOAAAAGRycy9kb3ducmV2LnhtbFBLAQIU&#10;ABQAAAAIAIdO4kBsY2HkHAIAACkEAAAOAAAAAAAAAAEAIAAAADcBAABkcnMvZTJvRG9jLnhtbFBL&#10;BQYAAAAABgAGAFkBAADFBQ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M2I4NmVlMTZmMDJlMGQ1OWExYWIzNzI4NTY2MjkifQ=="/>
  </w:docVars>
  <w:rsids>
    <w:rsidRoot w:val="227E5E65"/>
    <w:rsid w:val="15161159"/>
    <w:rsid w:val="227E5E65"/>
    <w:rsid w:val="23FA29C7"/>
    <w:rsid w:val="31B55EAF"/>
    <w:rsid w:val="51592BC3"/>
    <w:rsid w:val="54370568"/>
    <w:rsid w:val="6A014ED6"/>
    <w:rsid w:val="6F393CCD"/>
    <w:rsid w:val="73E8129E"/>
    <w:rsid w:val="D7DF8A17"/>
    <w:rsid w:val="FAEF445F"/>
    <w:rsid w:val="FDB16C10"/>
    <w:rsid w:val="FDFF0E0D"/>
    <w:rsid w:val="FF719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adjustRightInd w:val="0"/>
      <w:snapToGrid w:val="0"/>
      <w:spacing w:line="560" w:lineRule="exact"/>
      <w:ind w:firstLine="640" w:firstLineChars="200"/>
      <w:outlineLvl w:val="0"/>
    </w:pPr>
    <w:rPr>
      <w:rFonts w:ascii="黑体" w:hAnsi="黑体" w:eastAsia="黑体"/>
      <w:bCs/>
      <w:color w:val="00000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99"/>
    <w:rPr>
      <w:b/>
      <w:bCs/>
    </w:rPr>
  </w:style>
  <w:style w:type="paragraph" w:styleId="3">
    <w:name w:val="index 1"/>
    <w:basedOn w:val="1"/>
    <w:next w:val="1"/>
    <w:qFormat/>
    <w:uiPriority w:val="0"/>
  </w:style>
  <w:style w:type="paragraph" w:styleId="5">
    <w:name w:val="Body Text"/>
    <w:basedOn w:val="1"/>
    <w:next w:val="1"/>
    <w:qFormat/>
    <w:uiPriority w:val="0"/>
    <w:pPr>
      <w:widowControl/>
      <w:spacing w:after="120" w:line="580" w:lineRule="exact"/>
      <w:jc w:val="center"/>
    </w:pPr>
    <w:rPr>
      <w:rFonts w:ascii="宋体" w:hAnsi="Times New Roman"/>
      <w:b/>
      <w:color w:val="000000"/>
      <w:sz w:val="44"/>
      <w:szCs w:val="20"/>
    </w:rPr>
  </w:style>
  <w:style w:type="paragraph" w:styleId="6">
    <w:name w:val="Plain Text"/>
    <w:basedOn w:val="1"/>
    <w:next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toc 11"/>
    <w:next w:val="1"/>
    <w:qFormat/>
    <w:uiPriority w:val="0"/>
    <w:pPr>
      <w:wordWrap w:val="0"/>
      <w:spacing w:after="160" w:line="259" w:lineRule="auto"/>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720</Words>
  <Characters>759</Characters>
  <Lines>0</Lines>
  <Paragraphs>0</Paragraphs>
  <TotalTime>3</TotalTime>
  <ScaleCrop>false</ScaleCrop>
  <LinksUpToDate>false</LinksUpToDate>
  <CharactersWithSpaces>759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2023-01-18T17:35:00Z</dcterms:created>
  <dc:creator>lenovo</dc:creator>
  <cp:lastModifiedBy>UOS</cp:lastModifiedBy>
  <dcterms:modified xsi:type="dcterms:W3CDTF">2023-11-16T10:00:38Z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2D81F9491AB042DAAD57A6C94D3A20D5_12</vt:lpwstr>
  </property>
</Properties>
</file>