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outlineLvl w:val="9"/>
        <w:rPr>
          <w:rFonts w:ascii="方正小标宋简体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eastAsia="方正小标宋简体" w:cs="方正小标宋简体"/>
          <w:sz w:val="44"/>
          <w:szCs w:val="44"/>
          <w:lang w:val="en-US"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北京市平谷区打击非法开采、加工、经营矿产资源行为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工作管理办法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（试行）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（征求意见稿）</w:t>
      </w:r>
      <w:r>
        <w:rPr>
          <w:rFonts w:hint="eastAsia" w:ascii="方正小标宋简体" w:eastAsia="方正小标宋简体" w:cs="方正小标宋简体"/>
          <w:sz w:val="44"/>
          <w:szCs w:val="44"/>
          <w:lang w:val="en-US" w:eastAsia="zh-CN"/>
        </w:rPr>
        <w:t>》</w:t>
      </w:r>
      <w:r>
        <w:rPr>
          <w:rFonts w:hint="eastAsia" w:ascii="方正小标宋简体" w:eastAsia="方正小标宋简体" w:cs="方正小标宋简体"/>
          <w:sz w:val="44"/>
          <w:szCs w:val="44"/>
        </w:rPr>
        <w:t>的</w:t>
      </w:r>
      <w:r>
        <w:rPr>
          <w:rFonts w:hint="eastAsia" w:ascii="方正小标宋简体" w:eastAsia="方正小标宋简体" w:cs="方正小标宋简体"/>
          <w:sz w:val="44"/>
          <w:szCs w:val="44"/>
          <w:lang w:eastAsia="zh-CN"/>
        </w:rPr>
        <w:t>起草</w:t>
      </w:r>
      <w:r>
        <w:rPr>
          <w:rFonts w:hint="eastAsia" w:ascii="方正小标宋简体" w:eastAsia="方正小标宋简体" w:cs="方正小标宋简体"/>
          <w:sz w:val="44"/>
          <w:szCs w:val="44"/>
        </w:rPr>
        <w:t>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outlineLvl w:val="9"/>
        <w:rPr>
          <w:rFonts w:ascii="仿宋_GB2312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起草</w:t>
      </w:r>
      <w:r>
        <w:rPr>
          <w:rFonts w:hint="eastAsia" w:ascii="黑体" w:hAnsi="黑体" w:eastAsia="黑体" w:cs="黑体"/>
          <w:sz w:val="32"/>
          <w:szCs w:val="32"/>
        </w:rPr>
        <w:t>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2011年8月10日，区政府印发了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关于印发整治非法开采加工经营砂石资源行为管理办法的通知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京平政发〔2011〕30号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），对全区组织开展打击盗采工作进行了规范。经过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11年来的实践运用，对全区矿产资源保护工作发挥了积极作用。特别是2017年以来，全区组织开展的“双安双打”行动，有效遏制了全区非法采矿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屡禁不止的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势头，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取得了预期打击效果。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2011年以来，领导小组成员单位中部分职能部门进行了名称变更、业务整合、职权调整，为进一步规范全区打击非法开采、加工、经营矿产资源行为相关工作，增强执法工作有效性、针对性，我分局（领导小组办公室）在原《平谷区整治非法开采加工经营砂石资源行为管理办法》的基础上，根据相关法律法规和规范性文件，起草了修订了该办法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起草</w:t>
      </w:r>
      <w:r>
        <w:rPr>
          <w:rFonts w:hint="eastAsia" w:ascii="黑体" w:hAnsi="黑体" w:eastAsia="黑体" w:cs="黑体"/>
          <w:sz w:val="32"/>
          <w:szCs w:val="32"/>
        </w:rPr>
        <w:t>过程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分局紧密结合全区矿产资源保护工作实际，汲取融合了“双安双打”“扫黑除恶”等专项行动中好的经验和做法，围绕非法开采、加工和经营矿产资源背后“产业链”各个环节，草拟了该办法后，先后在分局内部、全区和中国政法大学（张莉教授课题组）进行了9次征求意见，并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对意见建议进行会商梳理，完善管理办法。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主要</w:t>
      </w:r>
      <w:r>
        <w:rPr>
          <w:rFonts w:hint="eastAsia" w:ascii="黑体" w:hAnsi="黑体" w:eastAsia="黑体" w:cs="黑体"/>
          <w:sz w:val="32"/>
          <w:szCs w:val="32"/>
        </w:rPr>
        <w:t>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条，其主要内容如下：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总则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一是梳理主要法律法规依据；二是介绍全区矿产资源基本情况；三是明确涉矿违法行为情形。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工作机制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一是成立全区各级领导小组机构；二是明确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全区打击盗采协同执法机制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违法行为查处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明确各种涉矿违法情形的联合执法组织实施工作。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四</w:t>
      </w:r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其他相关工作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明确行政执法过程中涉及的机械车辆转运、阻碍执行职务、违规违纪问题查处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，以及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涉案人员场所处置、线索举报奖励等工作组织落实。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五</w:t>
      </w:r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明确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该办法的解释和施行等情况。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（六）附件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一是明确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领导小组组织架构；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二是明确成员单位工作职责。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color w:val="333333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四、重要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内容</w:t>
      </w:r>
      <w:r>
        <w:rPr>
          <w:rFonts w:hint="eastAsia" w:ascii="黑体" w:hAnsi="黑体" w:eastAsia="黑体" w:cs="黑体"/>
          <w:bCs/>
          <w:sz w:val="32"/>
          <w:szCs w:val="32"/>
        </w:rPr>
        <w:t>说明</w:t>
      </w:r>
      <w:r>
        <w:rPr>
          <w:rFonts w:hint="eastAsia"/>
          <w:color w:val="333333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（一）法律适用“规范化”。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按照“先特殊法、后一般法”的原则，对涉矿违法行为涉及自然保护区、危险品管控等特殊法律法规的，由相应执法部门优先查处。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（二）行政职权“清单化”。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该办法中涉及行政执法机关工作职责，均引用区司法局编印的《平谷区行政检查、行政强制、行政处罚职权清单》。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</w:t>
      </w: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三</w:t>
      </w:r>
      <w:r>
        <w:rPr>
          <w:rFonts w:hint="eastAsia" w:ascii="楷体_GB2312" w:hAnsi="楷体" w:eastAsia="楷体_GB2312" w:cs="楷体_GB2312"/>
          <w:sz w:val="32"/>
          <w:szCs w:val="32"/>
        </w:rPr>
        <w:t>）</w:t>
      </w: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行政执法“模块化”。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围绕矿产资源背后“产业链”，划分为开采、加工、经营、运输、使用等执法模块，各模块之间相互联系、相互关联，按照行业监管、部门职责和属地管理，分别由规自、市场监管、交通、住建委、乡镇街道等部门牵头组织查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（四）工作职责“延续化”。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该办法中，各部门工作职责、执法组织等方面在坚持依法依规的基础上，还重点借鉴了以往工作中好的做法、机制和经验，进一步规范执法查处工作。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</w:t>
      </w: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五</w:t>
      </w:r>
      <w:r>
        <w:rPr>
          <w:rFonts w:hint="eastAsia" w:ascii="楷体_GB2312" w:hAnsi="楷体" w:eastAsia="楷体_GB2312" w:cs="楷体_GB2312"/>
          <w:sz w:val="32"/>
          <w:szCs w:val="32"/>
        </w:rPr>
        <w:t>）</w:t>
      </w: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打击效果“最大化”。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该办法在严厉打击涉矿违法行为的同时，加大了违法当事人和场所存在的关联违法违规问题查处力度，进一步增强打击效果。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</w:t>
      </w: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六</w:t>
      </w:r>
      <w:r>
        <w:rPr>
          <w:rFonts w:hint="eastAsia" w:ascii="楷体_GB2312" w:hAnsi="楷体" w:eastAsia="楷体_GB2312" w:cs="楷体_GB2312"/>
          <w:sz w:val="32"/>
          <w:szCs w:val="32"/>
        </w:rPr>
        <w:t>）</w:t>
      </w:r>
      <w:r>
        <w:rPr>
          <w:rFonts w:hint="eastAsia" w:ascii="楷体_GB2312" w:hAnsi="楷体" w:eastAsia="楷体_GB2312" w:cs="楷体_GB2312"/>
          <w:sz w:val="32"/>
          <w:szCs w:val="32"/>
          <w:lang w:eastAsia="zh-CN"/>
        </w:rPr>
        <w:t>保护利用“人性化”。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在组织严厉打击非法采矿行为的同时，充分考虑全区群众生产生活对矿产资源的需求，依据法律法规设置临时采挖点，为群众提供便利。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righ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北京市规划和自然资源委员会平谷分局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2023年11月2日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B6841D"/>
    <w:multiLevelType w:val="singleLevel"/>
    <w:tmpl w:val="58B6841D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C2D1D"/>
    <w:rsid w:val="1F1960DE"/>
    <w:rsid w:val="53E223C8"/>
    <w:rsid w:val="5529464B"/>
    <w:rsid w:val="58C9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00" w:firstLineChars="200"/>
    </w:pPr>
    <w:rPr>
      <w:rFonts w:ascii="Calibri" w:hAnsi="Calibri" w:eastAsia="仿宋_GB2312"/>
      <w:sz w:val="30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footnote reference"/>
    <w:basedOn w:val="7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2023-08-09T06:46:00Z</dcterms:created>
  <dc:creator>jim</dc:creator>
  <cp:lastModifiedBy>郭建为</cp:lastModifiedBy>
  <dcterms:modified xsi:type="dcterms:W3CDTF">2023-11-01T19:53:24Z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0FB2A1132DB54429B966F04993E0DAD2</vt:lpwstr>
  </property>
</Properties>
</file>