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pStyle w:val="17"/>
        <w:keepNext w:val="0"/>
        <w:keepLines w:val="0"/>
        <w:pageBreakBefore w:val="0"/>
        <w:widowControl/>
        <w:kinsoku/>
        <w:wordWrap/>
        <w:overflowPunct/>
        <w:topLinePunct w:val="0"/>
        <w:autoSpaceDE/>
        <w:autoSpaceDN/>
        <w:bidi w:val="0"/>
        <w:adjustRightInd w:val="0"/>
        <w:snapToGrid w:val="0"/>
        <w:spacing w:line="560"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17"/>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0"/>
        <w:rPr>
          <w:rFonts w:ascii="方正小标宋简体" w:hAnsi="宋体" w:eastAsia="方正小标宋简体" w:cs="宋体"/>
          <w:sz w:val="44"/>
          <w:szCs w:val="40"/>
        </w:rPr>
      </w:pPr>
    </w:p>
    <w:p>
      <w:pPr>
        <w:pStyle w:val="17"/>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0"/>
        <w:rPr>
          <w:rFonts w:ascii="方正小标宋简体" w:hAnsi="宋体" w:eastAsia="方正小标宋简体" w:cs="宋体"/>
          <w:sz w:val="44"/>
          <w:szCs w:val="40"/>
        </w:rPr>
      </w:pPr>
      <w:r>
        <w:rPr>
          <w:rFonts w:ascii="方正小标宋简体" w:hAnsi="宋体" w:eastAsia="方正小标宋简体" w:cs="宋体"/>
          <w:sz w:val="44"/>
          <w:szCs w:val="40"/>
        </w:rPr>
        <w:t>北京市顺义区声环境功能区划实施细则</w:t>
      </w:r>
    </w:p>
    <w:p>
      <w:pPr>
        <w:pStyle w:val="17"/>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0"/>
        <w:rPr>
          <w:rFonts w:ascii="方正小标宋简体" w:hAnsi="宋体" w:eastAsia="方正小标宋简体" w:cs="宋体"/>
          <w:sz w:val="44"/>
          <w:szCs w:val="40"/>
        </w:rPr>
      </w:pPr>
      <w:r>
        <w:rPr>
          <w:rFonts w:hint="eastAsia" w:ascii="方正小标宋简体" w:hAnsi="宋体" w:eastAsia="方正小标宋简体" w:cs="宋体"/>
          <w:sz w:val="44"/>
          <w:szCs w:val="40"/>
        </w:rPr>
        <w:t>（</w:t>
      </w:r>
      <w:r>
        <w:rPr>
          <w:rFonts w:hint="eastAsia" w:ascii="方正小标宋简体" w:hAnsi="宋体" w:eastAsia="方正小标宋简体" w:cs="宋体"/>
          <w:sz w:val="44"/>
          <w:szCs w:val="40"/>
          <w:lang w:eastAsia="zh-CN"/>
        </w:rPr>
        <w:t>征求意见</w:t>
      </w:r>
      <w:r>
        <w:rPr>
          <w:rFonts w:hint="eastAsia" w:ascii="方正小标宋简体" w:hAnsi="宋体" w:eastAsia="方正小标宋简体" w:cs="宋体"/>
          <w:sz w:val="44"/>
          <w:szCs w:val="40"/>
        </w:rPr>
        <w:t>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为加强区域环境噪声治理，改善城市声环境质量，提高人民群众生活水平，贯彻落实《中华人民共和国噪声污染防治法》，依据《声环境质量标准》（GB30</w:t>
      </w:r>
      <w:bookmarkStart w:id="0" w:name="_GoBack"/>
      <w:bookmarkEnd w:id="0"/>
      <w:r>
        <w:rPr>
          <w:rFonts w:hint="eastAsia" w:ascii="仿宋_GB2312" w:hAnsi="仿宋" w:eastAsia="仿宋_GB2312" w:cs="仿宋"/>
          <w:sz w:val="32"/>
          <w:szCs w:val="32"/>
        </w:rPr>
        <w:t>96-2008）、《声环境功能区划分技术规范》(GB/T15190-2014)、《关于加强和规范声环境功能区划分管理工作的通知》（环办大气函〔2017〕1709号）制定本实施细则。</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bCs/>
          <w:color w:val="000000"/>
          <w:sz w:val="32"/>
          <w:szCs w:val="32"/>
        </w:rPr>
      </w:pPr>
      <w:r>
        <w:rPr>
          <w:rFonts w:hint="eastAsia" w:ascii="黑体" w:hAnsi="黑体" w:eastAsia="黑体" w:cs="黑体"/>
          <w:bCs/>
          <w:color w:val="000000"/>
          <w:sz w:val="32"/>
          <w:szCs w:val="32"/>
        </w:rPr>
        <w:t>一、适用范围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本细则适用于顺义区行政区域内的声环境管理。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机场周围区域受飞机通过（起飞、降落、低空飞行）噪声的影响不适用于本细则。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本细则适用的昼间、夜间时段分别为：昼间6:00—22:00，夜间22:00—次日6:00。</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bCs/>
          <w:color w:val="000000"/>
          <w:sz w:val="32"/>
          <w:szCs w:val="32"/>
        </w:rPr>
      </w:pPr>
      <w:r>
        <w:rPr>
          <w:rFonts w:hint="eastAsia" w:ascii="黑体" w:hAnsi="黑体" w:eastAsia="黑体" w:cs="黑体"/>
          <w:bCs/>
          <w:color w:val="000000"/>
          <w:sz w:val="32"/>
          <w:szCs w:val="32"/>
        </w:rPr>
        <w:t>二、声环境功能区分类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根据《声环境质量标准》（GB 3096—2008），各类声环境功能区按以下要求进行划分：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宋体" w:eastAsia="仿宋_GB2312" w:cs="宋体"/>
          <w:bCs/>
          <w:sz w:val="32"/>
          <w:szCs w:val="32"/>
        </w:rPr>
      </w:pPr>
      <w:r>
        <w:rPr>
          <w:rFonts w:hint="eastAsia" w:ascii="仿宋_GB2312" w:hAnsi="宋体" w:eastAsia="仿宋_GB2312" w:cs="宋体"/>
          <w:b/>
          <w:bCs/>
          <w:sz w:val="32"/>
          <w:szCs w:val="32"/>
        </w:rPr>
        <w:t>1类区划分：</w:t>
      </w:r>
      <w:r>
        <w:rPr>
          <w:rFonts w:ascii="仿宋_GB2312" w:hAnsi="宋体" w:eastAsia="仿宋_GB2312" w:cs="宋体"/>
          <w:bCs/>
          <w:sz w:val="32"/>
          <w:szCs w:val="32"/>
        </w:rPr>
        <w:t>1</w:t>
      </w:r>
      <w:r>
        <w:rPr>
          <w:rFonts w:hint="eastAsia" w:ascii="仿宋_GB2312" w:hAnsi="宋体" w:eastAsia="仿宋_GB2312" w:cs="宋体"/>
          <w:bCs/>
          <w:sz w:val="32"/>
          <w:szCs w:val="32"/>
        </w:rPr>
        <w:t>类</w:t>
      </w:r>
      <w:r>
        <w:rPr>
          <w:rFonts w:hint="eastAsia" w:ascii="仿宋_GB2312" w:hAnsi="仿宋" w:eastAsia="仿宋_GB2312" w:cs="仿宋"/>
          <w:sz w:val="32"/>
          <w:szCs w:val="32"/>
        </w:rPr>
        <w:t>声环境功能区</w:t>
      </w:r>
      <w:r>
        <w:rPr>
          <w:rFonts w:hint="eastAsia" w:ascii="仿宋_GB2312" w:hAnsi="宋体" w:eastAsia="仿宋_GB2312" w:cs="宋体"/>
          <w:bCs/>
          <w:sz w:val="32"/>
          <w:szCs w:val="32"/>
        </w:rPr>
        <w:t>适用于以居民住宅、医疗卫生、文化教育、科研设计、行政办公为主要功能，需要保持安静的区域。</w:t>
      </w:r>
      <w:r>
        <w:rPr>
          <w:rFonts w:ascii="仿宋_GB2312" w:hAnsi="宋体" w:eastAsia="仿宋_GB2312" w:cs="宋体"/>
          <w:bCs/>
          <w:sz w:val="32"/>
          <w:szCs w:val="32"/>
        </w:rPr>
        <w:t>1</w:t>
      </w:r>
      <w:r>
        <w:rPr>
          <w:rFonts w:hint="eastAsia" w:ascii="仿宋_GB2312" w:hAnsi="宋体" w:eastAsia="仿宋_GB2312" w:cs="宋体"/>
          <w:bCs/>
          <w:sz w:val="32"/>
          <w:szCs w:val="32"/>
        </w:rPr>
        <w:t>类区标准限值为昼间</w:t>
      </w:r>
      <w:r>
        <w:rPr>
          <w:rFonts w:ascii="仿宋_GB2312" w:hAnsi="宋体" w:eastAsia="仿宋_GB2312" w:cs="宋体"/>
          <w:bCs/>
          <w:sz w:val="32"/>
          <w:szCs w:val="32"/>
        </w:rPr>
        <w:t>55dB(A)</w:t>
      </w:r>
      <w:r>
        <w:rPr>
          <w:rFonts w:hint="eastAsia" w:ascii="仿宋_GB2312" w:hAnsi="宋体" w:eastAsia="仿宋_GB2312" w:cs="宋体"/>
          <w:bCs/>
          <w:sz w:val="32"/>
          <w:szCs w:val="32"/>
        </w:rPr>
        <w:t>、夜间</w:t>
      </w:r>
      <w:r>
        <w:rPr>
          <w:rFonts w:ascii="仿宋_GB2312" w:hAnsi="宋体" w:eastAsia="仿宋_GB2312" w:cs="宋体"/>
          <w:bCs/>
          <w:sz w:val="32"/>
          <w:szCs w:val="32"/>
        </w:rPr>
        <w:t>45dB(A)</w:t>
      </w:r>
      <w:r>
        <w:rPr>
          <w:rFonts w:hint="eastAsia" w:ascii="仿宋_GB2312" w:hAnsi="宋体" w:eastAsia="仿宋_GB2312" w:cs="宋体"/>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宋体" w:eastAsia="仿宋_GB2312" w:cs="宋体"/>
          <w:bCs/>
          <w:sz w:val="32"/>
          <w:szCs w:val="32"/>
        </w:rPr>
      </w:pPr>
      <w:r>
        <w:rPr>
          <w:rFonts w:ascii="仿宋_GB2312" w:hAnsi="宋体" w:eastAsia="仿宋_GB2312" w:cs="宋体"/>
          <w:b/>
          <w:bCs/>
          <w:sz w:val="32"/>
          <w:szCs w:val="32"/>
        </w:rPr>
        <w:t>2</w:t>
      </w:r>
      <w:r>
        <w:rPr>
          <w:rFonts w:hint="eastAsia" w:ascii="仿宋_GB2312" w:hAnsi="宋体" w:eastAsia="仿宋_GB2312" w:cs="宋体"/>
          <w:b/>
          <w:bCs/>
          <w:sz w:val="32"/>
          <w:szCs w:val="32"/>
        </w:rPr>
        <w:t>类区划分：</w:t>
      </w:r>
      <w:r>
        <w:rPr>
          <w:rFonts w:ascii="仿宋_GB2312" w:hAnsi="宋体" w:eastAsia="仿宋_GB2312" w:cs="宋体"/>
          <w:bCs/>
          <w:sz w:val="32"/>
          <w:szCs w:val="32"/>
        </w:rPr>
        <w:t>2</w:t>
      </w:r>
      <w:r>
        <w:rPr>
          <w:rFonts w:hint="eastAsia" w:ascii="仿宋_GB2312" w:hAnsi="宋体" w:eastAsia="仿宋_GB2312" w:cs="宋体"/>
          <w:bCs/>
          <w:sz w:val="32"/>
          <w:szCs w:val="32"/>
        </w:rPr>
        <w:t>类</w:t>
      </w:r>
      <w:r>
        <w:rPr>
          <w:rFonts w:hint="eastAsia" w:ascii="仿宋_GB2312" w:hAnsi="仿宋" w:eastAsia="仿宋_GB2312" w:cs="仿宋"/>
          <w:sz w:val="32"/>
          <w:szCs w:val="32"/>
        </w:rPr>
        <w:t>声环境功能区</w:t>
      </w:r>
      <w:r>
        <w:rPr>
          <w:rFonts w:hint="eastAsia" w:ascii="仿宋_GB2312" w:hAnsi="宋体" w:eastAsia="仿宋_GB2312" w:cs="宋体"/>
          <w:bCs/>
          <w:sz w:val="32"/>
          <w:szCs w:val="32"/>
        </w:rPr>
        <w:t>适用于以商业金融、集市贸易为主要功能，或者居住、商业、工业混杂，需要维护住宅安静的区域。</w:t>
      </w:r>
      <w:r>
        <w:rPr>
          <w:rFonts w:ascii="仿宋_GB2312" w:hAnsi="宋体" w:eastAsia="仿宋_GB2312" w:cs="宋体"/>
          <w:bCs/>
          <w:sz w:val="32"/>
          <w:szCs w:val="32"/>
        </w:rPr>
        <w:t>2</w:t>
      </w:r>
      <w:r>
        <w:rPr>
          <w:rFonts w:hint="eastAsia" w:ascii="仿宋_GB2312" w:hAnsi="宋体" w:eastAsia="仿宋_GB2312" w:cs="宋体"/>
          <w:bCs/>
          <w:sz w:val="32"/>
          <w:szCs w:val="32"/>
        </w:rPr>
        <w:t>类区标准限值为昼间</w:t>
      </w:r>
      <w:r>
        <w:rPr>
          <w:rFonts w:ascii="仿宋_GB2312" w:hAnsi="宋体" w:eastAsia="仿宋_GB2312" w:cs="宋体"/>
          <w:bCs/>
          <w:sz w:val="32"/>
          <w:szCs w:val="32"/>
        </w:rPr>
        <w:t>60dB(A)</w:t>
      </w:r>
      <w:r>
        <w:rPr>
          <w:rFonts w:hint="eastAsia" w:ascii="仿宋_GB2312" w:hAnsi="宋体" w:eastAsia="仿宋_GB2312" w:cs="宋体"/>
          <w:bCs/>
          <w:sz w:val="32"/>
          <w:szCs w:val="32"/>
        </w:rPr>
        <w:t>、夜间</w:t>
      </w:r>
      <w:r>
        <w:rPr>
          <w:rFonts w:ascii="仿宋_GB2312" w:hAnsi="宋体" w:eastAsia="仿宋_GB2312" w:cs="宋体"/>
          <w:bCs/>
          <w:sz w:val="32"/>
          <w:szCs w:val="32"/>
        </w:rPr>
        <w:t>50dB(A)</w:t>
      </w:r>
      <w:r>
        <w:rPr>
          <w:rFonts w:hint="eastAsia" w:ascii="仿宋_GB2312" w:hAnsi="宋体" w:eastAsia="仿宋_GB2312" w:cs="宋体"/>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宋体" w:eastAsia="仿宋_GB2312" w:cs="宋体"/>
          <w:bCs/>
          <w:sz w:val="32"/>
          <w:szCs w:val="32"/>
        </w:rPr>
      </w:pPr>
      <w:r>
        <w:rPr>
          <w:rFonts w:ascii="仿宋_GB2312" w:hAnsi="宋体" w:eastAsia="仿宋_GB2312" w:cs="宋体"/>
          <w:b/>
          <w:bCs/>
          <w:sz w:val="32"/>
          <w:szCs w:val="32"/>
        </w:rPr>
        <w:t>3</w:t>
      </w:r>
      <w:r>
        <w:rPr>
          <w:rFonts w:hint="eastAsia" w:ascii="仿宋_GB2312" w:hAnsi="宋体" w:eastAsia="仿宋_GB2312" w:cs="宋体"/>
          <w:b/>
          <w:bCs/>
          <w:sz w:val="32"/>
          <w:szCs w:val="32"/>
        </w:rPr>
        <w:t>类区划分：</w:t>
      </w:r>
      <w:r>
        <w:rPr>
          <w:rFonts w:ascii="仿宋_GB2312" w:hAnsi="宋体" w:eastAsia="仿宋_GB2312" w:cs="宋体"/>
          <w:bCs/>
          <w:sz w:val="32"/>
          <w:szCs w:val="32"/>
        </w:rPr>
        <w:t>3</w:t>
      </w:r>
      <w:r>
        <w:rPr>
          <w:rFonts w:hint="eastAsia" w:ascii="仿宋_GB2312" w:hAnsi="宋体" w:eastAsia="仿宋_GB2312" w:cs="宋体"/>
          <w:bCs/>
          <w:sz w:val="32"/>
          <w:szCs w:val="32"/>
        </w:rPr>
        <w:t>类</w:t>
      </w:r>
      <w:r>
        <w:rPr>
          <w:rFonts w:hint="eastAsia" w:ascii="仿宋_GB2312" w:hAnsi="仿宋" w:eastAsia="仿宋_GB2312" w:cs="仿宋"/>
          <w:sz w:val="32"/>
          <w:szCs w:val="32"/>
        </w:rPr>
        <w:t>声环境功能区</w:t>
      </w:r>
      <w:r>
        <w:rPr>
          <w:rFonts w:hint="eastAsia" w:ascii="仿宋_GB2312" w:hAnsi="宋体" w:eastAsia="仿宋_GB2312" w:cs="宋体"/>
          <w:sz w:val="32"/>
          <w:szCs w:val="32"/>
        </w:rPr>
        <w:t>适用于以工业生产、仓储物流为主要功能，需要防止工业噪声对周围环境产生严重影响的区域。</w:t>
      </w:r>
      <w:r>
        <w:rPr>
          <w:rFonts w:ascii="仿宋_GB2312" w:hAnsi="宋体" w:eastAsia="仿宋_GB2312" w:cs="宋体"/>
          <w:sz w:val="32"/>
          <w:szCs w:val="32"/>
        </w:rPr>
        <w:t>3</w:t>
      </w:r>
      <w:r>
        <w:rPr>
          <w:rFonts w:hint="eastAsia" w:ascii="仿宋_GB2312" w:hAnsi="宋体" w:eastAsia="仿宋_GB2312" w:cs="宋体"/>
          <w:sz w:val="32"/>
          <w:szCs w:val="32"/>
        </w:rPr>
        <w:t>类区标准限值为昼间</w:t>
      </w:r>
      <w:r>
        <w:rPr>
          <w:rFonts w:ascii="仿宋_GB2312" w:hAnsi="宋体" w:eastAsia="仿宋_GB2312" w:cs="宋体"/>
          <w:sz w:val="32"/>
          <w:szCs w:val="32"/>
        </w:rPr>
        <w:t>65dB(A)</w:t>
      </w:r>
      <w:r>
        <w:rPr>
          <w:rFonts w:hint="eastAsia" w:ascii="仿宋_GB2312" w:hAnsi="宋体" w:eastAsia="仿宋_GB2312" w:cs="宋体"/>
          <w:sz w:val="32"/>
          <w:szCs w:val="32"/>
        </w:rPr>
        <w:t>、夜间</w:t>
      </w:r>
      <w:r>
        <w:rPr>
          <w:rFonts w:ascii="仿宋_GB2312" w:hAnsi="宋体" w:eastAsia="仿宋_GB2312" w:cs="宋体"/>
          <w:sz w:val="32"/>
          <w:szCs w:val="32"/>
        </w:rPr>
        <w:t>55dB(A)</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ascii="仿宋_GB2312" w:hAnsi="宋体" w:eastAsia="仿宋_GB2312" w:cs="宋体"/>
          <w:bCs/>
          <w:sz w:val="32"/>
          <w:szCs w:val="32"/>
        </w:rPr>
      </w:pPr>
      <w:r>
        <w:rPr>
          <w:rFonts w:ascii="仿宋_GB2312" w:hAnsi="宋体" w:eastAsia="仿宋_GB2312" w:cs="宋体"/>
          <w:b/>
          <w:bCs/>
          <w:sz w:val="32"/>
          <w:szCs w:val="32"/>
        </w:rPr>
        <w:t>4</w:t>
      </w:r>
      <w:r>
        <w:rPr>
          <w:rFonts w:hint="eastAsia" w:ascii="仿宋_GB2312" w:hAnsi="宋体" w:eastAsia="仿宋_GB2312" w:cs="宋体"/>
          <w:b/>
          <w:bCs/>
          <w:sz w:val="32"/>
          <w:szCs w:val="32"/>
        </w:rPr>
        <w:t>类区划分：</w:t>
      </w:r>
      <w:r>
        <w:rPr>
          <w:rFonts w:ascii="仿宋_GB2312" w:hAnsi="宋体" w:eastAsia="仿宋_GB2312" w:cs="宋体"/>
          <w:sz w:val="32"/>
          <w:szCs w:val="32"/>
        </w:rPr>
        <w:t>4</w:t>
      </w:r>
      <w:r>
        <w:rPr>
          <w:rFonts w:hint="eastAsia" w:ascii="仿宋_GB2312" w:hAnsi="宋体" w:eastAsia="仿宋_GB2312" w:cs="宋体"/>
          <w:sz w:val="32"/>
          <w:szCs w:val="32"/>
        </w:rPr>
        <w:t>类</w:t>
      </w:r>
      <w:r>
        <w:rPr>
          <w:rFonts w:hint="eastAsia" w:ascii="仿宋_GB2312" w:hAnsi="仿宋" w:eastAsia="仿宋_GB2312" w:cs="仿宋"/>
          <w:sz w:val="32"/>
          <w:szCs w:val="32"/>
        </w:rPr>
        <w:t>声环境功能区</w:t>
      </w:r>
      <w:r>
        <w:rPr>
          <w:rFonts w:hint="eastAsia" w:ascii="仿宋_GB2312" w:hAnsi="宋体" w:eastAsia="仿宋_GB2312" w:cs="宋体"/>
          <w:sz w:val="32"/>
          <w:szCs w:val="32"/>
        </w:rPr>
        <w:t>分为</w:t>
      </w:r>
      <w:r>
        <w:rPr>
          <w:rFonts w:ascii="仿宋_GB2312" w:hAnsi="宋体" w:eastAsia="仿宋_GB2312" w:cs="宋体"/>
          <w:sz w:val="32"/>
          <w:szCs w:val="32"/>
        </w:rPr>
        <w:t>4a</w:t>
      </w:r>
      <w:r>
        <w:rPr>
          <w:rFonts w:hint="eastAsia" w:ascii="仿宋_GB2312" w:hAnsi="宋体" w:eastAsia="仿宋_GB2312" w:cs="宋体"/>
          <w:sz w:val="32"/>
          <w:szCs w:val="32"/>
        </w:rPr>
        <w:t>类、</w:t>
      </w:r>
      <w:r>
        <w:rPr>
          <w:rFonts w:ascii="仿宋_GB2312" w:hAnsi="宋体" w:eastAsia="仿宋_GB2312" w:cs="宋体"/>
          <w:sz w:val="32"/>
          <w:szCs w:val="32"/>
        </w:rPr>
        <w:t>4b</w:t>
      </w:r>
      <w:r>
        <w:rPr>
          <w:rFonts w:hint="eastAsia" w:ascii="仿宋_GB2312" w:hAnsi="宋体" w:eastAsia="仿宋_GB2312" w:cs="宋体"/>
          <w:sz w:val="32"/>
          <w:szCs w:val="32"/>
        </w:rPr>
        <w:t>类区两种类型：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 w:eastAsia="仿宋_GB2312" w:cs="仿宋"/>
          <w:sz w:val="32"/>
          <w:szCs w:val="32"/>
        </w:rPr>
        <w:t>（1）4a类区为高速公路、一级公路、二级公路、城市快速路、城市主干路、城市次干路、城市轨道交通(地面段)两侧一定距离范围内(距离要求见表1)区域。4a类区标准限值为昼间 70dB(A)、夜间55dB(A)。4b类区为铁路(铁路专用线除外)两侧一定距离范围内(距离要求见表1)区域。4b类区标准限值为昼间 70dB(A)、夜间60dB(A)，适用于2011年1月1日起环境影响评价文件通过审批的新建铁路(含新开廊道的增建铁路)干线建设项目两侧区域。</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 w:eastAsia="仿宋_GB2312" w:cs="仿宋"/>
          <w:sz w:val="32"/>
          <w:szCs w:val="32"/>
        </w:rPr>
      </w:pPr>
      <w:r>
        <w:rPr>
          <w:rFonts w:hint="eastAsia" w:ascii="仿宋_GB2312" w:hAnsi="仿宋" w:eastAsia="仿宋_GB2312" w:cs="仿宋"/>
          <w:sz w:val="32"/>
          <w:szCs w:val="32"/>
        </w:rPr>
        <w:t>表1  4类功能区两侧距离的划定要求</w:t>
      </w:r>
    </w:p>
    <w:tbl>
      <w:tblPr>
        <w:tblStyle w:val="19"/>
        <w:tblW w:w="8314"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3552"/>
        <w:gridCol w:w="2410"/>
        <w:gridCol w:w="235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41" w:hRule="atLeast"/>
          <w:tblHeader/>
          <w:jc w:val="center"/>
        </w:trPr>
        <w:tc>
          <w:tcPr>
            <w:tcW w:w="35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adjustRightInd w:val="0"/>
              <w:snapToGrid w:val="0"/>
              <w:jc w:val="center"/>
              <w:rPr>
                <w:rFonts w:ascii="仿宋_GB2312" w:hAnsi="仿宋" w:eastAsia="仿宋_GB2312" w:cs="仿宋"/>
                <w:b/>
                <w:sz w:val="28"/>
                <w:szCs w:val="36"/>
              </w:rPr>
            </w:pPr>
            <w:r>
              <w:rPr>
                <w:rFonts w:hint="eastAsia" w:ascii="仿宋_GB2312" w:hAnsi="仿宋" w:eastAsia="仿宋_GB2312" w:cs="仿宋"/>
                <w:b/>
                <w:sz w:val="28"/>
                <w:szCs w:val="36"/>
              </w:rPr>
              <w:t>源强类型</w:t>
            </w: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adjustRightInd w:val="0"/>
              <w:snapToGrid w:val="0"/>
              <w:jc w:val="center"/>
              <w:rPr>
                <w:rFonts w:ascii="仿宋_GB2312" w:hAnsi="仿宋" w:eastAsia="仿宋_GB2312" w:cs="仿宋"/>
                <w:b/>
                <w:sz w:val="28"/>
                <w:szCs w:val="36"/>
              </w:rPr>
            </w:pPr>
            <w:r>
              <w:rPr>
                <w:rFonts w:hint="eastAsia" w:ascii="仿宋_GB2312" w:hAnsi="仿宋" w:eastAsia="仿宋_GB2312" w:cs="仿宋"/>
                <w:b/>
                <w:sz w:val="28"/>
                <w:szCs w:val="36"/>
              </w:rPr>
              <w:t>划分距离（米）</w:t>
            </w:r>
          </w:p>
        </w:tc>
        <w:tc>
          <w:tcPr>
            <w:tcW w:w="23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adjustRightInd w:val="0"/>
              <w:snapToGrid w:val="0"/>
              <w:jc w:val="center"/>
              <w:rPr>
                <w:rFonts w:ascii="仿宋_GB2312" w:hAnsi="仿宋" w:eastAsia="仿宋_GB2312" w:cs="仿宋"/>
                <w:b/>
                <w:sz w:val="28"/>
                <w:szCs w:val="36"/>
              </w:rPr>
            </w:pPr>
            <w:r>
              <w:rPr>
                <w:rFonts w:hint="eastAsia" w:ascii="仿宋_GB2312" w:hAnsi="仿宋" w:eastAsia="仿宋_GB2312" w:cs="仿宋"/>
                <w:b/>
                <w:sz w:val="28"/>
                <w:szCs w:val="36"/>
              </w:rPr>
              <w:t>相邻功能区类型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jc w:val="center"/>
        </w:trPr>
        <w:tc>
          <w:tcPr>
            <w:tcW w:w="3552" w:type="dxa"/>
            <w:vMerge w:val="restart"/>
            <w:tcBorders>
              <w:top w:val="outset" w:color="000000" w:sz="6" w:space="0"/>
              <w:left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高速公路、一级公路、二级公路、城市快速路、城市主干路、城市次干路、城市轨道交通（地面段）</w:t>
            </w: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55</w:t>
            </w:r>
          </w:p>
        </w:tc>
        <w:tc>
          <w:tcPr>
            <w:tcW w:w="23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1类区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jc w:val="center"/>
        </w:trPr>
        <w:tc>
          <w:tcPr>
            <w:tcW w:w="3552"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40</w:t>
            </w:r>
          </w:p>
        </w:tc>
        <w:tc>
          <w:tcPr>
            <w:tcW w:w="2352" w:type="dxa"/>
            <w:tcBorders>
              <w:top w:val="outset" w:color="000000" w:sz="6" w:space="0"/>
              <w:left w:val="nil"/>
              <w:bottom w:val="outset" w:color="000000" w:sz="6" w:space="0"/>
              <w:right w:val="outset" w:color="000000" w:sz="6" w:space="0"/>
            </w:tcBorders>
            <w:shd w:val="clear" w:color="auto" w:fill="auto"/>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2类区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jc w:val="center"/>
        </w:trPr>
        <w:tc>
          <w:tcPr>
            <w:tcW w:w="3552" w:type="dxa"/>
            <w:vMerge w:val="continue"/>
            <w:tcBorders>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25</w:t>
            </w:r>
          </w:p>
        </w:tc>
        <w:tc>
          <w:tcPr>
            <w:tcW w:w="2352" w:type="dxa"/>
            <w:tcBorders>
              <w:top w:val="outset" w:color="000000" w:sz="6" w:space="0"/>
              <w:left w:val="nil"/>
              <w:bottom w:val="outset" w:color="000000" w:sz="6" w:space="0"/>
              <w:right w:val="outset" w:color="000000" w:sz="6" w:space="0"/>
            </w:tcBorders>
            <w:shd w:val="clear" w:color="auto" w:fill="auto"/>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3类区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jc w:val="center"/>
        </w:trPr>
        <w:tc>
          <w:tcPr>
            <w:tcW w:w="3552" w:type="dxa"/>
            <w:vMerge w:val="restart"/>
            <w:tcBorders>
              <w:left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铁路</w:t>
            </w:r>
          </w:p>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（铁路专用线除外）</w:t>
            </w: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55</w:t>
            </w:r>
          </w:p>
        </w:tc>
        <w:tc>
          <w:tcPr>
            <w:tcW w:w="2352" w:type="dxa"/>
            <w:tcBorders>
              <w:top w:val="outset" w:color="000000" w:sz="6" w:space="0"/>
              <w:left w:val="nil"/>
              <w:bottom w:val="outset" w:color="000000" w:sz="6" w:space="0"/>
              <w:right w:val="outset" w:color="000000" w:sz="6" w:space="0"/>
            </w:tcBorders>
            <w:shd w:val="clear" w:color="auto" w:fill="auto"/>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1类区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jc w:val="center"/>
        </w:trPr>
        <w:tc>
          <w:tcPr>
            <w:tcW w:w="3552"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pPr>
              <w:snapToGrid w:val="0"/>
              <w:rPr>
                <w:rFonts w:ascii="仿宋_GB2312" w:hAnsi="仿宋" w:eastAsia="仿宋_GB2312" w:cs="仿宋"/>
                <w:sz w:val="28"/>
                <w:szCs w:val="36"/>
              </w:rPr>
            </w:pP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40</w:t>
            </w:r>
          </w:p>
        </w:tc>
        <w:tc>
          <w:tcPr>
            <w:tcW w:w="2352" w:type="dxa"/>
            <w:tcBorders>
              <w:top w:val="outset" w:color="000000" w:sz="6" w:space="0"/>
              <w:left w:val="nil"/>
              <w:bottom w:val="outset" w:color="000000" w:sz="6" w:space="0"/>
              <w:right w:val="outset" w:color="000000" w:sz="6" w:space="0"/>
            </w:tcBorders>
            <w:shd w:val="clear" w:color="auto" w:fill="auto"/>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2类区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jc w:val="center"/>
        </w:trPr>
        <w:tc>
          <w:tcPr>
            <w:tcW w:w="3552" w:type="dxa"/>
            <w:vMerge w:val="continue"/>
            <w:tcBorders>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rPr>
                <w:rFonts w:ascii="仿宋_GB2312" w:hAnsi="仿宋" w:eastAsia="仿宋_GB2312" w:cs="仿宋"/>
                <w:sz w:val="28"/>
                <w:szCs w:val="36"/>
              </w:rPr>
            </w:pP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25</w:t>
            </w:r>
          </w:p>
        </w:tc>
        <w:tc>
          <w:tcPr>
            <w:tcW w:w="2352" w:type="dxa"/>
            <w:tcBorders>
              <w:top w:val="outset" w:color="000000" w:sz="6" w:space="0"/>
              <w:left w:val="nil"/>
              <w:bottom w:val="outset" w:color="000000" w:sz="6" w:space="0"/>
              <w:right w:val="outset" w:color="000000" w:sz="6" w:space="0"/>
            </w:tcBorders>
            <w:shd w:val="clear" w:color="auto" w:fill="auto"/>
            <w:vAlign w:val="center"/>
          </w:tcPr>
          <w:p>
            <w:pPr>
              <w:snapToGrid w:val="0"/>
              <w:jc w:val="center"/>
              <w:rPr>
                <w:rFonts w:ascii="仿宋_GB2312" w:hAnsi="仿宋" w:eastAsia="仿宋_GB2312" w:cs="仿宋"/>
                <w:sz w:val="28"/>
                <w:szCs w:val="36"/>
              </w:rPr>
            </w:pPr>
            <w:r>
              <w:rPr>
                <w:rFonts w:hint="eastAsia" w:ascii="仿宋_GB2312" w:hAnsi="仿宋" w:eastAsia="仿宋_GB2312" w:cs="仿宋"/>
                <w:sz w:val="28"/>
                <w:szCs w:val="36"/>
              </w:rPr>
              <w:t>3类区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8314"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spacing w:line="360" w:lineRule="exact"/>
              <w:rPr>
                <w:rFonts w:ascii="仿宋_GB2312" w:hAnsi="仿宋" w:eastAsia="仿宋_GB2312" w:cs="仿宋"/>
                <w:sz w:val="28"/>
                <w:szCs w:val="36"/>
              </w:rPr>
            </w:pPr>
            <w:r>
              <w:rPr>
                <w:rFonts w:hint="eastAsia" w:ascii="仿宋_GB2312" w:hAnsi="仿宋" w:eastAsia="仿宋_GB2312" w:cs="仿宋"/>
                <w:sz w:val="28"/>
                <w:szCs w:val="36"/>
              </w:rPr>
              <w:t>轨道交通地下与地面连接处的划分以城市轨道交通中心线与地面交点处为圆心，外侧一定距离为半径绘制圆弧与线路两侧区界连接，半径执行上述划分距离要求。</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（2）若临路建筑以低于三层楼房的建筑（含开阔地）为主，线路边界线外一定距离内（见表1）的区域为4a类声环境功能区。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若划分距离范围内临路建筑以高于三层楼房以上（含三层）的建筑为主，第一排建筑面向线路一侧至线路边界线的区域及该建筑物两侧一定纵深距离（见表1）范围内受交通噪声直达声影响的区域为4a类声环境功能区。并排的两个建筑物临路一侧的相邻两点间距离小于或等于20米时，视同直线连接。第二排及以后的建筑，若其高于前排建筑或虽低于前排建筑但因楼座错落设置使部分楼体探出前排遮挡并受到线路交通噪声的直达声影响，则高出及探出部分的楼层面向线路一侧范围为4a类区。其余部分未受到交通噪声直达声影响的区域执行其相邻声环境功能区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4）地面段公路和城市道路以最外侧非机动车道路或机非混行道路外沿为边界，高路基公路和城市道路以最外侧的边沟或路基边缘为边界，没有辅路的高架公路和城市道路以高架段地面垂直投影的最外侧为边界，铁路、城市轨道交通、高速公路以护网处为边界，没有护网的按一般公路或城市道路相关情况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（5）对于4b类声环境功能区与4a类声环境功能区有重叠的部分，划分为4b类声环境功能区。</w:t>
      </w:r>
    </w:p>
    <w:p>
      <w:pPr>
        <w:pStyle w:val="16"/>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firstLine="640" w:firstLineChars="200"/>
        <w:textAlignment w:val="auto"/>
        <w:outlineLvl w:val="0"/>
        <w:rPr>
          <w:rFonts w:ascii="黑体" w:hAnsi="黑体" w:eastAsia="黑体" w:cs="黑体"/>
          <w:bCs/>
          <w:color w:val="000000"/>
          <w:sz w:val="32"/>
          <w:szCs w:val="32"/>
        </w:rPr>
      </w:pPr>
      <w:r>
        <w:rPr>
          <w:rFonts w:hint="eastAsia" w:ascii="黑体" w:hAnsi="黑体" w:eastAsia="黑体" w:cs="黑体"/>
          <w:bCs/>
          <w:color w:val="000000"/>
          <w:sz w:val="32"/>
          <w:szCs w:val="32"/>
        </w:rPr>
        <w:t>三、声环境功能区划分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顺义区声环境功能区划分为1、2、3、4类</w:t>
      </w:r>
      <w:r>
        <w:rPr>
          <w:rFonts w:hint="eastAsia" w:ascii="仿宋_GB2312" w:eastAsia="仿宋_GB2312"/>
          <w:sz w:val="32"/>
          <w:szCs w:val="32"/>
        </w:rPr>
        <w:t>，其中1类区71.66平方公里，2类区39.87平方公里，3类区54.52平方公里，共166.05平方公里。</w:t>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60" w:lineRule="exact"/>
        <w:ind w:left="0" w:leftChars="0" w:right="0" w:firstLine="640" w:firstLineChars="200"/>
        <w:textAlignment w:val="auto"/>
        <w:outlineLvl w:val="1"/>
        <w:rPr>
          <w:rFonts w:ascii="仿宋_GB2312" w:hAnsi="仿宋" w:eastAsia="仿宋_GB2312" w:cs="仿宋"/>
          <w:sz w:val="32"/>
          <w:szCs w:val="32"/>
        </w:rPr>
      </w:pPr>
      <w:r>
        <w:rPr>
          <w:rFonts w:hint="eastAsia" w:ascii="仿宋_GB2312" w:hAnsi="宋体" w:eastAsia="仿宋_GB2312" w:cs="宋体"/>
          <w:bCs/>
          <w:sz w:val="32"/>
          <w:szCs w:val="32"/>
        </w:rPr>
        <w:t>1.</w:t>
      </w:r>
      <w:r>
        <w:rPr>
          <w:rFonts w:hint="eastAsia" w:ascii="仿宋_GB2312" w:hAnsi="仿宋" w:eastAsia="仿宋_GB2312" w:cs="仿宋"/>
          <w:sz w:val="32"/>
          <w:szCs w:val="32"/>
        </w:rPr>
        <w:t>1类区</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eastAsia="仿宋_GB2312"/>
        </w:rPr>
      </w:pPr>
      <w:r>
        <w:rPr>
          <w:rFonts w:hint="eastAsia" w:ascii="仿宋_GB2312" w:hAnsi="仿宋" w:eastAsia="仿宋_GB2312" w:cs="仿宋"/>
          <w:sz w:val="32"/>
          <w:szCs w:val="32"/>
        </w:rPr>
        <w:t xml:space="preserve">101 新城中心东南部：由北顺时为林河南大街-仁和园二街-平沿路-外环路-顺泰街，面积约1.68平方公里。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102 新城中心东部：由北顺时为白马路-和安路-马场西路-通顺路-复兴四街-坤安路-白马路-右堤路-顺平南线-规划顺宁路-平沿路-顺泰路-顺平南线-通顺路-仓上街-新顺街-新顺南大街-中山南街-顺沙路-外环路-顺白路-京沈线，面积约20.82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103 马坡北部：由北顺时为北军营村北侧路-怀河西岸-右堤路—顺兴街-坤安路-顺恒大街-通顺路-白马路-京承铁路-京沈线。 面积约14.67平方公里。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104空港城西部：由北顺时为机场北线-天北路-顺平路-裕丰路-安富街-裕安路-安庆大街-裕庆路-安祥大街-裕丰路-安宁大街-天北路-天柱东路-花园一街-榆阳路-高白路，面积约23.37平方公里。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105 南彩中部：由北顺时为规划杜刘北街-箭河路-顺平路-顺密路，面积约7.63平方公里。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106北小营北部：由北顺时为昌金路-李魏路-北小营大街-顺密路-后礼务路-顺密路（规划路），面积约3.49平方公里。</w:t>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60" w:lineRule="exact"/>
        <w:ind w:left="0" w:leftChars="0" w:right="0" w:firstLine="640" w:firstLineChars="200"/>
        <w:textAlignment w:val="auto"/>
        <w:outlineLvl w:val="1"/>
        <w:rPr>
          <w:rFonts w:ascii="仿宋_GB2312" w:hAnsi="仿宋" w:eastAsia="仿宋_GB2312" w:cs="仿宋"/>
          <w:sz w:val="32"/>
          <w:szCs w:val="32"/>
        </w:rPr>
      </w:pPr>
      <w:r>
        <w:rPr>
          <w:rFonts w:hint="eastAsia" w:ascii="仿宋_GB2312" w:hAnsi="宋体" w:eastAsia="仿宋_GB2312" w:cs="宋体"/>
          <w:bCs/>
          <w:sz w:val="32"/>
          <w:szCs w:val="32"/>
        </w:rPr>
        <w:t>2.</w:t>
      </w:r>
      <w:r>
        <w:rPr>
          <w:rFonts w:hint="eastAsia" w:ascii="仿宋_GB2312" w:hAnsi="仿宋" w:eastAsia="仿宋_GB2312" w:cs="仿宋"/>
          <w:sz w:val="32"/>
          <w:szCs w:val="32"/>
        </w:rPr>
        <w:t>2类区</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201机场东部：由东顺时为六环路-龙塘路-机场东路，面积约2.39平方公里。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202新城中心西部：由北顺时为六环路-小中河-顺沙路-中山南街-新顺南大街-新顺街-仓上街-铁东路-规划军营街-军营街-外环路-石马路-六环路-顺平路-南白路-南焦路-机场北街-机场北门路-顺航路-物流园八街-顺畅大道-物流园六街-顺达路-物流园二街-顺航路-顺于路-京沈线，面积约13.68平方公里。   </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203 南彩西南部：由北顺时为顺平辅线-顺密路-顺平路-左堤辅线，面积约1.18平方公里。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204马坡中部：由北顺时为规划花园北路-京沈线-小中河-良白路-聚源东路，面积约1.54平方公里。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205马坡东部：由北顺时为顺恒大街-坤安路-顺兴街-右堤路-白马路-坤安路-复兴四街-通顺路-马场西路-和安路-白马路-通顺路，面积约2.99平方公里。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206牛山西南部：由北顺时为昌金路-规划腾志路-兰白路-小中河，面积约2.5平方公里。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207机场西南部：由北顺时为天北路-首都机场高速-无名支路-李天路-首都机场辅路-京平高速-白泗路-花园一街-天柱东路，面积约4.12平方公里。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208空港西区（创意天承）：由东顺时为北高路-昌金路-大广高速，面积约0.8平方公里。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209空港城东北部：由北顺时为机场北线高速-京沈线-火沙路-裕安路-安富街-裕丰路-顺平路-天北路，面积约6.19平方公里。</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210空港城南部：由北顺时为安宁大街-裕丰路-安祥大街-裕庆路-安宁大街-京沈线-天纬四街-天柱路-天纬五街-天柱东路-天北路，面积约4.48平方公里。</w:t>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60" w:lineRule="exact"/>
        <w:ind w:left="0" w:leftChars="0" w:right="0" w:firstLine="640" w:firstLineChars="200"/>
        <w:textAlignment w:val="auto"/>
        <w:outlineLvl w:val="1"/>
        <w:rPr>
          <w:rFonts w:ascii="仿宋_GB2312" w:hAnsi="仿宋" w:eastAsia="仿宋_GB2312" w:cs="仿宋"/>
          <w:sz w:val="32"/>
          <w:szCs w:val="32"/>
        </w:rPr>
      </w:pPr>
      <w:r>
        <w:rPr>
          <w:rFonts w:hint="eastAsia" w:ascii="仿宋_GB2312" w:hAnsi="宋体" w:eastAsia="仿宋_GB2312" w:cs="宋体"/>
          <w:bCs/>
          <w:sz w:val="32"/>
          <w:szCs w:val="32"/>
        </w:rPr>
        <w:t>3.</w:t>
      </w:r>
      <w:r>
        <w:rPr>
          <w:rFonts w:hint="eastAsia" w:ascii="仿宋_GB2312" w:hAnsi="仿宋" w:eastAsia="仿宋_GB2312" w:cs="仿宋"/>
          <w:sz w:val="32"/>
          <w:szCs w:val="32"/>
        </w:rPr>
        <w:t>3类区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301新城中心南部：由北顺时为军营街-规划军营街-铁东路-仓上街-通顺路-顺平南线-顺泰路-平沿路-规划顺宁路-顺平南线-仁和园东街-仁和园二街-林河南大街-顺泰街-外环路，面积约14.07平方公里。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302马坡聚源工业区：由北顺时为花园北路-聚源东路-良白路-规划小中河路，面积约1.89平方公里。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303牛山西北部：由北顺时为规划牛汇北二街-规划腾志路-昌金路-小中河，面积约3.62平方公里。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304 空港物流基地：由北顺时为顺于路-顺航路-物流园二街-顺达路-物流园六街--顺畅大道-物流园八街-顺航路-顺平路-京沈线，面积约2.89平方公里。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305机场北部：由北顺时为顺平路南辅线-机场北街-南焦路-南白路-顺平路-小中河-保汇二街东延-保汇二街-金岸东路-金穗路-首都机场用地货机坪北边界-货机坪东西两侧航空货运站设施区南边界-保联五街-金航西路，面积约4.16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306 机场西部：由北顺时为火沙路-京沈线-蔚然南路-规划拟围网边界-天纬三街-天柱东路-天纬五街-天柱路-天纬四街-京沈线-安宁大街-裕庆路-安庆大街-裕安路，面积约6.74平方公里。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307金马工业区：由北顺时为规划金恒街- 七干渠-京沈线-顺于路-规划兴定街。 面积约1.60平方公里。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308三代半产业基地：由北顺时为开元街-恒兴东路-文良南街-恒兴西路，面积约1.30平方公里。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309北小营产业基地：由北顺时为北小营大街-李魏路-赵陈路-顺密路，面积约1.74平方公里。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310南彩东部：由北顺时为规划双营街-李木路-顺平辅线-李魏路。 面积约1.52平方公里。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311北务产业基地：由北顺时为龙塘路-北务西路-木北路-顺三排水渠-王各庄南路，面积约1.17平方公里。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312杨镇产业基地：由北顺时为白马路-兴吉路-杨镇东大街-庄吉路-恒达街-中干渠路，面积约2.54平方公里。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313南彩西北部：由北顺时为减河北路-左堤路-顺密路-顺平辅线-左堤辅线，面积约2.41平方公里。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314赵全营产业基地：由北顺时为同心路北侧规划边界-火寺路-昌金路-规划边界-昌金路-天北路，面积约4.93平方公里。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315国门商务区：由北顺时为龙塘路-六环路-李天路-机场东路，面积约3.94平方公里。</w:t>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60" w:lineRule="exact"/>
        <w:ind w:left="0" w:leftChars="0" w:right="0" w:firstLine="640" w:firstLineChars="200"/>
        <w:textAlignment w:val="auto"/>
        <w:outlineLvl w:val="1"/>
        <w:rPr>
          <w:rFonts w:ascii="仿宋_GB2312" w:hAnsi="仿宋" w:eastAsia="仿宋_GB2312" w:cs="仿宋"/>
          <w:sz w:val="32"/>
          <w:szCs w:val="32"/>
        </w:rPr>
      </w:pPr>
      <w:r>
        <w:rPr>
          <w:rFonts w:hint="eastAsia" w:ascii="仿宋_GB2312" w:hAnsi="宋体" w:eastAsia="仿宋_GB2312" w:cs="宋体"/>
          <w:bCs/>
          <w:sz w:val="32"/>
          <w:szCs w:val="32"/>
        </w:rPr>
        <w:t>4.</w:t>
      </w:r>
      <w:r>
        <w:rPr>
          <w:rFonts w:hint="eastAsia" w:ascii="仿宋_GB2312" w:hAnsi="仿宋" w:eastAsia="仿宋_GB2312" w:cs="仿宋"/>
          <w:sz w:val="32"/>
          <w:szCs w:val="32"/>
        </w:rPr>
        <w:t>4类区适用</w:t>
      </w:r>
      <w:r>
        <w:rPr>
          <w:rFonts w:ascii="仿宋_GB2312" w:hAnsi="仿宋" w:eastAsia="仿宋_GB2312" w:cs="仿宋"/>
          <w:sz w:val="32"/>
          <w:szCs w:val="32"/>
        </w:rPr>
        <w:t>的交通干线</w:t>
      </w:r>
      <w:r>
        <w:rPr>
          <w:rFonts w:hint="eastAsia" w:ascii="仿宋_GB2312" w:hAnsi="仿宋" w:eastAsia="仿宋_GB2312" w:cs="仿宋"/>
          <w:sz w:val="32"/>
          <w:szCs w:val="32"/>
        </w:rPr>
        <w:t>情况详见附件1、2、3、4。</w:t>
      </w:r>
    </w:p>
    <w:p>
      <w:pPr>
        <w:pStyle w:val="16"/>
        <w:keepNext w:val="0"/>
        <w:keepLines w:val="0"/>
        <w:pageBreakBefore w:val="0"/>
        <w:widowControl w:val="0"/>
        <w:kinsoku/>
        <w:wordWrap/>
        <w:overflowPunct/>
        <w:topLinePunct w:val="0"/>
        <w:bidi w:val="0"/>
        <w:adjustRightInd w:val="0"/>
        <w:snapToGrid w:val="0"/>
        <w:spacing w:after="0" w:line="560" w:lineRule="exact"/>
        <w:ind w:left="0" w:leftChars="0" w:right="0" w:firstLine="640" w:firstLineChars="200"/>
        <w:textAlignment w:val="auto"/>
        <w:outlineLvl w:val="0"/>
        <w:rPr>
          <w:rFonts w:ascii="黑体" w:hAnsi="黑体" w:eastAsia="黑体" w:cs="黑体"/>
          <w:bCs/>
          <w:color w:val="000000"/>
          <w:sz w:val="32"/>
          <w:szCs w:val="32"/>
        </w:rPr>
      </w:pPr>
      <w:r>
        <w:rPr>
          <w:rFonts w:hint="eastAsia" w:ascii="黑体" w:hAnsi="黑体" w:eastAsia="黑体" w:cs="黑体"/>
          <w:bCs/>
          <w:color w:val="000000"/>
          <w:sz w:val="32"/>
          <w:szCs w:val="32"/>
        </w:rPr>
        <w:t>四</w:t>
      </w:r>
      <w:r>
        <w:rPr>
          <w:rFonts w:ascii="黑体" w:hAnsi="黑体" w:eastAsia="黑体" w:cs="黑体"/>
          <w:bCs/>
          <w:color w:val="000000"/>
          <w:sz w:val="32"/>
          <w:szCs w:val="32"/>
        </w:rPr>
        <w:t>、</w:t>
      </w:r>
      <w:r>
        <w:rPr>
          <w:rFonts w:hint="eastAsia" w:ascii="黑体" w:hAnsi="黑体" w:eastAsia="黑体" w:cs="黑体"/>
          <w:bCs/>
          <w:color w:val="000000"/>
          <w:sz w:val="32"/>
          <w:szCs w:val="32"/>
        </w:rPr>
        <w:t>乡村区域</w:t>
      </w:r>
    </w:p>
    <w:p>
      <w:pPr>
        <w:pStyle w:val="95"/>
        <w:keepNext w:val="0"/>
        <w:keepLines w:val="0"/>
        <w:pageBreakBefore w:val="0"/>
        <w:widowControl w:val="0"/>
        <w:kinsoku/>
        <w:wordWrap/>
        <w:overflowPunct/>
        <w:topLinePunct w:val="0"/>
        <w:bidi w:val="0"/>
        <w:adjustRightInd w:val="0"/>
        <w:snapToGrid w:val="0"/>
        <w:spacing w:line="560" w:lineRule="exact"/>
        <w:ind w:left="0" w:leftChars="0" w:right="0" w:firstLine="560"/>
        <w:textAlignment w:val="auto"/>
        <w:rPr>
          <w:rFonts w:ascii="仿宋_GB2312" w:hAnsi="仿宋" w:eastAsia="仿宋_GB2312" w:cs="仿宋"/>
          <w:kern w:val="2"/>
          <w:sz w:val="32"/>
          <w:szCs w:val="32"/>
        </w:rPr>
      </w:pPr>
      <w:r>
        <w:rPr>
          <w:rFonts w:hint="eastAsia" w:ascii="仿宋_GB2312" w:hAnsi="仿宋" w:eastAsia="仿宋_GB2312" w:cs="仿宋"/>
          <w:kern w:val="2"/>
          <w:sz w:val="32"/>
          <w:szCs w:val="32"/>
        </w:rPr>
        <w:t>乡村区域（含纳入城市规划范围但用地属性暂不明确的区域）根据北京市声环境管理的需要，按照以下要求明确适用的声环境质量要求。</w:t>
      </w:r>
      <w:r>
        <w:rPr>
          <w:rFonts w:ascii="仿宋_GB2312" w:hAnsi="仿宋" w:eastAsia="仿宋_GB2312" w:cs="仿宋"/>
          <w:kern w:val="2"/>
          <w:sz w:val="32"/>
          <w:szCs w:val="32"/>
        </w:rPr>
        <w:t xml:space="preserve"> </w:t>
      </w:r>
    </w:p>
    <w:p>
      <w:pPr>
        <w:pStyle w:val="95"/>
        <w:keepNext w:val="0"/>
        <w:keepLines w:val="0"/>
        <w:pageBreakBefore w:val="0"/>
        <w:widowControl w:val="0"/>
        <w:kinsoku/>
        <w:wordWrap/>
        <w:overflowPunct/>
        <w:topLinePunct w:val="0"/>
        <w:bidi w:val="0"/>
        <w:adjustRightInd w:val="0"/>
        <w:snapToGrid w:val="0"/>
        <w:spacing w:line="560" w:lineRule="exact"/>
        <w:ind w:left="0" w:leftChars="0" w:right="0" w:firstLine="560"/>
        <w:textAlignment w:val="auto"/>
        <w:rPr>
          <w:rFonts w:ascii="仿宋_GB2312" w:hAnsi="仿宋" w:eastAsia="仿宋_GB2312" w:cs="仿宋"/>
          <w:kern w:val="2"/>
          <w:sz w:val="32"/>
          <w:szCs w:val="32"/>
        </w:rPr>
      </w:pPr>
      <w:r>
        <w:rPr>
          <w:rFonts w:ascii="仿宋_GB2312" w:hAnsi="仿宋" w:eastAsia="仿宋_GB2312" w:cs="仿宋"/>
          <w:kern w:val="2"/>
          <w:sz w:val="32"/>
          <w:szCs w:val="32"/>
        </w:rPr>
        <w:t>1.</w:t>
      </w:r>
      <w:r>
        <w:rPr>
          <w:rFonts w:hint="eastAsia" w:ascii="仿宋_GB2312" w:hAnsi="仿宋" w:eastAsia="仿宋_GB2312" w:cs="仿宋"/>
          <w:kern w:val="2"/>
          <w:sz w:val="32"/>
          <w:szCs w:val="32"/>
        </w:rPr>
        <w:t>乡村村庄以及位于乡村的连片住宅区，执行</w:t>
      </w:r>
      <w:r>
        <w:rPr>
          <w:rFonts w:ascii="仿宋_GB2312" w:hAnsi="仿宋" w:eastAsia="仿宋_GB2312" w:cs="仿宋"/>
          <w:kern w:val="2"/>
          <w:sz w:val="32"/>
          <w:szCs w:val="32"/>
        </w:rPr>
        <w:t>1</w:t>
      </w:r>
      <w:r>
        <w:rPr>
          <w:rFonts w:hint="eastAsia" w:ascii="仿宋_GB2312" w:hAnsi="仿宋" w:eastAsia="仿宋_GB2312" w:cs="仿宋"/>
          <w:kern w:val="2"/>
          <w:sz w:val="32"/>
          <w:szCs w:val="32"/>
        </w:rPr>
        <w:t>类声环境功能区标准。</w:t>
      </w:r>
      <w:r>
        <w:rPr>
          <w:rFonts w:ascii="仿宋_GB2312" w:hAnsi="仿宋" w:eastAsia="仿宋_GB2312" w:cs="仿宋"/>
          <w:kern w:val="2"/>
          <w:sz w:val="32"/>
          <w:szCs w:val="32"/>
        </w:rPr>
        <w:t xml:space="preserve"> </w:t>
      </w:r>
    </w:p>
    <w:p>
      <w:pPr>
        <w:pStyle w:val="95"/>
        <w:keepNext w:val="0"/>
        <w:keepLines w:val="0"/>
        <w:pageBreakBefore w:val="0"/>
        <w:widowControl w:val="0"/>
        <w:kinsoku/>
        <w:wordWrap/>
        <w:overflowPunct/>
        <w:topLinePunct w:val="0"/>
        <w:bidi w:val="0"/>
        <w:adjustRightInd w:val="0"/>
        <w:snapToGrid w:val="0"/>
        <w:spacing w:line="560" w:lineRule="exact"/>
        <w:ind w:left="0" w:leftChars="0" w:right="0" w:firstLine="560"/>
        <w:textAlignment w:val="auto"/>
        <w:rPr>
          <w:rFonts w:ascii="仿宋_GB2312" w:hAnsi="仿宋" w:eastAsia="仿宋_GB2312" w:cs="仿宋"/>
          <w:kern w:val="2"/>
          <w:sz w:val="32"/>
          <w:szCs w:val="32"/>
        </w:rPr>
      </w:pPr>
      <w:r>
        <w:rPr>
          <w:rFonts w:ascii="仿宋_GB2312" w:hAnsi="仿宋" w:eastAsia="仿宋_GB2312" w:cs="仿宋"/>
          <w:kern w:val="2"/>
          <w:sz w:val="32"/>
          <w:szCs w:val="32"/>
        </w:rPr>
        <w:t>2.</w:t>
      </w:r>
      <w:r>
        <w:rPr>
          <w:rFonts w:hint="eastAsia" w:ascii="仿宋_GB2312" w:hAnsi="仿宋" w:eastAsia="仿宋_GB2312" w:cs="仿宋"/>
          <w:kern w:val="2"/>
          <w:sz w:val="32"/>
          <w:szCs w:val="32"/>
        </w:rPr>
        <w:t>乡村集镇，执行</w:t>
      </w:r>
      <w:r>
        <w:rPr>
          <w:rFonts w:ascii="仿宋_GB2312" w:hAnsi="仿宋" w:eastAsia="仿宋_GB2312" w:cs="仿宋"/>
          <w:kern w:val="2"/>
          <w:sz w:val="32"/>
          <w:szCs w:val="32"/>
        </w:rPr>
        <w:t>2</w:t>
      </w:r>
      <w:r>
        <w:rPr>
          <w:rFonts w:hint="eastAsia" w:ascii="仿宋_GB2312" w:hAnsi="仿宋" w:eastAsia="仿宋_GB2312" w:cs="仿宋"/>
          <w:kern w:val="2"/>
          <w:sz w:val="32"/>
          <w:szCs w:val="32"/>
        </w:rPr>
        <w:t>类声环境功能区标准。乡村集镇为经县级人民政府确认的乡、民族乡人民政府所在地和由集市发展而成的作为农村一定区域经济、文化和生活服务中心的非建制镇。</w:t>
      </w:r>
      <w:r>
        <w:rPr>
          <w:rFonts w:ascii="仿宋_GB2312" w:hAnsi="仿宋" w:eastAsia="仿宋_GB2312" w:cs="仿宋"/>
          <w:kern w:val="2"/>
          <w:sz w:val="32"/>
          <w:szCs w:val="32"/>
        </w:rPr>
        <w:t xml:space="preserve"> </w:t>
      </w:r>
    </w:p>
    <w:p>
      <w:pPr>
        <w:pStyle w:val="95"/>
        <w:keepNext w:val="0"/>
        <w:keepLines w:val="0"/>
        <w:pageBreakBefore w:val="0"/>
        <w:widowControl w:val="0"/>
        <w:kinsoku/>
        <w:wordWrap/>
        <w:overflowPunct/>
        <w:topLinePunct w:val="0"/>
        <w:bidi w:val="0"/>
        <w:adjustRightInd w:val="0"/>
        <w:snapToGrid w:val="0"/>
        <w:spacing w:line="560" w:lineRule="exact"/>
        <w:ind w:left="0" w:leftChars="0" w:right="0" w:firstLine="560"/>
        <w:textAlignment w:val="auto"/>
        <w:rPr>
          <w:rFonts w:ascii="仿宋_GB2312" w:hAnsi="仿宋" w:eastAsia="仿宋_GB2312" w:cs="仿宋"/>
          <w:kern w:val="2"/>
          <w:sz w:val="32"/>
          <w:szCs w:val="32"/>
        </w:rPr>
      </w:pPr>
      <w:r>
        <w:rPr>
          <w:rFonts w:hint="eastAsia" w:ascii="仿宋_GB2312" w:hAnsi="仿宋" w:eastAsia="仿宋_GB2312" w:cs="仿宋"/>
          <w:kern w:val="2"/>
          <w:sz w:val="32"/>
          <w:szCs w:val="32"/>
        </w:rPr>
        <w:t>3. 独立于乡村集镇、村庄的工业、仓储、物流企业集中区域或乡村地区的工业集聚区，执行</w:t>
      </w:r>
      <w:r>
        <w:rPr>
          <w:rFonts w:ascii="仿宋_GB2312" w:hAnsi="仿宋" w:eastAsia="仿宋_GB2312" w:cs="仿宋"/>
          <w:kern w:val="2"/>
          <w:sz w:val="32"/>
          <w:szCs w:val="32"/>
        </w:rPr>
        <w:t>3</w:t>
      </w:r>
      <w:r>
        <w:rPr>
          <w:rFonts w:hint="eastAsia" w:ascii="仿宋_GB2312" w:hAnsi="仿宋" w:eastAsia="仿宋_GB2312" w:cs="仿宋"/>
          <w:kern w:val="2"/>
          <w:sz w:val="32"/>
          <w:szCs w:val="32"/>
        </w:rPr>
        <w:t>类声环境功能区标准。</w:t>
      </w:r>
    </w:p>
    <w:p>
      <w:pPr>
        <w:pStyle w:val="95"/>
        <w:keepNext w:val="0"/>
        <w:keepLines w:val="0"/>
        <w:pageBreakBefore w:val="0"/>
        <w:widowControl w:val="0"/>
        <w:kinsoku/>
        <w:wordWrap/>
        <w:overflowPunct/>
        <w:topLinePunct w:val="0"/>
        <w:bidi w:val="0"/>
        <w:adjustRightInd w:val="0"/>
        <w:snapToGrid w:val="0"/>
        <w:spacing w:line="560" w:lineRule="exact"/>
        <w:ind w:left="0" w:leftChars="0" w:right="0" w:firstLine="560"/>
        <w:textAlignment w:val="auto"/>
        <w:rPr>
          <w:rFonts w:ascii="仿宋_GB2312" w:hAnsi="仿宋" w:eastAsia="仿宋_GB2312" w:cs="仿宋"/>
          <w:kern w:val="2"/>
          <w:sz w:val="32"/>
          <w:szCs w:val="32"/>
        </w:rPr>
      </w:pPr>
      <w:r>
        <w:rPr>
          <w:rFonts w:ascii="仿宋_GB2312" w:hAnsi="仿宋" w:eastAsia="仿宋_GB2312" w:cs="仿宋"/>
          <w:kern w:val="2"/>
          <w:sz w:val="32"/>
          <w:szCs w:val="32"/>
        </w:rPr>
        <w:t>4.</w:t>
      </w:r>
      <w:r>
        <w:rPr>
          <w:rFonts w:hint="eastAsia" w:ascii="仿宋_GB2312" w:hAnsi="仿宋" w:eastAsia="仿宋_GB2312" w:cs="仿宋"/>
          <w:kern w:val="2"/>
          <w:sz w:val="32"/>
          <w:szCs w:val="32"/>
        </w:rPr>
        <w:t>位于交通干线两侧一定距离范围内(见表1)区域执行4类声环境功能区标准。</w:t>
      </w:r>
    </w:p>
    <w:p>
      <w:pPr>
        <w:pStyle w:val="16"/>
        <w:keepNext w:val="0"/>
        <w:keepLines w:val="0"/>
        <w:pageBreakBefore w:val="0"/>
        <w:widowControl w:val="0"/>
        <w:kinsoku/>
        <w:wordWrap/>
        <w:overflowPunct/>
        <w:topLinePunct w:val="0"/>
        <w:bidi w:val="0"/>
        <w:adjustRightInd w:val="0"/>
        <w:snapToGrid w:val="0"/>
        <w:spacing w:after="0" w:line="560" w:lineRule="exact"/>
        <w:ind w:left="0" w:leftChars="0" w:right="0" w:firstLine="640" w:firstLineChars="200"/>
        <w:textAlignment w:val="auto"/>
        <w:outlineLvl w:val="0"/>
        <w:rPr>
          <w:rFonts w:ascii="黑体" w:hAnsi="黑体" w:eastAsia="黑体" w:cs="黑体"/>
          <w:bCs/>
          <w:color w:val="000000"/>
          <w:sz w:val="32"/>
          <w:szCs w:val="32"/>
        </w:rPr>
      </w:pPr>
      <w:r>
        <w:rPr>
          <w:rFonts w:hint="eastAsia" w:ascii="黑体" w:hAnsi="黑体" w:eastAsia="黑体" w:cs="黑体"/>
          <w:bCs/>
          <w:color w:val="000000"/>
          <w:sz w:val="32"/>
          <w:szCs w:val="32"/>
        </w:rPr>
        <w:t>五、补充规定</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1.3类声环境功能区中居住区执行2类声环境功能区标准。</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2.交通干线建设规划未实施前应按照当前声环境功能区类别管理，规划实施后交通干线两侧及时调整为4类区。</w:t>
      </w:r>
    </w:p>
    <w:p>
      <w:pPr>
        <w:keepNext w:val="0"/>
        <w:keepLines w:val="0"/>
        <w:pageBreakBefore w:val="0"/>
        <w:widowControl w:val="0"/>
        <w:kinsoku/>
        <w:wordWrap/>
        <w:overflowPunct/>
        <w:topLinePunct w:val="0"/>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振动环境功能区制订前可参照声环境功能区。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4.本细则自顺义区人民政府发布之日起执行，同时废止《关于印发北京市顺义区声环境功能区划实施细则的通知》（顺政发〔2018〕14 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5.本细则由顺义区生态环境局负责解释。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textAlignment w:val="auto"/>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outlineLvl w:val="0"/>
        <w:rPr>
          <w:rFonts w:ascii="仿宋_GB2312" w:hAnsi="仿宋" w:eastAsia="仿宋_GB2312" w:cs="仿宋"/>
          <w:sz w:val="32"/>
          <w:szCs w:val="32"/>
        </w:rPr>
      </w:pPr>
      <w:r>
        <w:rPr>
          <w:rFonts w:hint="eastAsia" w:ascii="仿宋_GB2312" w:hAnsi="仿宋" w:eastAsia="仿宋_GB2312" w:cs="仿宋"/>
          <w:sz w:val="32"/>
          <w:szCs w:val="32"/>
        </w:rPr>
        <w:t>附件：1.4a类声环境功能区适用的道路</w:t>
      </w:r>
    </w:p>
    <w:p>
      <w:pPr>
        <w:keepNext w:val="0"/>
        <w:keepLines w:val="0"/>
        <w:pageBreakBefore w:val="0"/>
        <w:widowControl w:val="0"/>
        <w:kinsoku/>
        <w:wordWrap/>
        <w:overflowPunct/>
        <w:topLinePunct w:val="0"/>
        <w:autoSpaceDE/>
        <w:autoSpaceDN/>
        <w:bidi w:val="0"/>
        <w:adjustRightInd w:val="0"/>
        <w:snapToGrid w:val="0"/>
        <w:spacing w:line="560" w:lineRule="exact"/>
        <w:ind w:left="1916" w:leftChars="760" w:right="0" w:hanging="320" w:hangingChars="100"/>
        <w:textAlignment w:val="auto"/>
        <w:outlineLvl w:val="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4a类声环境功能区适用的城市轨道交通（地面段）线路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1600" w:firstLineChars="500"/>
        <w:textAlignment w:val="auto"/>
        <w:outlineLvl w:val="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4b类声环境功能区适用的铁路线路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1600" w:firstLineChars="500"/>
        <w:textAlignment w:val="auto"/>
        <w:rPr>
          <w:rFonts w:ascii="黑体" w:hAnsi="黑体" w:eastAsia="黑体" w:cs="仿宋"/>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w:t>
      </w:r>
      <w:r>
        <w:rPr>
          <w:rFonts w:hint="eastAsia" w:ascii="仿宋_GB2312" w:hAnsi="仿宋" w:eastAsia="仿宋_GB2312" w:cs="仿宋"/>
          <w:sz w:val="32"/>
          <w:szCs w:val="32"/>
        </w:rPr>
        <w:t>顺义</w:t>
      </w:r>
      <w:r>
        <w:rPr>
          <w:rFonts w:ascii="仿宋_GB2312" w:hAnsi="仿宋" w:eastAsia="仿宋_GB2312" w:cs="仿宋"/>
          <w:sz w:val="32"/>
          <w:szCs w:val="32"/>
        </w:rPr>
        <w:t>区声环境功能区划示意图</w:t>
      </w:r>
      <w:r>
        <w:rPr>
          <w:rFonts w:hint="eastAsia" w:ascii="黑体" w:hAnsi="黑体" w:eastAsia="黑体" w:cs="仿宋"/>
          <w:sz w:val="32"/>
          <w:szCs w:val="32"/>
        </w:rPr>
        <w:br w:type="page"/>
      </w:r>
    </w:p>
    <w:p>
      <w:pPr>
        <w:pStyle w:val="16"/>
        <w:keepNext w:val="0"/>
        <w:keepLines w:val="0"/>
        <w:pageBreakBefore w:val="0"/>
        <w:widowControl w:val="0"/>
        <w:kinsoku/>
        <w:wordWrap/>
        <w:overflowPunct/>
        <w:topLinePunct w:val="0"/>
        <w:autoSpaceDE/>
        <w:autoSpaceDN/>
        <w:bidi w:val="0"/>
        <w:adjustRightInd/>
        <w:snapToGrid/>
        <w:spacing w:after="0" w:line="560" w:lineRule="exact"/>
        <w:textAlignment w:val="auto"/>
        <w:outlineLvl w:val="0"/>
        <w:rPr>
          <w:rFonts w:hint="default" w:ascii="黑体" w:eastAsia="黑体"/>
          <w:color w:val="000000"/>
          <w:sz w:val="32"/>
          <w:szCs w:val="32"/>
          <w:lang w:val="en-US" w:eastAsia="zh-CN"/>
        </w:rPr>
      </w:pPr>
      <w:r>
        <w:rPr>
          <w:rFonts w:hint="eastAsia" w:ascii="黑体" w:hAnsi="宋体" w:eastAsia="黑体"/>
          <w:color w:val="000000"/>
          <w:sz w:val="32"/>
          <w:szCs w:val="32"/>
        </w:rPr>
        <w:t>附件</w:t>
      </w:r>
      <w:r>
        <w:rPr>
          <w:rFonts w:hint="eastAsia" w:ascii="黑体" w:hAnsi="宋体" w:eastAsia="黑体"/>
          <w:color w:val="000000"/>
          <w:sz w:val="32"/>
          <w:szCs w:val="32"/>
          <w:lang w:val="en-US" w:eastAsia="zh-CN"/>
        </w:rPr>
        <w:t>2</w:t>
      </w:r>
      <w:r>
        <w:rPr>
          <w:rFonts w:hint="eastAsia" w:ascii="黑体" w:eastAsia="黑体"/>
          <w:color w:val="000000"/>
          <w:sz w:val="32"/>
          <w:szCs w:val="32"/>
          <w:lang w:val="en-US" w:eastAsia="zh-CN"/>
        </w:rPr>
        <w:t>-1</w:t>
      </w:r>
    </w:p>
    <w:p>
      <w:pPr>
        <w:pStyle w:val="16"/>
        <w:keepNext w:val="0"/>
        <w:keepLines w:val="0"/>
        <w:pageBreakBefore w:val="0"/>
        <w:widowControl w:val="0"/>
        <w:kinsoku/>
        <w:wordWrap/>
        <w:overflowPunct/>
        <w:topLinePunct w:val="0"/>
        <w:autoSpaceDE/>
        <w:autoSpaceDN/>
        <w:bidi w:val="0"/>
        <w:adjustRightInd/>
        <w:snapToGrid/>
        <w:spacing w:after="0" w:line="560" w:lineRule="exact"/>
        <w:textAlignment w:val="auto"/>
        <w:outlineLvl w:val="0"/>
        <w:rPr>
          <w:rFonts w:hint="eastAsia" w:asci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hAnsi="仿宋" w:eastAsia="方正小标宋简体" w:cs="仿宋"/>
          <w:sz w:val="32"/>
          <w:szCs w:val="28"/>
        </w:rPr>
      </w:pPr>
      <w:r>
        <w:rPr>
          <w:rFonts w:hint="eastAsia" w:ascii="方正小标宋简体" w:hAnsi="仿宋" w:eastAsia="方正小标宋简体" w:cs="仿宋"/>
          <w:sz w:val="32"/>
          <w:szCs w:val="28"/>
        </w:rPr>
        <w:t>4a类声环境功能区划适用的道路</w:t>
      </w:r>
    </w:p>
    <w:tbl>
      <w:tblPr>
        <w:tblStyle w:val="19"/>
        <w:tblW w:w="8522" w:type="dxa"/>
        <w:jc w:val="center"/>
        <w:tblLayout w:type="fixed"/>
        <w:tblCellMar>
          <w:top w:w="0" w:type="dxa"/>
          <w:left w:w="108" w:type="dxa"/>
          <w:bottom w:w="0" w:type="dxa"/>
          <w:right w:w="108" w:type="dxa"/>
        </w:tblCellMar>
      </w:tblPr>
      <w:tblGrid>
        <w:gridCol w:w="627"/>
        <w:gridCol w:w="2033"/>
        <w:gridCol w:w="1701"/>
        <w:gridCol w:w="1843"/>
        <w:gridCol w:w="1275"/>
        <w:gridCol w:w="1043"/>
      </w:tblGrid>
      <w:tr>
        <w:tblPrEx>
          <w:tblCellMar>
            <w:top w:w="0" w:type="dxa"/>
            <w:left w:w="108" w:type="dxa"/>
            <w:bottom w:w="0" w:type="dxa"/>
            <w:right w:w="108" w:type="dxa"/>
          </w:tblCellMar>
        </w:tblPrEx>
        <w:trPr>
          <w:trHeight w:val="330" w:hRule="atLeast"/>
          <w:tblHeader/>
          <w:jc w:val="center"/>
        </w:trPr>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序号</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道路名称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起点</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终点</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道路等级</w:t>
            </w:r>
          </w:p>
        </w:tc>
        <w:tc>
          <w:tcPr>
            <w:tcW w:w="10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仿宋_GB2312" w:hAnsi="仿宋_GB2312" w:eastAsia="仿宋_GB2312" w:cs="仿宋_GB2312"/>
                <w:b/>
                <w:bCs/>
                <w:color w:val="000000"/>
                <w:kern w:val="0"/>
                <w:szCs w:val="21"/>
                <w:lang w:bidi="ar"/>
              </w:rPr>
            </w:pPr>
            <w:r>
              <w:rPr>
                <w:rFonts w:hint="eastAsia" w:ascii="仿宋_GB2312" w:hAnsi="仿宋_GB2312" w:eastAsia="仿宋_GB2312" w:cs="仿宋_GB2312"/>
                <w:b/>
                <w:bCs/>
                <w:color w:val="000000"/>
                <w:kern w:val="0"/>
                <w:szCs w:val="21"/>
                <w:lang w:bidi="ar"/>
              </w:rPr>
              <w:t>长度</w:t>
            </w:r>
          </w:p>
          <w:p>
            <w:pPr>
              <w:widowControl/>
              <w:jc w:val="center"/>
              <w:textAlignment w:val="center"/>
              <w:rPr>
                <w:rFonts w:ascii="仿宋_GB2312" w:hAnsi="仿宋_GB2312" w:eastAsia="仿宋_GB2312" w:cs="仿宋_GB2312"/>
                <w:b/>
                <w:bCs/>
                <w:color w:val="000000"/>
                <w:kern w:val="0"/>
                <w:szCs w:val="21"/>
                <w:lang w:bidi="ar"/>
              </w:rPr>
            </w:pPr>
            <w:r>
              <w:rPr>
                <w:rFonts w:ascii="仿宋_GB2312" w:hAnsi="仿宋_GB2312" w:eastAsia="仿宋_GB2312" w:cs="仿宋_GB2312"/>
                <w:b/>
                <w:bCs/>
                <w:color w:val="000000"/>
                <w:kern w:val="0"/>
                <w:szCs w:val="21"/>
                <w:lang w:bidi="ar"/>
              </w:rPr>
              <w:t>（千米）</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大广高速</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北石槽</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高丽营南桥</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高速公路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15.880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机场北线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区界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高速公路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10.095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机场第二高速</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京平高速</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T3航站楼</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高速公路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1.790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京承高速</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顺义界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温榆河（昌平界）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高速公路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1.540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京平高速</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温榆河大桥</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顺义界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高速公路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35.300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六环路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昌平界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北窑上桥</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高速公路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26.700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首都机场高速</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顺义界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首都机场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高速公路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3.440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白马路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京承高速</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区界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40.873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壁富路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区界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李天路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1.333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天北路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京承高速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3.828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机场东路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李天路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9.295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京沈线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朝阳区界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怀柔区界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25.750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木孙路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昌金路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京平高速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15.920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平沿路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李堡路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京平高速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0.856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顺白路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燕京西街（杜杨北街）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规划龙苑路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6.461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天北路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顺义界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39.510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通怀路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通州顺义区界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京平高速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1.312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区界</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昌金路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22.579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史家口村南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滨河小区北门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12.980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裕安路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顺于路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1.730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左堤路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昌金路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左堤路k51+694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8.163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北木路西侧路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K8+899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富密路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0.972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仓上街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铁东路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1.261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昌金路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昌平区界</w:t>
            </w:r>
          </w:p>
        </w:tc>
        <w:tc>
          <w:tcPr>
            <w:tcW w:w="184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平谷区界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40.101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陈马路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陈各庄村南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10.479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大东路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拥军路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1.367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东安路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顺于路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0.964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富密路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昌金路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区界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6.301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29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高白路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京沈线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15.272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火沙辅线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京沈线</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2.115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京沈线</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天北路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3.220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京承高速</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朝阳区界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1.660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火寺路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火沙辅线</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怀昌路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16.806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机场北门路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机场（货运北路）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2.285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机场北线南路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1.142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集汇大街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顺宁路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3.082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建新东街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新顺南大街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0.532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建新西街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铁东路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新顺南大街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0.495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39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李堡路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K4+054</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4.054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李天路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K8+083</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8.083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李魏路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李魏路k3+853</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西府</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10.903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龙塘路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机场东路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顺平南线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27.493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龙尹路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K17+410</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8.260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龙尹路支线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龙尹路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1.813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木邵路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史中坞村</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文敬农场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2.185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木孙路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顺密路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昌金路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12.830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木燕辅路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龙塘路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市界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4.026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木燕路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燕郊</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25.634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49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南陈路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昌金路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10.669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南焦路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石马路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顺沙路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3.348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平沿路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平各庄</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河南村入点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2.988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石园大街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顺康路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1.310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首钢冷轧钢厂东路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李堡路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临清村</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1.794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顺白路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规划龙苑路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京沈线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1.228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顺和路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拥军路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平沿路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2.187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顺密路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区界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22.700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顺平辅线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七分干桥</w:t>
            </w:r>
          </w:p>
        </w:tc>
        <w:tc>
          <w:tcPr>
            <w:tcW w:w="184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李木路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12.630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顺平辅线旧线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左堤辅线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0.860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59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顺平南线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机场东路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箭杆河桥</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12.975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顺平南线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木燕路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顺义界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16.181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顺沙路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区界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16.644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顺于路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京承高速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16.209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天北路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华谊南桥</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机场北线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10.885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铁东路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外环路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6.241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外环路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17.111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新顺南大街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中山南街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1.930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幸福东街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东安路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0.259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幸福西街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新顺南大街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0.487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69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拥军路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1.585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裕安路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顺于路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双裕路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2.570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站前东街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新顺南大街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0.506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站前西街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铁东路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新顺南大街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0.435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赵陈路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顺密路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木燕路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7.059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中山北街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北城根街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0.356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中山南街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新顺北大街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0.280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左堤辅线</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白马路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左堤路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7.055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左堤路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左堤路k51+694</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1.781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左堤路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顺平南线</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木燕辅路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二级公路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9.840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79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大江洼路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顺于路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物流园四街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0.290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大营二街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和安路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0.698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大营四街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和安路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0.820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复兴东街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0.650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复兴四街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0.650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航港二路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横三街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0.660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和安路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牛山一中分校</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顺丰大街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3.400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机场北街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南焦路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京密路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2.500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减河北路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通怀路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3.800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金桥路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龙塘路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汇海南路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2.250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89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顺畅大道</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  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物流园二街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1.783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顺丰大街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和安路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2.160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顺福路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1.800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顺航路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顺于路北622米处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1.668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顺恒大街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站前北街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坤安路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2.192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94</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顺康路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双河大街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0.820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四纬路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六经路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经纬中路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2.287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天柱东路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丽苑街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天北路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天北路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天纬二街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1.906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同心路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天北路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火寺路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2.200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99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仓上街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0.598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燕京桥周边</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燕京桥下辅路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燕京桥下辅路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3.282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杨镇大街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木燕路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城市学院东墙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0.550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裕安路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安华街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主干路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2.170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安宁大街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安华大街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京密路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4.100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安祥大街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裕丰路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裕东路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2.159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北城根街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中山北街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光明街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0.350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北斗路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龙塘路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松香湖路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1.498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北上坡路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终点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0.652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便民街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新顺北大街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光明街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0.483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109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富元大街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机场东路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经纬中路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1.203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规划路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军营北街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0.587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花园一街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榆阳路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开发街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0.790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汇海南路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四纬路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经纬中路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1.956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汇海中路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龙塘路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四纬路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1.215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经纬中路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龙塘路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汇海南路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2.176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开发街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花园二街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杨林收费站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0.582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坤安路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复兴四街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顺丰大街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1.778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李桥西路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规划李天路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规划一路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1.100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林荫路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开发街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丽苑街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0.351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119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马场东路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1.025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马场西路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和安路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0.834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民富街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顺和路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顺康路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0.428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南门西街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站前北街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新顺北大街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0.351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牛富路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牛山一中</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1.520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前景北路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府前街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1.000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前景南路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府前街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望泉南街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0.670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乾安路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顺丰大街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白马路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1.796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上丰街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顺白路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终点</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0.941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石园大街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顺康路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顺福路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1.100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129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双平街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顺康西路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顺仁路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0.550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双兴北街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光明街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滨河北路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0.490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顺和路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顺平南线</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0.848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132</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顺康路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裕龙二街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平沿路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1.848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顺泰路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双河大街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河小区北门</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1.490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134</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顺祥街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和安路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乾安路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0.630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135</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顺祥街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通顺路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坤安路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0.580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顺兴街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和安路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2.465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天纬二街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天柱东路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0.753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天纬三街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天柱东路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0.790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139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天纬四街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天柱东路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0.896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天纬五街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天柱东路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1.068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望泉北街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顺白路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兴泉路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0.702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物流园八街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顺航路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顺畅大道</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0.752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143</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物流园二街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顺畅大道</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顺达路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0.337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144</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物流园六街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顺航路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顺达路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1.170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145</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西下路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范良路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北武路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2.900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146</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西庄路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老府前街</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顺生大街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0.470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147</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一区巷路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天柱西路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天柱路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0.427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148</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永业东大街</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规划和安路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右堤路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1.600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149</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裕丰路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安华街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2.072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150</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裕华路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安宁大街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1.760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151</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裕泰路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机场北线南路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安富街</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0.607 </w:t>
            </w:r>
          </w:p>
        </w:tc>
      </w:tr>
      <w:tr>
        <w:tblPrEx>
          <w:tblCellMar>
            <w:top w:w="0" w:type="dxa"/>
            <w:left w:w="108" w:type="dxa"/>
            <w:bottom w:w="0" w:type="dxa"/>
            <w:right w:w="108" w:type="dxa"/>
          </w:tblCellMar>
        </w:tblPrEx>
        <w:trPr>
          <w:trHeight w:val="330" w:hRule="atLeast"/>
          <w:jc w:val="center"/>
        </w:trPr>
        <w:tc>
          <w:tcPr>
            <w:tcW w:w="6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152</w:t>
            </w:r>
          </w:p>
        </w:tc>
        <w:tc>
          <w:tcPr>
            <w:tcW w:w="203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裕营路</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火沙辅线</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火沙路</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次干路</w:t>
            </w:r>
          </w:p>
        </w:tc>
        <w:tc>
          <w:tcPr>
            <w:tcW w:w="104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bCs/>
                <w:color w:val="000000"/>
                <w:kern w:val="0"/>
                <w:szCs w:val="21"/>
                <w:lang w:bidi="ar"/>
              </w:rPr>
            </w:pPr>
            <w:r>
              <w:rPr>
                <w:rFonts w:hint="eastAsia" w:ascii="仿宋_GB2312" w:hAnsi="仿宋_GB2312" w:eastAsia="仿宋_GB2312" w:cs="仿宋_GB2312"/>
                <w:bCs/>
                <w:color w:val="000000"/>
                <w:kern w:val="0"/>
                <w:szCs w:val="21"/>
                <w:lang w:bidi="ar"/>
              </w:rPr>
              <w:t xml:space="preserve">0.618 </w:t>
            </w:r>
          </w:p>
        </w:tc>
      </w:tr>
    </w:tbl>
    <w:p>
      <w:pPr>
        <w:pStyle w:val="2"/>
        <w:ind w:firstLine="0" w:firstLineChars="0"/>
      </w:pPr>
    </w:p>
    <w:p/>
    <w:p>
      <w:pPr>
        <w:rPr>
          <w:rFonts w:ascii="黑体" w:hAnsi="宋体" w:eastAsia="黑体"/>
          <w:sz w:val="32"/>
          <w:szCs w:val="32"/>
        </w:rPr>
      </w:pPr>
      <w:r>
        <w:rPr>
          <w:rFonts w:hint="eastAsia" w:ascii="黑体" w:hAnsi="宋体" w:eastAsia="黑体"/>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2-</w:t>
      </w:r>
      <w:r>
        <w:rPr>
          <w:rFonts w:hint="eastAsia" w:ascii="黑体" w:eastAsia="黑体"/>
          <w:sz w:val="32"/>
          <w:szCs w:val="32"/>
        </w:rPr>
        <w:t>2</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hAnsi="仿宋" w:eastAsia="方正小标宋简体" w:cs="仿宋"/>
          <w:sz w:val="32"/>
          <w:szCs w:val="28"/>
        </w:rPr>
      </w:pPr>
      <w:r>
        <w:rPr>
          <w:rFonts w:hint="eastAsia" w:ascii="方正小标宋简体" w:hAnsi="仿宋" w:eastAsia="方正小标宋简体" w:cs="仿宋"/>
          <w:sz w:val="32"/>
          <w:szCs w:val="28"/>
        </w:rPr>
        <w:t>4a类声环境功能区适用的城市轨道交通（地面段）线路</w:t>
      </w:r>
    </w:p>
    <w:tbl>
      <w:tblPr>
        <w:tblStyle w:val="19"/>
        <w:tblW w:w="9060" w:type="dxa"/>
        <w:jc w:val="center"/>
        <w:tblLayout w:type="fixed"/>
        <w:tblCellMar>
          <w:top w:w="0" w:type="dxa"/>
          <w:left w:w="108" w:type="dxa"/>
          <w:bottom w:w="0" w:type="dxa"/>
          <w:right w:w="108" w:type="dxa"/>
        </w:tblCellMar>
      </w:tblPr>
      <w:tblGrid>
        <w:gridCol w:w="740"/>
        <w:gridCol w:w="3427"/>
        <w:gridCol w:w="1954"/>
        <w:gridCol w:w="1223"/>
        <w:gridCol w:w="1716"/>
      </w:tblGrid>
      <w:tr>
        <w:tblPrEx>
          <w:tblCellMar>
            <w:top w:w="0" w:type="dxa"/>
            <w:left w:w="108" w:type="dxa"/>
            <w:bottom w:w="0" w:type="dxa"/>
            <w:right w:w="108"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bCs/>
                <w:color w:val="000000"/>
                <w:kern w:val="0"/>
                <w:szCs w:val="21"/>
                <w:lang w:bidi="ar"/>
              </w:rPr>
            </w:pPr>
            <w:r>
              <w:rPr>
                <w:rFonts w:hint="eastAsia" w:ascii="仿宋_GB2312" w:hAnsi="宋体" w:eastAsia="仿宋_GB2312" w:cs="宋体"/>
                <w:b/>
                <w:bCs/>
                <w:color w:val="000000"/>
                <w:kern w:val="0"/>
                <w:szCs w:val="21"/>
                <w:lang w:bidi="ar"/>
              </w:rPr>
              <w:t>序号</w:t>
            </w:r>
          </w:p>
        </w:tc>
        <w:tc>
          <w:tcPr>
            <w:tcW w:w="34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bCs/>
                <w:color w:val="000000"/>
                <w:kern w:val="0"/>
                <w:szCs w:val="21"/>
                <w:lang w:bidi="ar"/>
              </w:rPr>
            </w:pPr>
            <w:r>
              <w:rPr>
                <w:rFonts w:hint="eastAsia" w:ascii="仿宋_GB2312" w:hAnsi="宋体" w:eastAsia="仿宋_GB2312" w:cs="宋体"/>
                <w:b/>
                <w:bCs/>
                <w:color w:val="000000"/>
                <w:kern w:val="0"/>
                <w:szCs w:val="21"/>
                <w:lang w:bidi="ar"/>
              </w:rPr>
              <w:t>城市轨道交通（地面段）名称</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bCs/>
                <w:color w:val="000000"/>
                <w:kern w:val="0"/>
                <w:szCs w:val="21"/>
                <w:lang w:bidi="ar"/>
              </w:rPr>
            </w:pPr>
            <w:r>
              <w:rPr>
                <w:rFonts w:hint="eastAsia" w:ascii="仿宋_GB2312" w:hAnsi="宋体" w:eastAsia="仿宋_GB2312" w:cs="宋体"/>
                <w:b/>
                <w:bCs/>
                <w:color w:val="000000"/>
                <w:kern w:val="0"/>
                <w:szCs w:val="21"/>
                <w:lang w:bidi="ar"/>
              </w:rPr>
              <w:t>起点</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bCs/>
                <w:color w:val="000000"/>
                <w:kern w:val="0"/>
                <w:szCs w:val="21"/>
                <w:lang w:bidi="ar"/>
              </w:rPr>
            </w:pPr>
            <w:r>
              <w:rPr>
                <w:rFonts w:hint="eastAsia" w:ascii="仿宋_GB2312" w:hAnsi="宋体" w:eastAsia="仿宋_GB2312" w:cs="宋体"/>
                <w:b/>
                <w:bCs/>
                <w:color w:val="000000"/>
                <w:kern w:val="0"/>
                <w:szCs w:val="21"/>
                <w:lang w:bidi="ar"/>
              </w:rPr>
              <w:t>终点</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bCs/>
                <w:color w:val="000000"/>
                <w:kern w:val="0"/>
                <w:szCs w:val="21"/>
                <w:lang w:bidi="ar"/>
              </w:rPr>
            </w:pPr>
            <w:r>
              <w:rPr>
                <w:rFonts w:hint="eastAsia" w:ascii="仿宋_GB2312" w:hAnsi="宋体" w:eastAsia="仿宋_GB2312" w:cs="宋体"/>
                <w:b/>
                <w:bCs/>
                <w:color w:val="000000"/>
                <w:kern w:val="0"/>
                <w:szCs w:val="21"/>
                <w:lang w:bidi="ar"/>
              </w:rPr>
              <w:t>长度（千米）</w:t>
            </w:r>
          </w:p>
        </w:tc>
      </w:tr>
      <w:tr>
        <w:tblPrEx>
          <w:tblCellMar>
            <w:top w:w="0" w:type="dxa"/>
            <w:left w:w="108" w:type="dxa"/>
            <w:bottom w:w="0" w:type="dxa"/>
            <w:right w:w="108"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Cs/>
                <w:color w:val="000000"/>
                <w:kern w:val="0"/>
                <w:szCs w:val="21"/>
                <w:lang w:bidi="ar"/>
              </w:rPr>
            </w:pPr>
            <w:r>
              <w:rPr>
                <w:rFonts w:ascii="仿宋_GB2312" w:hAnsi="宋体" w:eastAsia="仿宋_GB2312" w:cs="宋体"/>
                <w:bCs/>
                <w:color w:val="000000"/>
                <w:kern w:val="0"/>
                <w:szCs w:val="21"/>
                <w:lang w:bidi="ar"/>
              </w:rPr>
              <w:t>1</w:t>
            </w:r>
          </w:p>
        </w:tc>
        <w:tc>
          <w:tcPr>
            <w:tcW w:w="3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 xml:space="preserve">15 </w:t>
            </w:r>
            <w:r>
              <w:rPr>
                <w:rFonts w:hint="eastAsia" w:ascii="仿宋_GB2312" w:hAnsi="宋体" w:eastAsia="仿宋_GB2312" w:cs="宋体"/>
                <w:color w:val="000000"/>
                <w:kern w:val="0"/>
                <w:szCs w:val="21"/>
                <w:lang w:bidi="ar"/>
              </w:rPr>
              <w:t>号线</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孙河站</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南法信站</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12.87</w:t>
            </w:r>
          </w:p>
        </w:tc>
      </w:tr>
      <w:tr>
        <w:tblPrEx>
          <w:tblCellMar>
            <w:top w:w="0" w:type="dxa"/>
            <w:left w:w="108" w:type="dxa"/>
            <w:bottom w:w="0" w:type="dxa"/>
            <w:right w:w="108"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Cs/>
                <w:color w:val="000000"/>
                <w:kern w:val="0"/>
                <w:szCs w:val="21"/>
                <w:lang w:bidi="ar"/>
              </w:rPr>
            </w:pPr>
            <w:r>
              <w:rPr>
                <w:rFonts w:ascii="仿宋_GB2312" w:hAnsi="宋体" w:eastAsia="仿宋_GB2312" w:cs="宋体"/>
                <w:bCs/>
                <w:color w:val="000000"/>
                <w:kern w:val="0"/>
                <w:szCs w:val="21"/>
                <w:lang w:bidi="ar"/>
              </w:rPr>
              <w:t>2</w:t>
            </w:r>
          </w:p>
        </w:tc>
        <w:tc>
          <w:tcPr>
            <w:tcW w:w="34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机场线</w:t>
            </w:r>
          </w:p>
        </w:tc>
        <w:tc>
          <w:tcPr>
            <w:tcW w:w="1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顺义与通州区界</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T3/T2</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5.14</w:t>
            </w:r>
          </w:p>
        </w:tc>
      </w:tr>
    </w:tbl>
    <w:p>
      <w:pPr>
        <w:spacing w:before="156" w:beforeLines="50" w:after="156" w:afterLines="50" w:line="440" w:lineRule="exact"/>
        <w:rPr>
          <w:rFonts w:ascii="仿宋_GB2312" w:hAnsi="仿宋" w:eastAsia="仿宋_GB2312"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spacing w:line="600" w:lineRule="exact"/>
        <w:jc w:val="left"/>
        <w:outlineLvl w:val="0"/>
        <w:rPr>
          <w:rFonts w:hint="eastAsia"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ascii="黑体" w:hAnsi="黑体" w:eastAsia="黑体" w:cs="仿宋"/>
          <w:sz w:val="32"/>
          <w:szCs w:val="32"/>
        </w:rPr>
      </w:pPr>
      <w:r>
        <w:rPr>
          <w:rFonts w:hint="eastAsia" w:ascii="黑体" w:hAnsi="黑体" w:eastAsia="黑体" w:cs="仿宋"/>
          <w:sz w:val="32"/>
          <w:szCs w:val="32"/>
        </w:rPr>
        <w:t>附件</w:t>
      </w:r>
      <w:r>
        <w:rPr>
          <w:rFonts w:hint="eastAsia" w:ascii="黑体" w:hAnsi="黑体" w:eastAsia="黑体" w:cs="仿宋"/>
          <w:sz w:val="32"/>
          <w:szCs w:val="32"/>
          <w:lang w:val="en-US" w:eastAsia="zh-CN"/>
        </w:rPr>
        <w:t>2-</w:t>
      </w:r>
      <w:r>
        <w:rPr>
          <w:rFonts w:hint="eastAsia" w:ascii="黑体" w:hAnsi="黑体" w:eastAsia="黑体" w:cs="仿宋"/>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仿宋" w:eastAsia="方正小标宋简体" w:cs="仿宋"/>
          <w:sz w:val="32"/>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hAnsi="仿宋" w:eastAsia="方正小标宋简体" w:cs="仿宋"/>
          <w:sz w:val="32"/>
          <w:szCs w:val="28"/>
        </w:rPr>
      </w:pPr>
      <w:r>
        <w:rPr>
          <w:rFonts w:hint="eastAsia" w:ascii="方正小标宋简体" w:hAnsi="仿宋" w:eastAsia="方正小标宋简体" w:cs="仿宋"/>
          <w:sz w:val="32"/>
          <w:szCs w:val="28"/>
        </w:rPr>
        <w:t>4b类声环境功能区适用的铁路</w:t>
      </w:r>
    </w:p>
    <w:tbl>
      <w:tblPr>
        <w:tblStyle w:val="19"/>
        <w:tblW w:w="9060" w:type="dxa"/>
        <w:jc w:val="center"/>
        <w:tblLayout w:type="fixed"/>
        <w:tblCellMar>
          <w:top w:w="0" w:type="dxa"/>
          <w:left w:w="108" w:type="dxa"/>
          <w:bottom w:w="0" w:type="dxa"/>
          <w:right w:w="108" w:type="dxa"/>
        </w:tblCellMar>
      </w:tblPr>
      <w:tblGrid>
        <w:gridCol w:w="882"/>
        <w:gridCol w:w="1466"/>
        <w:gridCol w:w="2332"/>
        <w:gridCol w:w="2332"/>
        <w:gridCol w:w="2048"/>
      </w:tblGrid>
      <w:tr>
        <w:tblPrEx>
          <w:tblCellMar>
            <w:top w:w="0" w:type="dxa"/>
            <w:left w:w="108" w:type="dxa"/>
            <w:bottom w:w="0" w:type="dxa"/>
            <w:right w:w="108" w:type="dxa"/>
          </w:tblCellMar>
        </w:tblPrEx>
        <w:trPr>
          <w:trHeight w:val="567"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序号</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铁路名称</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起点</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终点</w:t>
            </w:r>
          </w:p>
        </w:tc>
        <w:tc>
          <w:tcPr>
            <w:tcW w:w="20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长度（千米）</w:t>
            </w:r>
          </w:p>
        </w:tc>
      </w:tr>
      <w:tr>
        <w:tblPrEx>
          <w:tblCellMar>
            <w:top w:w="0" w:type="dxa"/>
            <w:left w:w="108" w:type="dxa"/>
            <w:bottom w:w="0" w:type="dxa"/>
            <w:right w:w="108" w:type="dxa"/>
          </w:tblCellMar>
        </w:tblPrEx>
        <w:trPr>
          <w:trHeight w:val="567"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大秦铁路</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顺义与怀柔区界</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顺义与平谷区界</w:t>
            </w:r>
          </w:p>
        </w:tc>
        <w:tc>
          <w:tcPr>
            <w:tcW w:w="20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25.8</w:t>
            </w:r>
          </w:p>
        </w:tc>
      </w:tr>
      <w:tr>
        <w:tblPrEx>
          <w:tblCellMar>
            <w:top w:w="0" w:type="dxa"/>
            <w:left w:w="108" w:type="dxa"/>
            <w:bottom w:w="0" w:type="dxa"/>
            <w:right w:w="108" w:type="dxa"/>
          </w:tblCellMar>
        </w:tblPrEx>
        <w:trPr>
          <w:trHeight w:val="567"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2</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京承铁路</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顺义与怀柔区界</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顺义与通州区界</w:t>
            </w:r>
          </w:p>
        </w:tc>
        <w:tc>
          <w:tcPr>
            <w:tcW w:w="20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28.3</w:t>
            </w:r>
          </w:p>
        </w:tc>
      </w:tr>
      <w:tr>
        <w:tblPrEx>
          <w:tblCellMar>
            <w:top w:w="0" w:type="dxa"/>
            <w:left w:w="108" w:type="dxa"/>
            <w:bottom w:w="0" w:type="dxa"/>
            <w:right w:w="108" w:type="dxa"/>
          </w:tblCellMar>
        </w:tblPrEx>
        <w:trPr>
          <w:trHeight w:val="567"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3</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京沈客专</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顺义与怀柔区界</w:t>
            </w:r>
          </w:p>
        </w:tc>
        <w:tc>
          <w:tcPr>
            <w:tcW w:w="23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顺义与朝阳区界</w:t>
            </w:r>
          </w:p>
        </w:tc>
        <w:tc>
          <w:tcPr>
            <w:tcW w:w="20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ottom"/>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16.4</w:t>
            </w:r>
          </w:p>
        </w:tc>
      </w:tr>
    </w:tbl>
    <w:p>
      <w:pPr>
        <w:spacing w:line="600" w:lineRule="exact"/>
        <w:jc w:val="left"/>
        <w:rPr>
          <w:rFonts w:ascii="黑体" w:hAnsi="仿宋_GB2312" w:eastAsia="黑体"/>
          <w:sz w:val="32"/>
        </w:rPr>
      </w:pPr>
    </w:p>
    <w:p>
      <w:pPr>
        <w:pStyle w:val="2"/>
        <w:ind w:firstLine="360"/>
      </w:pPr>
    </w:p>
    <w:p/>
    <w:p>
      <w:pPr>
        <w:pStyle w:val="2"/>
        <w:ind w:firstLine="360"/>
      </w:pPr>
    </w:p>
    <w:p/>
    <w:p>
      <w:pPr>
        <w:pStyle w:val="2"/>
        <w:ind w:firstLine="360"/>
      </w:pPr>
    </w:p>
    <w:p/>
    <w:p>
      <w:pPr>
        <w:pStyle w:val="2"/>
        <w:ind w:firstLine="360"/>
      </w:pPr>
    </w:p>
    <w:p/>
    <w:p>
      <w:pPr>
        <w:pStyle w:val="2"/>
        <w:ind w:firstLine="360"/>
      </w:pPr>
    </w:p>
    <w:p/>
    <w:p>
      <w:pPr>
        <w:pStyle w:val="2"/>
        <w:ind w:firstLine="360"/>
      </w:pPr>
    </w:p>
    <w:p/>
    <w:p>
      <w:pPr>
        <w:pStyle w:val="2"/>
        <w:ind w:firstLine="360"/>
      </w:pPr>
    </w:p>
    <w:p/>
    <w:p>
      <w:pPr>
        <w:pStyle w:val="2"/>
        <w:ind w:firstLine="360"/>
      </w:pPr>
    </w:p>
    <w:p>
      <w:pPr>
        <w:spacing w:line="360" w:lineRule="auto"/>
        <w:jc w:val="left"/>
        <w:outlineLvl w:val="0"/>
        <w:rPr>
          <w:rFonts w:ascii="黑体" w:hAnsi="仿宋_GB2312" w:eastAsia="黑体"/>
          <w:sz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decimal"/>
          <w:cols w:space="425" w:num="1"/>
          <w:docGrid w:type="lines" w:linePitch="312" w:charSpace="0"/>
        </w:sectPr>
      </w:pPr>
    </w:p>
    <w:p>
      <w:pPr>
        <w:snapToGrid w:val="0"/>
        <w:jc w:val="left"/>
        <w:outlineLvl w:val="0"/>
        <w:rPr>
          <w:rFonts w:ascii="黑体" w:hAnsi="仿宋_GB2312" w:eastAsia="黑体"/>
          <w:sz w:val="32"/>
        </w:rPr>
      </w:pPr>
      <w:r>
        <w:rPr>
          <w:rFonts w:hint="eastAsia" w:ascii="黑体" w:hAnsi="仿宋_GB2312" w:eastAsia="黑体"/>
          <w:sz w:val="32"/>
        </w:rPr>
        <w:t>附件</w:t>
      </w:r>
      <w:r>
        <w:rPr>
          <w:rFonts w:hint="eastAsia" w:ascii="黑体" w:hAnsi="仿宋_GB2312" w:eastAsia="黑体"/>
          <w:sz w:val="32"/>
          <w:lang w:val="en-US" w:eastAsia="zh-CN"/>
        </w:rPr>
        <w:t>2-</w:t>
      </w:r>
      <w:r>
        <w:rPr>
          <w:rFonts w:hint="eastAsia" w:ascii="黑体" w:hAnsi="仿宋_GB2312" w:eastAsia="黑体"/>
          <w:sz w:val="32"/>
        </w:rPr>
        <w:t>4</w:t>
      </w:r>
    </w:p>
    <w:p>
      <w:pPr>
        <w:snapToGrid w:val="0"/>
        <w:jc w:val="center"/>
        <w:rPr>
          <w:rFonts w:ascii="仿宋" w:hAnsi="仿宋" w:eastAsia="仿宋" w:cs="仿宋"/>
          <w:szCs w:val="32"/>
        </w:rPr>
      </w:pPr>
      <w:r>
        <w:rPr>
          <w:rFonts w:ascii="仿宋" w:hAnsi="仿宋" w:eastAsia="仿宋" w:cs="仿宋"/>
          <w:szCs w:val="32"/>
        </w:rPr>
        <w:drawing>
          <wp:inline distT="0" distB="0" distL="0" distR="0">
            <wp:extent cx="7865745" cy="5558155"/>
            <wp:effectExtent l="0" t="0" r="0" b="0"/>
            <wp:docPr id="1" name="图片 1" descr="F:\01 工作\2023-02-16 顺义声环境功能区\06 项目执行\07 报告\02 图\北京顺义区声环境功能区划示意图1016-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1 工作\2023-02-16 顺义声环境功能区\06 项目执行\07 报告\02 图\北京顺义区声环境功能区划示意图1016-P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866000" cy="5558400"/>
                    </a:xfrm>
                    <a:prstGeom prst="rect">
                      <a:avLst/>
                    </a:prstGeom>
                    <a:noFill/>
                    <a:ln>
                      <a:noFill/>
                    </a:ln>
                  </pic:spPr>
                </pic:pic>
              </a:graphicData>
            </a:graphic>
          </wp:inline>
        </w:drawing>
      </w:r>
    </w:p>
    <w:sectPr>
      <w:pgSz w:w="16838" w:h="11906" w:orient="landscape"/>
      <w:pgMar w:top="720" w:right="720" w:bottom="720" w:left="72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wiss"/>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66587"/>
    <w:multiLevelType w:val="multilevel"/>
    <w:tmpl w:val="6EC66587"/>
    <w:lvl w:ilvl="0" w:tentative="0">
      <w:start w:val="1"/>
      <w:numFmt w:val="none"/>
      <w:lvlText w:val="一"/>
      <w:lvlJc w:val="left"/>
      <w:pPr>
        <w:tabs>
          <w:tab w:val="left" w:pos="360"/>
        </w:tabs>
        <w:ind w:left="0" w:firstLine="0"/>
      </w:pPr>
    </w:lvl>
    <w:lvl w:ilvl="1" w:tentative="0">
      <w:start w:val="1"/>
      <w:numFmt w:val="decimal"/>
      <w:lvlText w:val="%1.%2"/>
      <w:lvlJc w:val="left"/>
      <w:pPr>
        <w:tabs>
          <w:tab w:val="left" w:pos="992"/>
        </w:tabs>
        <w:ind w:left="992" w:hanging="567"/>
      </w:pPr>
    </w:lvl>
    <w:lvl w:ilvl="2" w:tentative="0">
      <w:start w:val="1"/>
      <w:numFmt w:val="none"/>
      <w:pStyle w:val="5"/>
      <w:lvlText w:val="%1一"/>
      <w:lvlJc w:val="left"/>
      <w:pPr>
        <w:tabs>
          <w:tab w:val="left" w:pos="720"/>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TNiNmJjMTZmNDA2NDU3YmRiNGM0NWQyYmYxNTUifQ=="/>
  </w:docVars>
  <w:rsids>
    <w:rsidRoot w:val="281E1CC6"/>
    <w:rsid w:val="00001D0E"/>
    <w:rsid w:val="00041EDF"/>
    <w:rsid w:val="00043892"/>
    <w:rsid w:val="00043FBF"/>
    <w:rsid w:val="00050338"/>
    <w:rsid w:val="000562BC"/>
    <w:rsid w:val="000613A1"/>
    <w:rsid w:val="00063813"/>
    <w:rsid w:val="00084C26"/>
    <w:rsid w:val="00085F35"/>
    <w:rsid w:val="000903FF"/>
    <w:rsid w:val="000951D6"/>
    <w:rsid w:val="00096739"/>
    <w:rsid w:val="000A54B5"/>
    <w:rsid w:val="000B355E"/>
    <w:rsid w:val="000C1072"/>
    <w:rsid w:val="000C1571"/>
    <w:rsid w:val="000C2F44"/>
    <w:rsid w:val="000C3D8F"/>
    <w:rsid w:val="000C74C2"/>
    <w:rsid w:val="000D0532"/>
    <w:rsid w:val="000E1442"/>
    <w:rsid w:val="000F0F43"/>
    <w:rsid w:val="000F557C"/>
    <w:rsid w:val="000F78EA"/>
    <w:rsid w:val="001000C3"/>
    <w:rsid w:val="00102359"/>
    <w:rsid w:val="00106CC9"/>
    <w:rsid w:val="00107F10"/>
    <w:rsid w:val="00111393"/>
    <w:rsid w:val="00115D44"/>
    <w:rsid w:val="00116DE7"/>
    <w:rsid w:val="00123F66"/>
    <w:rsid w:val="00135A3D"/>
    <w:rsid w:val="00137B0D"/>
    <w:rsid w:val="00142867"/>
    <w:rsid w:val="00146B4F"/>
    <w:rsid w:val="00146FE6"/>
    <w:rsid w:val="001506EC"/>
    <w:rsid w:val="0015292C"/>
    <w:rsid w:val="00157001"/>
    <w:rsid w:val="001612A9"/>
    <w:rsid w:val="00170D37"/>
    <w:rsid w:val="001717FD"/>
    <w:rsid w:val="00175C55"/>
    <w:rsid w:val="00184AAB"/>
    <w:rsid w:val="0019178A"/>
    <w:rsid w:val="00192C4B"/>
    <w:rsid w:val="0019363D"/>
    <w:rsid w:val="00193B8F"/>
    <w:rsid w:val="00194B06"/>
    <w:rsid w:val="001A1A8A"/>
    <w:rsid w:val="001A360E"/>
    <w:rsid w:val="001C009D"/>
    <w:rsid w:val="001C309A"/>
    <w:rsid w:val="001D6845"/>
    <w:rsid w:val="001E2987"/>
    <w:rsid w:val="001E64D4"/>
    <w:rsid w:val="002013A2"/>
    <w:rsid w:val="0020340C"/>
    <w:rsid w:val="00207EF7"/>
    <w:rsid w:val="00225CC2"/>
    <w:rsid w:val="00226FFD"/>
    <w:rsid w:val="00231DAA"/>
    <w:rsid w:val="00231FA6"/>
    <w:rsid w:val="00233CCD"/>
    <w:rsid w:val="00252665"/>
    <w:rsid w:val="00257B20"/>
    <w:rsid w:val="00280887"/>
    <w:rsid w:val="00285745"/>
    <w:rsid w:val="0029665D"/>
    <w:rsid w:val="002A3F62"/>
    <w:rsid w:val="002B3938"/>
    <w:rsid w:val="002C0DFD"/>
    <w:rsid w:val="002C7901"/>
    <w:rsid w:val="002D2BF7"/>
    <w:rsid w:val="002D349F"/>
    <w:rsid w:val="002D645C"/>
    <w:rsid w:val="002E2C46"/>
    <w:rsid w:val="002E6468"/>
    <w:rsid w:val="002E79BB"/>
    <w:rsid w:val="002F53E1"/>
    <w:rsid w:val="00303DB9"/>
    <w:rsid w:val="00320FC6"/>
    <w:rsid w:val="00323772"/>
    <w:rsid w:val="003263AF"/>
    <w:rsid w:val="00326C37"/>
    <w:rsid w:val="00327B89"/>
    <w:rsid w:val="003322CC"/>
    <w:rsid w:val="00344385"/>
    <w:rsid w:val="0034633E"/>
    <w:rsid w:val="00354560"/>
    <w:rsid w:val="00363330"/>
    <w:rsid w:val="0036759F"/>
    <w:rsid w:val="00372AD6"/>
    <w:rsid w:val="00373E30"/>
    <w:rsid w:val="003748BB"/>
    <w:rsid w:val="003812BF"/>
    <w:rsid w:val="00392550"/>
    <w:rsid w:val="00393930"/>
    <w:rsid w:val="003A530F"/>
    <w:rsid w:val="003B1D09"/>
    <w:rsid w:val="003C3B79"/>
    <w:rsid w:val="003C6204"/>
    <w:rsid w:val="003D1013"/>
    <w:rsid w:val="003D6D76"/>
    <w:rsid w:val="003E2331"/>
    <w:rsid w:val="003E550D"/>
    <w:rsid w:val="003F1A47"/>
    <w:rsid w:val="003F7EF0"/>
    <w:rsid w:val="00413E78"/>
    <w:rsid w:val="00424D8E"/>
    <w:rsid w:val="0042644E"/>
    <w:rsid w:val="004306A2"/>
    <w:rsid w:val="004463B4"/>
    <w:rsid w:val="00460480"/>
    <w:rsid w:val="004703F0"/>
    <w:rsid w:val="00484905"/>
    <w:rsid w:val="0048557D"/>
    <w:rsid w:val="00491B4B"/>
    <w:rsid w:val="004A5B1D"/>
    <w:rsid w:val="004B117F"/>
    <w:rsid w:val="004C3018"/>
    <w:rsid w:val="004C3874"/>
    <w:rsid w:val="004D38D5"/>
    <w:rsid w:val="004D77FC"/>
    <w:rsid w:val="004E137B"/>
    <w:rsid w:val="004E2478"/>
    <w:rsid w:val="004F2482"/>
    <w:rsid w:val="004F47B2"/>
    <w:rsid w:val="004F5C6F"/>
    <w:rsid w:val="004F6CAB"/>
    <w:rsid w:val="004F7D5E"/>
    <w:rsid w:val="00521A00"/>
    <w:rsid w:val="0052615D"/>
    <w:rsid w:val="00533DB5"/>
    <w:rsid w:val="00536C1C"/>
    <w:rsid w:val="00544CD3"/>
    <w:rsid w:val="00562F7F"/>
    <w:rsid w:val="0056543C"/>
    <w:rsid w:val="00565783"/>
    <w:rsid w:val="00574447"/>
    <w:rsid w:val="0057462C"/>
    <w:rsid w:val="00574B19"/>
    <w:rsid w:val="005759B0"/>
    <w:rsid w:val="00583069"/>
    <w:rsid w:val="00591709"/>
    <w:rsid w:val="005B216C"/>
    <w:rsid w:val="005C2245"/>
    <w:rsid w:val="005C72DC"/>
    <w:rsid w:val="005D02FB"/>
    <w:rsid w:val="005D3824"/>
    <w:rsid w:val="005D4EEC"/>
    <w:rsid w:val="005D6A6E"/>
    <w:rsid w:val="005E7FA8"/>
    <w:rsid w:val="0060465E"/>
    <w:rsid w:val="00611E07"/>
    <w:rsid w:val="00617E26"/>
    <w:rsid w:val="0062437C"/>
    <w:rsid w:val="00625DD9"/>
    <w:rsid w:val="00630CC5"/>
    <w:rsid w:val="00631FE1"/>
    <w:rsid w:val="00635E2D"/>
    <w:rsid w:val="006454B1"/>
    <w:rsid w:val="0064626F"/>
    <w:rsid w:val="00652396"/>
    <w:rsid w:val="006623C2"/>
    <w:rsid w:val="0066471D"/>
    <w:rsid w:val="0066649C"/>
    <w:rsid w:val="006773CD"/>
    <w:rsid w:val="00686B98"/>
    <w:rsid w:val="00690737"/>
    <w:rsid w:val="00693519"/>
    <w:rsid w:val="0069399E"/>
    <w:rsid w:val="00695C39"/>
    <w:rsid w:val="006A72EC"/>
    <w:rsid w:val="006B4363"/>
    <w:rsid w:val="006D2E1D"/>
    <w:rsid w:val="006E0752"/>
    <w:rsid w:val="006E35DB"/>
    <w:rsid w:val="006E647E"/>
    <w:rsid w:val="006F1494"/>
    <w:rsid w:val="006F411B"/>
    <w:rsid w:val="006F77F0"/>
    <w:rsid w:val="00700AEC"/>
    <w:rsid w:val="0070629A"/>
    <w:rsid w:val="007156F1"/>
    <w:rsid w:val="00720047"/>
    <w:rsid w:val="00721F48"/>
    <w:rsid w:val="00731427"/>
    <w:rsid w:val="00731EBA"/>
    <w:rsid w:val="00744DE1"/>
    <w:rsid w:val="00750E40"/>
    <w:rsid w:val="00752C8A"/>
    <w:rsid w:val="00756572"/>
    <w:rsid w:val="0075692B"/>
    <w:rsid w:val="007604AE"/>
    <w:rsid w:val="00760A60"/>
    <w:rsid w:val="007611FF"/>
    <w:rsid w:val="00764A6A"/>
    <w:rsid w:val="00770D1F"/>
    <w:rsid w:val="00781232"/>
    <w:rsid w:val="00781A7B"/>
    <w:rsid w:val="00783704"/>
    <w:rsid w:val="00787BC1"/>
    <w:rsid w:val="00790F6A"/>
    <w:rsid w:val="007A198D"/>
    <w:rsid w:val="007B551D"/>
    <w:rsid w:val="007B5C27"/>
    <w:rsid w:val="007C62D0"/>
    <w:rsid w:val="007C6AD4"/>
    <w:rsid w:val="007E7AF6"/>
    <w:rsid w:val="007F6918"/>
    <w:rsid w:val="00800213"/>
    <w:rsid w:val="008036A2"/>
    <w:rsid w:val="00815F1F"/>
    <w:rsid w:val="008218A0"/>
    <w:rsid w:val="008227B3"/>
    <w:rsid w:val="0082713E"/>
    <w:rsid w:val="0082718C"/>
    <w:rsid w:val="00833B35"/>
    <w:rsid w:val="00836471"/>
    <w:rsid w:val="008411C3"/>
    <w:rsid w:val="00843AE8"/>
    <w:rsid w:val="008501BE"/>
    <w:rsid w:val="00851CF8"/>
    <w:rsid w:val="008576E8"/>
    <w:rsid w:val="00866E91"/>
    <w:rsid w:val="00874015"/>
    <w:rsid w:val="00883272"/>
    <w:rsid w:val="00893FC6"/>
    <w:rsid w:val="008A525C"/>
    <w:rsid w:val="008A5F9C"/>
    <w:rsid w:val="008B5E44"/>
    <w:rsid w:val="008B6138"/>
    <w:rsid w:val="008B6F1D"/>
    <w:rsid w:val="008C0D7A"/>
    <w:rsid w:val="008C13A3"/>
    <w:rsid w:val="008C1F39"/>
    <w:rsid w:val="008C2010"/>
    <w:rsid w:val="008C40D0"/>
    <w:rsid w:val="008C5A49"/>
    <w:rsid w:val="008C7BFE"/>
    <w:rsid w:val="008D0C89"/>
    <w:rsid w:val="008E12EA"/>
    <w:rsid w:val="008E29B0"/>
    <w:rsid w:val="008E5657"/>
    <w:rsid w:val="008E5F5F"/>
    <w:rsid w:val="008F3CE6"/>
    <w:rsid w:val="009064A2"/>
    <w:rsid w:val="00910FF6"/>
    <w:rsid w:val="00911A33"/>
    <w:rsid w:val="009207D5"/>
    <w:rsid w:val="00924BF3"/>
    <w:rsid w:val="00931A86"/>
    <w:rsid w:val="00934614"/>
    <w:rsid w:val="00941E46"/>
    <w:rsid w:val="009435B7"/>
    <w:rsid w:val="00952DFA"/>
    <w:rsid w:val="009547F6"/>
    <w:rsid w:val="009615E2"/>
    <w:rsid w:val="00961DD1"/>
    <w:rsid w:val="00962587"/>
    <w:rsid w:val="00966CDE"/>
    <w:rsid w:val="009739F1"/>
    <w:rsid w:val="00976CDB"/>
    <w:rsid w:val="00987147"/>
    <w:rsid w:val="00990407"/>
    <w:rsid w:val="009955C1"/>
    <w:rsid w:val="009A354A"/>
    <w:rsid w:val="009A38DF"/>
    <w:rsid w:val="009A47C5"/>
    <w:rsid w:val="009A7C14"/>
    <w:rsid w:val="009B24D2"/>
    <w:rsid w:val="009B417C"/>
    <w:rsid w:val="009B66F3"/>
    <w:rsid w:val="009D4B35"/>
    <w:rsid w:val="009D682E"/>
    <w:rsid w:val="009D6949"/>
    <w:rsid w:val="009D7E1D"/>
    <w:rsid w:val="009E1E6F"/>
    <w:rsid w:val="009E4675"/>
    <w:rsid w:val="00A00E21"/>
    <w:rsid w:val="00A051D0"/>
    <w:rsid w:val="00A060FA"/>
    <w:rsid w:val="00A22373"/>
    <w:rsid w:val="00A22C0B"/>
    <w:rsid w:val="00A24CEB"/>
    <w:rsid w:val="00A35146"/>
    <w:rsid w:val="00A35FF9"/>
    <w:rsid w:val="00A56A3E"/>
    <w:rsid w:val="00A66065"/>
    <w:rsid w:val="00A66E57"/>
    <w:rsid w:val="00A730B9"/>
    <w:rsid w:val="00A806FC"/>
    <w:rsid w:val="00A80D6A"/>
    <w:rsid w:val="00A8141A"/>
    <w:rsid w:val="00A8185C"/>
    <w:rsid w:val="00A94B29"/>
    <w:rsid w:val="00A97523"/>
    <w:rsid w:val="00AA4780"/>
    <w:rsid w:val="00AB50A7"/>
    <w:rsid w:val="00AC41AD"/>
    <w:rsid w:val="00AC4E42"/>
    <w:rsid w:val="00AC636C"/>
    <w:rsid w:val="00AD0AC4"/>
    <w:rsid w:val="00AD1516"/>
    <w:rsid w:val="00AD1F2F"/>
    <w:rsid w:val="00AE48AC"/>
    <w:rsid w:val="00AF2DC5"/>
    <w:rsid w:val="00AF7F64"/>
    <w:rsid w:val="00B00301"/>
    <w:rsid w:val="00B00409"/>
    <w:rsid w:val="00B06C88"/>
    <w:rsid w:val="00B0767F"/>
    <w:rsid w:val="00B1056F"/>
    <w:rsid w:val="00B11A9B"/>
    <w:rsid w:val="00B14AC1"/>
    <w:rsid w:val="00B22F63"/>
    <w:rsid w:val="00B41BE8"/>
    <w:rsid w:val="00B42CC1"/>
    <w:rsid w:val="00B503E8"/>
    <w:rsid w:val="00B55E94"/>
    <w:rsid w:val="00B61878"/>
    <w:rsid w:val="00B6353B"/>
    <w:rsid w:val="00B64F1D"/>
    <w:rsid w:val="00B65E11"/>
    <w:rsid w:val="00B666BE"/>
    <w:rsid w:val="00B67DB7"/>
    <w:rsid w:val="00B71956"/>
    <w:rsid w:val="00B96FA4"/>
    <w:rsid w:val="00BA0A2D"/>
    <w:rsid w:val="00BA3A75"/>
    <w:rsid w:val="00BA632E"/>
    <w:rsid w:val="00BB39EA"/>
    <w:rsid w:val="00BB3F1E"/>
    <w:rsid w:val="00BB7CAB"/>
    <w:rsid w:val="00BC39C2"/>
    <w:rsid w:val="00BC3ED4"/>
    <w:rsid w:val="00BD36E1"/>
    <w:rsid w:val="00BD6CA7"/>
    <w:rsid w:val="00BE51F3"/>
    <w:rsid w:val="00C1628F"/>
    <w:rsid w:val="00C16E87"/>
    <w:rsid w:val="00C21F76"/>
    <w:rsid w:val="00C320F6"/>
    <w:rsid w:val="00C428A0"/>
    <w:rsid w:val="00C44C37"/>
    <w:rsid w:val="00C634AB"/>
    <w:rsid w:val="00C6689B"/>
    <w:rsid w:val="00C708AE"/>
    <w:rsid w:val="00C9407D"/>
    <w:rsid w:val="00CA5A91"/>
    <w:rsid w:val="00CA70A3"/>
    <w:rsid w:val="00CA7D0C"/>
    <w:rsid w:val="00CB20C3"/>
    <w:rsid w:val="00CB60A3"/>
    <w:rsid w:val="00CD5138"/>
    <w:rsid w:val="00CE6A2D"/>
    <w:rsid w:val="00CF0688"/>
    <w:rsid w:val="00CF1FE8"/>
    <w:rsid w:val="00CF2319"/>
    <w:rsid w:val="00CF23A8"/>
    <w:rsid w:val="00D166FD"/>
    <w:rsid w:val="00D246CE"/>
    <w:rsid w:val="00D34418"/>
    <w:rsid w:val="00D4295A"/>
    <w:rsid w:val="00D7757D"/>
    <w:rsid w:val="00DA6E88"/>
    <w:rsid w:val="00DB6C8C"/>
    <w:rsid w:val="00DD0183"/>
    <w:rsid w:val="00DD430D"/>
    <w:rsid w:val="00DD4527"/>
    <w:rsid w:val="00DE0831"/>
    <w:rsid w:val="00DE32A8"/>
    <w:rsid w:val="00DF2EF5"/>
    <w:rsid w:val="00E06637"/>
    <w:rsid w:val="00E1041D"/>
    <w:rsid w:val="00E124E2"/>
    <w:rsid w:val="00E1373C"/>
    <w:rsid w:val="00E213D9"/>
    <w:rsid w:val="00E47034"/>
    <w:rsid w:val="00E60960"/>
    <w:rsid w:val="00E6354A"/>
    <w:rsid w:val="00E64169"/>
    <w:rsid w:val="00E67B43"/>
    <w:rsid w:val="00E71DBA"/>
    <w:rsid w:val="00E72EF2"/>
    <w:rsid w:val="00E740DB"/>
    <w:rsid w:val="00E8011C"/>
    <w:rsid w:val="00E8076A"/>
    <w:rsid w:val="00E81850"/>
    <w:rsid w:val="00E83053"/>
    <w:rsid w:val="00E834D0"/>
    <w:rsid w:val="00E83725"/>
    <w:rsid w:val="00E84111"/>
    <w:rsid w:val="00E87B62"/>
    <w:rsid w:val="00E96998"/>
    <w:rsid w:val="00EA0737"/>
    <w:rsid w:val="00EA7EDA"/>
    <w:rsid w:val="00EB2FA7"/>
    <w:rsid w:val="00EC06D7"/>
    <w:rsid w:val="00ED130D"/>
    <w:rsid w:val="00ED3B1E"/>
    <w:rsid w:val="00EE1BAF"/>
    <w:rsid w:val="00EE225A"/>
    <w:rsid w:val="00EE56CC"/>
    <w:rsid w:val="00EE7B5D"/>
    <w:rsid w:val="00EF7EE6"/>
    <w:rsid w:val="00F0251D"/>
    <w:rsid w:val="00F055CE"/>
    <w:rsid w:val="00F113ED"/>
    <w:rsid w:val="00F179A3"/>
    <w:rsid w:val="00F21B16"/>
    <w:rsid w:val="00F23E0D"/>
    <w:rsid w:val="00F30300"/>
    <w:rsid w:val="00F315FE"/>
    <w:rsid w:val="00F34AE7"/>
    <w:rsid w:val="00F43E6A"/>
    <w:rsid w:val="00F44FC8"/>
    <w:rsid w:val="00F4534B"/>
    <w:rsid w:val="00F52999"/>
    <w:rsid w:val="00F54130"/>
    <w:rsid w:val="00F5709F"/>
    <w:rsid w:val="00F672AE"/>
    <w:rsid w:val="00F73809"/>
    <w:rsid w:val="00F76A1D"/>
    <w:rsid w:val="00F76D25"/>
    <w:rsid w:val="00F85D6F"/>
    <w:rsid w:val="00F86FFE"/>
    <w:rsid w:val="00F91EE1"/>
    <w:rsid w:val="00F9553F"/>
    <w:rsid w:val="00FB515A"/>
    <w:rsid w:val="00FB71BC"/>
    <w:rsid w:val="00FB74B0"/>
    <w:rsid w:val="00FC1F3F"/>
    <w:rsid w:val="00FD109B"/>
    <w:rsid w:val="00FD3329"/>
    <w:rsid w:val="00FE0706"/>
    <w:rsid w:val="00FE3740"/>
    <w:rsid w:val="00FE66A4"/>
    <w:rsid w:val="00FF50A6"/>
    <w:rsid w:val="03572D36"/>
    <w:rsid w:val="049C7283"/>
    <w:rsid w:val="05DF5021"/>
    <w:rsid w:val="09DC59D3"/>
    <w:rsid w:val="0A153978"/>
    <w:rsid w:val="0AA732AC"/>
    <w:rsid w:val="0AFB02D3"/>
    <w:rsid w:val="0B7567BD"/>
    <w:rsid w:val="0D1D6574"/>
    <w:rsid w:val="0D565C70"/>
    <w:rsid w:val="124F217A"/>
    <w:rsid w:val="12AB6CC7"/>
    <w:rsid w:val="146A647C"/>
    <w:rsid w:val="16086665"/>
    <w:rsid w:val="18340974"/>
    <w:rsid w:val="18BA7F98"/>
    <w:rsid w:val="192C3D0A"/>
    <w:rsid w:val="19616ABA"/>
    <w:rsid w:val="19CC7F81"/>
    <w:rsid w:val="1C40581D"/>
    <w:rsid w:val="1C596845"/>
    <w:rsid w:val="1DE32231"/>
    <w:rsid w:val="1F713457"/>
    <w:rsid w:val="1FEB679C"/>
    <w:rsid w:val="2006518E"/>
    <w:rsid w:val="206841D9"/>
    <w:rsid w:val="21951C9F"/>
    <w:rsid w:val="22564138"/>
    <w:rsid w:val="22A55526"/>
    <w:rsid w:val="23BD0E0C"/>
    <w:rsid w:val="23C2284B"/>
    <w:rsid w:val="24B2466D"/>
    <w:rsid w:val="281E1CC6"/>
    <w:rsid w:val="283731EC"/>
    <w:rsid w:val="28DB5302"/>
    <w:rsid w:val="2B5324CA"/>
    <w:rsid w:val="2BAE004F"/>
    <w:rsid w:val="2CE6606F"/>
    <w:rsid w:val="2E402CEA"/>
    <w:rsid w:val="300703BA"/>
    <w:rsid w:val="30133919"/>
    <w:rsid w:val="32BD7200"/>
    <w:rsid w:val="32C02F37"/>
    <w:rsid w:val="33CA41F9"/>
    <w:rsid w:val="33F40AB5"/>
    <w:rsid w:val="34197004"/>
    <w:rsid w:val="344730A1"/>
    <w:rsid w:val="34670E00"/>
    <w:rsid w:val="35FF6474"/>
    <w:rsid w:val="3B626996"/>
    <w:rsid w:val="3D583BAC"/>
    <w:rsid w:val="3DAC1E72"/>
    <w:rsid w:val="3F035D9A"/>
    <w:rsid w:val="40D7128C"/>
    <w:rsid w:val="43203726"/>
    <w:rsid w:val="43F048C0"/>
    <w:rsid w:val="455A06DD"/>
    <w:rsid w:val="46742D85"/>
    <w:rsid w:val="477A0C4D"/>
    <w:rsid w:val="4A1E2388"/>
    <w:rsid w:val="4AA24318"/>
    <w:rsid w:val="4ACE77E2"/>
    <w:rsid w:val="4C684A4C"/>
    <w:rsid w:val="4F3408B2"/>
    <w:rsid w:val="4F9155AC"/>
    <w:rsid w:val="50811EF6"/>
    <w:rsid w:val="50C224BD"/>
    <w:rsid w:val="51FE19F0"/>
    <w:rsid w:val="53D55369"/>
    <w:rsid w:val="54251AAE"/>
    <w:rsid w:val="55CC5BE0"/>
    <w:rsid w:val="5620612A"/>
    <w:rsid w:val="56DF00CC"/>
    <w:rsid w:val="57435587"/>
    <w:rsid w:val="59AD7815"/>
    <w:rsid w:val="5B40735B"/>
    <w:rsid w:val="5E180EF9"/>
    <w:rsid w:val="6005546E"/>
    <w:rsid w:val="614063AB"/>
    <w:rsid w:val="624F48C9"/>
    <w:rsid w:val="637D3ABD"/>
    <w:rsid w:val="645A5CBA"/>
    <w:rsid w:val="68BD648E"/>
    <w:rsid w:val="6AE777F8"/>
    <w:rsid w:val="6FF844A3"/>
    <w:rsid w:val="706C6512"/>
    <w:rsid w:val="70D4432F"/>
    <w:rsid w:val="72BA470E"/>
    <w:rsid w:val="7320147F"/>
    <w:rsid w:val="77862177"/>
    <w:rsid w:val="79CB169F"/>
    <w:rsid w:val="7B7501F2"/>
    <w:rsid w:val="7D1D407E"/>
    <w:rsid w:val="7E9006F1"/>
    <w:rsid w:val="7F516799"/>
    <w:rsid w:val="7FBF458A"/>
    <w:rsid w:val="CE7FF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1"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kern w:val="44"/>
      <w:sz w:val="44"/>
    </w:rPr>
  </w:style>
  <w:style w:type="paragraph" w:styleId="4">
    <w:name w:val="heading 2"/>
    <w:basedOn w:val="3"/>
    <w:next w:val="1"/>
    <w:link w:val="33"/>
    <w:semiHidden/>
    <w:unhideWhenUsed/>
    <w:qFormat/>
    <w:uiPriority w:val="0"/>
    <w:pPr>
      <w:spacing w:before="260" w:after="260" w:line="410" w:lineRule="auto"/>
      <w:outlineLvl w:val="1"/>
    </w:pPr>
    <w:rPr>
      <w:rFonts w:ascii="Arial" w:hAnsi="Arial" w:eastAsia="黑体"/>
      <w:sz w:val="32"/>
    </w:rPr>
  </w:style>
  <w:style w:type="paragraph" w:styleId="5">
    <w:name w:val="heading 3"/>
    <w:basedOn w:val="1"/>
    <w:next w:val="1"/>
    <w:link w:val="34"/>
    <w:semiHidden/>
    <w:unhideWhenUsed/>
    <w:qFormat/>
    <w:uiPriority w:val="0"/>
    <w:pPr>
      <w:keepNext/>
      <w:keepLines/>
      <w:numPr>
        <w:ilvl w:val="2"/>
        <w:numId w:val="1"/>
      </w:numPr>
      <w:spacing w:before="260" w:after="260" w:line="412" w:lineRule="auto"/>
      <w:ind w:firstLine="200" w:firstLineChars="200"/>
      <w:outlineLvl w:val="2"/>
    </w:pPr>
    <w:rPr>
      <w:rFonts w:ascii="Times New Roman" w:hAnsi="Times New Roman" w:eastAsia="宋体" w:cs="Times New Roman"/>
      <w:b/>
      <w:bCs/>
      <w:kern w:val="0"/>
      <w:sz w:val="32"/>
      <w:szCs w:val="32"/>
    </w:rPr>
  </w:style>
  <w:style w:type="paragraph" w:styleId="6">
    <w:name w:val="heading 4"/>
    <w:basedOn w:val="1"/>
    <w:next w:val="1"/>
    <w:link w:val="35"/>
    <w:semiHidden/>
    <w:unhideWhenUsed/>
    <w:qFormat/>
    <w:uiPriority w:val="1"/>
    <w:pPr>
      <w:ind w:left="2117" w:hanging="541"/>
      <w:outlineLvl w:val="3"/>
    </w:pPr>
    <w:rPr>
      <w:rFonts w:ascii="微软雅黑" w:hAnsi="微软雅黑" w:eastAsia="微软雅黑" w:cs="微软雅黑"/>
      <w:b/>
      <w:bCs/>
      <w:sz w:val="48"/>
      <w:szCs w:val="48"/>
      <w:lang w:eastAsia="en-US" w:bidi="en-U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38"/>
    <w:unhideWhenUsed/>
    <w:qFormat/>
    <w:uiPriority w:val="99"/>
    <w:pPr>
      <w:tabs>
        <w:tab w:val="center" w:pos="4153"/>
        <w:tab w:val="right" w:pos="8306"/>
      </w:tabs>
      <w:snapToGrid w:val="0"/>
      <w:spacing w:line="360" w:lineRule="auto"/>
      <w:ind w:firstLine="200" w:firstLineChars="200"/>
      <w:jc w:val="left"/>
    </w:pPr>
    <w:rPr>
      <w:rFonts w:ascii="Times New Roman" w:hAnsi="Times New Roman" w:eastAsia="宋体" w:cs="Times New Roman"/>
      <w:sz w:val="18"/>
      <w:szCs w:val="18"/>
    </w:rPr>
  </w:style>
  <w:style w:type="paragraph" w:styleId="7">
    <w:name w:val="Normal Indent"/>
    <w:basedOn w:val="1"/>
    <w:unhideWhenUsed/>
    <w:qFormat/>
    <w:uiPriority w:val="0"/>
    <w:pPr>
      <w:autoSpaceDE w:val="0"/>
      <w:autoSpaceDN w:val="0"/>
      <w:adjustRightInd w:val="0"/>
      <w:snapToGrid w:val="0"/>
      <w:spacing w:line="360" w:lineRule="auto"/>
      <w:ind w:firstLine="480" w:firstLineChars="200"/>
    </w:pPr>
    <w:rPr>
      <w:rFonts w:ascii="宋体" w:hAnsi="Times New Roman" w:eastAsia="宋体" w:cs="Times New Roman"/>
      <w:bCs/>
      <w:color w:val="000000"/>
      <w:kern w:val="0"/>
      <w:sz w:val="24"/>
    </w:rPr>
  </w:style>
  <w:style w:type="paragraph" w:styleId="8">
    <w:name w:val="annotation text"/>
    <w:basedOn w:val="1"/>
    <w:link w:val="36"/>
    <w:unhideWhenUsed/>
    <w:qFormat/>
    <w:uiPriority w:val="0"/>
    <w:pPr>
      <w:jc w:val="left"/>
    </w:pPr>
  </w:style>
  <w:style w:type="paragraph" w:styleId="9">
    <w:name w:val="Body Text"/>
    <w:basedOn w:val="1"/>
    <w:link w:val="39"/>
    <w:unhideWhenUsed/>
    <w:qFormat/>
    <w:uiPriority w:val="1"/>
    <w:rPr>
      <w:rFonts w:ascii="微软雅黑" w:hAnsi="微软雅黑" w:eastAsia="微软雅黑" w:cs="微软雅黑"/>
      <w:sz w:val="32"/>
      <w:szCs w:val="32"/>
      <w:lang w:eastAsia="en-US" w:bidi="en-US"/>
    </w:rPr>
  </w:style>
  <w:style w:type="paragraph" w:styleId="10">
    <w:name w:val="Body Text Indent"/>
    <w:basedOn w:val="1"/>
    <w:semiHidden/>
    <w:unhideWhenUsed/>
    <w:qFormat/>
    <w:uiPriority w:val="99"/>
    <w:pPr>
      <w:spacing w:after="120"/>
      <w:ind w:left="420" w:leftChars="200"/>
    </w:pPr>
  </w:style>
  <w:style w:type="paragraph" w:styleId="11">
    <w:name w:val="Balloon Text"/>
    <w:basedOn w:val="1"/>
    <w:link w:val="42"/>
    <w:unhideWhenUsed/>
    <w:qFormat/>
    <w:uiPriority w:val="0"/>
    <w:rPr>
      <w:sz w:val="18"/>
      <w:szCs w:val="18"/>
    </w:rPr>
  </w:style>
  <w:style w:type="paragraph" w:styleId="12">
    <w:name w:val="header"/>
    <w:basedOn w:val="1"/>
    <w:link w:val="37"/>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eastAsia="宋体" w:cs="Times New Roman"/>
      <w:sz w:val="18"/>
      <w:szCs w:val="18"/>
    </w:rPr>
  </w:style>
  <w:style w:type="paragraph" w:styleId="13">
    <w:name w:val="toc 1"/>
    <w:basedOn w:val="1"/>
    <w:next w:val="1"/>
    <w:unhideWhenUsed/>
    <w:qFormat/>
    <w:uiPriority w:val="0"/>
  </w:style>
  <w:style w:type="paragraph" w:styleId="14">
    <w:name w:val="Body Text Indent 3"/>
    <w:basedOn w:val="1"/>
    <w:link w:val="41"/>
    <w:unhideWhenUsed/>
    <w:qFormat/>
    <w:uiPriority w:val="0"/>
    <w:pPr>
      <w:snapToGrid w:val="0"/>
      <w:spacing w:line="360" w:lineRule="auto"/>
      <w:ind w:firstLine="480" w:firstLineChars="200"/>
    </w:pPr>
    <w:rPr>
      <w:rFonts w:ascii="宋体" w:hAnsi="Times New Roman" w:eastAsia="宋体" w:cs="Times New Roman"/>
      <w:bCs/>
      <w:color w:val="000000"/>
      <w:kern w:val="0"/>
      <w:sz w:val="24"/>
      <w:szCs w:val="32"/>
    </w:rPr>
  </w:style>
  <w:style w:type="paragraph" w:styleId="15">
    <w:name w:val="toc 2"/>
    <w:basedOn w:val="1"/>
    <w:next w:val="1"/>
    <w:unhideWhenUsed/>
    <w:qFormat/>
    <w:uiPriority w:val="0"/>
    <w:pPr>
      <w:ind w:left="420" w:leftChars="200"/>
    </w:pPr>
  </w:style>
  <w:style w:type="paragraph" w:styleId="16">
    <w:name w:val="Body Text 2"/>
    <w:basedOn w:val="1"/>
    <w:link w:val="40"/>
    <w:qFormat/>
    <w:uiPriority w:val="0"/>
    <w:pPr>
      <w:spacing w:after="120" w:line="480" w:lineRule="auto"/>
    </w:pPr>
  </w:style>
  <w:style w:type="paragraph" w:styleId="17">
    <w:name w:val="Normal (Web)"/>
    <w:basedOn w:val="1"/>
    <w:qFormat/>
    <w:uiPriority w:val="0"/>
    <w:pPr>
      <w:jc w:val="left"/>
    </w:pPr>
    <w:rPr>
      <w:rFonts w:ascii="微软雅黑" w:hAnsi="微软雅黑" w:eastAsia="微软雅黑" w:cs="Times New Roman"/>
      <w:kern w:val="0"/>
      <w:sz w:val="24"/>
    </w:rPr>
  </w:style>
  <w:style w:type="paragraph" w:styleId="18">
    <w:name w:val="Body Text First Indent 2"/>
    <w:basedOn w:val="10"/>
    <w:semiHidden/>
    <w:unhideWhenUsed/>
    <w:qFormat/>
    <w:uiPriority w:val="99"/>
    <w:pPr>
      <w:ind w:firstLine="420" w:firstLineChars="2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unhideWhenUsed/>
    <w:qFormat/>
    <w:uiPriority w:val="99"/>
    <w:rPr>
      <w:color w:val="800080"/>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unhideWhenUsed/>
    <w:qFormat/>
    <w:uiPriority w:val="0"/>
  </w:style>
  <w:style w:type="character" w:styleId="27">
    <w:name w:val="Hyperlink"/>
    <w:basedOn w:val="21"/>
    <w:qFormat/>
    <w:uiPriority w:val="99"/>
    <w:rPr>
      <w:color w:val="0000FF"/>
      <w:u w:val="single"/>
    </w:rPr>
  </w:style>
  <w:style w:type="character" w:styleId="28">
    <w:name w:val="HTML Code"/>
    <w:basedOn w:val="21"/>
    <w:unhideWhenUsed/>
    <w:qFormat/>
    <w:uiPriority w:val="0"/>
    <w:rPr>
      <w:rFonts w:hint="default" w:ascii="Courier New" w:hAnsi="Courier New" w:eastAsia="Times New Roman" w:cs="Times New Roman"/>
      <w:sz w:val="24"/>
      <w:szCs w:val="24"/>
    </w:rPr>
  </w:style>
  <w:style w:type="character" w:styleId="29">
    <w:name w:val="annotation reference"/>
    <w:basedOn w:val="21"/>
    <w:unhideWhenUsed/>
    <w:qFormat/>
    <w:uiPriority w:val="0"/>
    <w:rPr>
      <w:sz w:val="21"/>
      <w:szCs w:val="21"/>
    </w:rPr>
  </w:style>
  <w:style w:type="character" w:styleId="30">
    <w:name w:val="HTML Cite"/>
    <w:basedOn w:val="21"/>
    <w:qFormat/>
    <w:uiPriority w:val="0"/>
  </w:style>
  <w:style w:type="paragraph" w:styleId="31">
    <w:name w:val="No Spacing"/>
    <w:qFormat/>
    <w:uiPriority w:val="0"/>
    <w:pPr>
      <w:widowControl w:val="0"/>
      <w:spacing w:line="300" w:lineRule="auto"/>
      <w:jc w:val="center"/>
    </w:pPr>
    <w:rPr>
      <w:rFonts w:ascii="Times New Roman" w:hAnsi="Times New Roman" w:eastAsia="宋体" w:cs="Times New Roman"/>
      <w:kern w:val="2"/>
      <w:sz w:val="21"/>
      <w:lang w:val="en-US" w:eastAsia="zh-CN" w:bidi="ar-SA"/>
    </w:rPr>
  </w:style>
  <w:style w:type="character" w:customStyle="1" w:styleId="32">
    <w:name w:val="标题 1 Char"/>
    <w:basedOn w:val="21"/>
    <w:link w:val="3"/>
    <w:qFormat/>
    <w:uiPriority w:val="0"/>
    <w:rPr>
      <w:b/>
      <w:kern w:val="44"/>
      <w:sz w:val="44"/>
      <w:szCs w:val="24"/>
    </w:rPr>
  </w:style>
  <w:style w:type="character" w:customStyle="1" w:styleId="33">
    <w:name w:val="标题 2 Char"/>
    <w:basedOn w:val="21"/>
    <w:link w:val="4"/>
    <w:semiHidden/>
    <w:qFormat/>
    <w:uiPriority w:val="0"/>
    <w:rPr>
      <w:rFonts w:ascii="Arial" w:hAnsi="Arial" w:eastAsia="黑体"/>
      <w:b/>
      <w:kern w:val="44"/>
      <w:sz w:val="32"/>
      <w:szCs w:val="24"/>
    </w:rPr>
  </w:style>
  <w:style w:type="character" w:customStyle="1" w:styleId="34">
    <w:name w:val="标题 3 Char"/>
    <w:basedOn w:val="21"/>
    <w:link w:val="5"/>
    <w:semiHidden/>
    <w:qFormat/>
    <w:uiPriority w:val="0"/>
    <w:rPr>
      <w:rFonts w:ascii="Times New Roman" w:hAnsi="Times New Roman" w:eastAsia="宋体" w:cs="Times New Roman"/>
      <w:b/>
      <w:bCs/>
      <w:sz w:val="32"/>
      <w:szCs w:val="32"/>
    </w:rPr>
  </w:style>
  <w:style w:type="character" w:customStyle="1" w:styleId="35">
    <w:name w:val="标题 4 Char"/>
    <w:basedOn w:val="21"/>
    <w:link w:val="6"/>
    <w:semiHidden/>
    <w:qFormat/>
    <w:uiPriority w:val="1"/>
    <w:rPr>
      <w:rFonts w:ascii="微软雅黑" w:hAnsi="微软雅黑" w:eastAsia="微软雅黑" w:cs="微软雅黑"/>
      <w:b/>
      <w:bCs/>
      <w:kern w:val="2"/>
      <w:sz w:val="48"/>
      <w:szCs w:val="48"/>
      <w:lang w:eastAsia="en-US" w:bidi="en-US"/>
    </w:rPr>
  </w:style>
  <w:style w:type="character" w:customStyle="1" w:styleId="36">
    <w:name w:val="批注文字 Char"/>
    <w:basedOn w:val="21"/>
    <w:link w:val="8"/>
    <w:qFormat/>
    <w:uiPriority w:val="0"/>
    <w:rPr>
      <w:kern w:val="2"/>
      <w:sz w:val="21"/>
      <w:szCs w:val="24"/>
    </w:rPr>
  </w:style>
  <w:style w:type="character" w:customStyle="1" w:styleId="37">
    <w:name w:val="页眉 Char"/>
    <w:basedOn w:val="21"/>
    <w:link w:val="12"/>
    <w:qFormat/>
    <w:uiPriority w:val="99"/>
    <w:rPr>
      <w:rFonts w:ascii="Times New Roman" w:hAnsi="Times New Roman" w:eastAsia="宋体" w:cs="Times New Roman"/>
      <w:kern w:val="2"/>
      <w:sz w:val="18"/>
      <w:szCs w:val="18"/>
    </w:rPr>
  </w:style>
  <w:style w:type="character" w:customStyle="1" w:styleId="38">
    <w:name w:val="页脚 Char"/>
    <w:basedOn w:val="21"/>
    <w:link w:val="2"/>
    <w:qFormat/>
    <w:uiPriority w:val="99"/>
    <w:rPr>
      <w:rFonts w:ascii="Times New Roman" w:hAnsi="Times New Roman" w:eastAsia="宋体" w:cs="Times New Roman"/>
      <w:kern w:val="2"/>
      <w:sz w:val="18"/>
      <w:szCs w:val="18"/>
    </w:rPr>
  </w:style>
  <w:style w:type="character" w:customStyle="1" w:styleId="39">
    <w:name w:val="正文文本 Char"/>
    <w:basedOn w:val="21"/>
    <w:link w:val="9"/>
    <w:qFormat/>
    <w:uiPriority w:val="1"/>
    <w:rPr>
      <w:rFonts w:ascii="微软雅黑" w:hAnsi="微软雅黑" w:eastAsia="微软雅黑" w:cs="微软雅黑"/>
      <w:kern w:val="2"/>
      <w:sz w:val="32"/>
      <w:szCs w:val="32"/>
      <w:lang w:eastAsia="en-US" w:bidi="en-US"/>
    </w:rPr>
  </w:style>
  <w:style w:type="character" w:customStyle="1" w:styleId="40">
    <w:name w:val="正文文本 2 Char"/>
    <w:basedOn w:val="21"/>
    <w:link w:val="16"/>
    <w:qFormat/>
    <w:uiPriority w:val="0"/>
    <w:rPr>
      <w:kern w:val="2"/>
      <w:sz w:val="21"/>
      <w:szCs w:val="24"/>
    </w:rPr>
  </w:style>
  <w:style w:type="character" w:customStyle="1" w:styleId="41">
    <w:name w:val="正文文本缩进 3 Char"/>
    <w:basedOn w:val="21"/>
    <w:link w:val="14"/>
    <w:qFormat/>
    <w:uiPriority w:val="0"/>
    <w:rPr>
      <w:rFonts w:ascii="宋体" w:hAnsi="Times New Roman" w:eastAsia="宋体" w:cs="Times New Roman"/>
      <w:bCs/>
      <w:color w:val="000000"/>
      <w:sz w:val="24"/>
      <w:szCs w:val="32"/>
    </w:rPr>
  </w:style>
  <w:style w:type="character" w:customStyle="1" w:styleId="42">
    <w:name w:val="批注框文本 Char"/>
    <w:basedOn w:val="21"/>
    <w:link w:val="11"/>
    <w:qFormat/>
    <w:uiPriority w:val="0"/>
    <w:rPr>
      <w:kern w:val="2"/>
      <w:sz w:val="18"/>
      <w:szCs w:val="18"/>
    </w:rPr>
  </w:style>
  <w:style w:type="paragraph" w:customStyle="1" w:styleId="43">
    <w:name w:val="标准正文"/>
    <w:basedOn w:val="1"/>
    <w:qFormat/>
    <w:uiPriority w:val="0"/>
    <w:pPr>
      <w:spacing w:beforeLines="50" w:line="360" w:lineRule="auto"/>
      <w:ind w:firstLine="200" w:firstLineChars="200"/>
    </w:pPr>
    <w:rPr>
      <w:rFonts w:ascii="Times New Roman" w:hAnsi="Times New Roman" w:eastAsia="宋体" w:cs="Times New Roman"/>
      <w:sz w:val="24"/>
      <w:szCs w:val="20"/>
    </w:rPr>
  </w:style>
  <w:style w:type="paragraph" w:customStyle="1" w:styleId="44">
    <w:name w:val="Default"/>
    <w:qFormat/>
    <w:uiPriority w:val="0"/>
    <w:pPr>
      <w:widowControl w:val="0"/>
      <w:autoSpaceDE w:val="0"/>
      <w:autoSpaceDN w:val="0"/>
      <w:adjustRightInd w:val="0"/>
    </w:pPr>
    <w:rPr>
      <w:rFonts w:ascii="微软雅黑" w:hAnsi="微软雅黑" w:eastAsia="微软雅黑" w:cstheme="minorBidi"/>
      <w:color w:val="000000"/>
      <w:sz w:val="24"/>
      <w:lang w:val="en-US" w:eastAsia="zh-CN" w:bidi="ar-SA"/>
    </w:rPr>
  </w:style>
  <w:style w:type="paragraph" w:customStyle="1" w:styleId="45">
    <w:name w:val="WPSOffice手动目录 1"/>
    <w:qFormat/>
    <w:uiPriority w:val="0"/>
    <w:rPr>
      <w:rFonts w:asciiTheme="minorHAnsi" w:hAnsiTheme="minorHAnsi" w:eastAsiaTheme="minorHAnsi" w:cstheme="minorBidi"/>
      <w:lang w:val="en-US" w:eastAsia="zh-CN" w:bidi="ar-SA"/>
    </w:rPr>
  </w:style>
  <w:style w:type="paragraph" w:customStyle="1" w:styleId="46">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47">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48">
    <w:name w:val="表格"/>
    <w:basedOn w:val="1"/>
    <w:qFormat/>
    <w:uiPriority w:val="0"/>
    <w:pPr>
      <w:widowControl/>
      <w:spacing w:line="312" w:lineRule="exact"/>
      <w:jc w:val="center"/>
    </w:pPr>
    <w:rPr>
      <w:rFonts w:ascii="仿宋" w:hAnsi="仿宋" w:eastAsia="仿宋"/>
      <w:szCs w:val="21"/>
    </w:rPr>
  </w:style>
  <w:style w:type="paragraph" w:customStyle="1" w:styleId="49">
    <w:name w:val="样式 黑体 左侧:  0.99 厘米 首行缩进:  0 字符"/>
    <w:basedOn w:val="1"/>
    <w:qFormat/>
    <w:uiPriority w:val="99"/>
    <w:pPr>
      <w:ind w:left="560" w:firstLine="200" w:firstLineChars="200"/>
    </w:pPr>
    <w:rPr>
      <w:rFonts w:ascii="黑体" w:hAnsi="黑体" w:eastAsia="黑体" w:cs="宋体"/>
      <w:sz w:val="28"/>
      <w:szCs w:val="20"/>
    </w:rPr>
  </w:style>
  <w:style w:type="paragraph" w:customStyle="1" w:styleId="50">
    <w:name w:val="Table Paragraph"/>
    <w:basedOn w:val="1"/>
    <w:qFormat/>
    <w:uiPriority w:val="1"/>
    <w:pPr>
      <w:jc w:val="center"/>
    </w:pPr>
    <w:rPr>
      <w:rFonts w:ascii="微软雅黑" w:hAnsi="微软雅黑" w:eastAsia="微软雅黑" w:cs="微软雅黑"/>
      <w:lang w:eastAsia="en-US" w:bidi="en-US"/>
    </w:rPr>
  </w:style>
  <w:style w:type="paragraph" w:customStyle="1" w:styleId="51">
    <w:name w:val="表格样式"/>
    <w:basedOn w:val="1"/>
    <w:qFormat/>
    <w:uiPriority w:val="0"/>
    <w:pPr>
      <w:adjustRightInd w:val="0"/>
      <w:jc w:val="center"/>
    </w:pPr>
  </w:style>
  <w:style w:type="paragraph" w:customStyle="1" w:styleId="52">
    <w:name w:val="表格文字"/>
    <w:basedOn w:val="1"/>
    <w:qFormat/>
    <w:uiPriority w:val="0"/>
    <w:pPr>
      <w:spacing w:line="0" w:lineRule="atLeast"/>
      <w:jc w:val="center"/>
    </w:pPr>
    <w:rPr>
      <w:szCs w:val="20"/>
    </w:rPr>
  </w:style>
  <w:style w:type="paragraph" w:customStyle="1" w:styleId="53">
    <w:name w:val="标题2"/>
    <w:basedOn w:val="4"/>
    <w:next w:val="7"/>
    <w:qFormat/>
    <w:uiPriority w:val="0"/>
    <w:pPr>
      <w:tabs>
        <w:tab w:val="left" w:pos="635"/>
      </w:tabs>
      <w:spacing w:before="0" w:after="0" w:line="360" w:lineRule="auto"/>
      <w:ind w:left="602" w:hanging="602" w:hangingChars="200"/>
    </w:pPr>
    <w:rPr>
      <w:rFonts w:ascii="宋体" w:hAnsi="Times New Roman" w:eastAsia="宋体"/>
      <w:color w:val="000000"/>
      <w:kern w:val="0"/>
      <w:sz w:val="30"/>
      <w:szCs w:val="30"/>
    </w:rPr>
  </w:style>
  <w:style w:type="paragraph" w:customStyle="1" w:styleId="54">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6">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5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58">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5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Light" w:hAnsi="等线 Light" w:eastAsia="等线 Light" w:cs="宋体"/>
      <w:color w:val="000000"/>
      <w:kern w:val="0"/>
      <w:sz w:val="24"/>
    </w:rPr>
  </w:style>
  <w:style w:type="paragraph" w:customStyle="1" w:styleId="64">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Light" w:hAnsi="等线 Light" w:eastAsia="等线 Light" w:cs="宋体"/>
      <w:kern w:val="0"/>
      <w:sz w:val="24"/>
    </w:rPr>
  </w:style>
  <w:style w:type="paragraph" w:customStyle="1" w:styleId="65">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6">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0">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rPr>
  </w:style>
  <w:style w:type="paragraph" w:customStyle="1" w:styleId="71">
    <w:name w:val="xl8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72">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7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4">
    <w:name w:val="xl8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等线 Light" w:hAnsi="等线 Light" w:eastAsia="等线 Light" w:cs="宋体"/>
      <w:kern w:val="0"/>
      <w:sz w:val="24"/>
    </w:rPr>
  </w:style>
  <w:style w:type="paragraph" w:customStyle="1" w:styleId="7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Light" w:hAnsi="等线 Light" w:eastAsia="等线 Light" w:cs="宋体"/>
      <w:kern w:val="0"/>
      <w:sz w:val="24"/>
    </w:rPr>
  </w:style>
  <w:style w:type="paragraph" w:customStyle="1" w:styleId="76">
    <w:name w:val="xl88"/>
    <w:basedOn w:val="1"/>
    <w:qFormat/>
    <w:uiPriority w:val="0"/>
    <w:pPr>
      <w:widowControl/>
      <w:pBdr>
        <w:top w:val="single" w:color="auto" w:sz="4" w:space="0"/>
      </w:pBdr>
      <w:shd w:val="clear" w:color="auto" w:fill="FFFFFF"/>
      <w:spacing w:before="100" w:beforeAutospacing="1" w:after="100" w:afterAutospacing="1"/>
      <w:jc w:val="center"/>
    </w:pPr>
    <w:rPr>
      <w:rFonts w:ascii="等线 Light" w:hAnsi="等线 Light" w:eastAsia="等线 Light" w:cs="宋体"/>
      <w:kern w:val="0"/>
      <w:sz w:val="24"/>
    </w:rPr>
  </w:style>
  <w:style w:type="paragraph" w:customStyle="1" w:styleId="77">
    <w:name w:val="xl8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rPr>
  </w:style>
  <w:style w:type="paragraph" w:customStyle="1" w:styleId="78">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rPr>
  </w:style>
  <w:style w:type="paragraph" w:customStyle="1" w:styleId="79">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80">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4"/>
    </w:rPr>
  </w:style>
  <w:style w:type="paragraph" w:customStyle="1" w:styleId="8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8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87">
    <w:name w:val="font51"/>
    <w:basedOn w:val="21"/>
    <w:qFormat/>
    <w:uiPriority w:val="0"/>
    <w:rPr>
      <w:rFonts w:hint="eastAsia" w:ascii="宋体" w:hAnsi="宋体" w:eastAsia="宋体" w:cs="宋体"/>
      <w:color w:val="000000"/>
      <w:sz w:val="21"/>
      <w:szCs w:val="21"/>
      <w:u w:val="none"/>
    </w:rPr>
  </w:style>
  <w:style w:type="character" w:customStyle="1" w:styleId="88">
    <w:name w:val="font61"/>
    <w:basedOn w:val="21"/>
    <w:qFormat/>
    <w:uiPriority w:val="0"/>
    <w:rPr>
      <w:rFonts w:hint="default" w:ascii="Times New Roman" w:hAnsi="Times New Roman" w:cs="Times New Roman"/>
      <w:color w:val="000000"/>
      <w:sz w:val="21"/>
      <w:szCs w:val="21"/>
      <w:u w:val="none"/>
    </w:rPr>
  </w:style>
  <w:style w:type="character" w:customStyle="1" w:styleId="89">
    <w:name w:val="font21"/>
    <w:basedOn w:val="21"/>
    <w:qFormat/>
    <w:uiPriority w:val="0"/>
    <w:rPr>
      <w:rFonts w:hint="eastAsia" w:ascii="宋体" w:hAnsi="宋体" w:eastAsia="宋体" w:cs="宋体"/>
      <w:color w:val="FF0000"/>
      <w:sz w:val="21"/>
      <w:szCs w:val="21"/>
      <w:u w:val="none"/>
    </w:rPr>
  </w:style>
  <w:style w:type="character" w:customStyle="1" w:styleId="90">
    <w:name w:val="font41"/>
    <w:basedOn w:val="21"/>
    <w:qFormat/>
    <w:uiPriority w:val="0"/>
    <w:rPr>
      <w:rFonts w:hint="default" w:ascii="Times New Roman" w:hAnsi="Times New Roman" w:cs="Times New Roman"/>
      <w:color w:val="FF0000"/>
      <w:sz w:val="21"/>
      <w:szCs w:val="21"/>
      <w:u w:val="none"/>
    </w:rPr>
  </w:style>
  <w:style w:type="character" w:customStyle="1" w:styleId="91">
    <w:name w:val="font11"/>
    <w:basedOn w:val="21"/>
    <w:qFormat/>
    <w:uiPriority w:val="0"/>
    <w:rPr>
      <w:rFonts w:hint="default" w:ascii="Times New Roman" w:hAnsi="Times New Roman" w:cs="Times New Roman"/>
      <w:color w:val="000000"/>
      <w:sz w:val="21"/>
      <w:szCs w:val="21"/>
      <w:u w:val="none"/>
    </w:rPr>
  </w:style>
  <w:style w:type="character" w:customStyle="1" w:styleId="92">
    <w:name w:val="font31"/>
    <w:basedOn w:val="21"/>
    <w:qFormat/>
    <w:uiPriority w:val="0"/>
    <w:rPr>
      <w:rFonts w:hint="eastAsia" w:ascii="宋体" w:hAnsi="宋体" w:eastAsia="宋体" w:cs="宋体"/>
      <w:color w:val="000000"/>
      <w:sz w:val="21"/>
      <w:szCs w:val="21"/>
      <w:u w:val="none"/>
    </w:rPr>
  </w:style>
  <w:style w:type="paragraph" w:styleId="93">
    <w:name w:val="List Paragraph"/>
    <w:basedOn w:val="1"/>
    <w:qFormat/>
    <w:uiPriority w:val="0"/>
    <w:pPr>
      <w:ind w:firstLine="420" w:firstLineChars="200"/>
    </w:pPr>
    <w:rPr>
      <w:rFonts w:ascii="Calibri" w:hAnsi="Calibri"/>
      <w:szCs w:val="22"/>
    </w:rPr>
  </w:style>
  <w:style w:type="character" w:customStyle="1" w:styleId="94">
    <w:name w:val="font71"/>
    <w:basedOn w:val="21"/>
    <w:qFormat/>
    <w:uiPriority w:val="0"/>
    <w:rPr>
      <w:rFonts w:hint="eastAsia" w:ascii="仿宋" w:hAnsi="仿宋" w:eastAsia="仿宋" w:cs="仿宋"/>
      <w:color w:val="000000"/>
      <w:sz w:val="24"/>
      <w:szCs w:val="24"/>
      <w:u w:val="none"/>
    </w:rPr>
  </w:style>
  <w:style w:type="paragraph" w:customStyle="1" w:styleId="95">
    <w:name w:val="CM8"/>
    <w:basedOn w:val="44"/>
    <w:next w:val="44"/>
    <w:qFormat/>
    <w:uiPriority w:val="99"/>
    <w:pPr>
      <w:spacing w:line="580" w:lineRule="atLeast"/>
    </w:pPr>
    <w:rPr>
      <w:rFonts w:ascii="方正小标宋简体" w:eastAsia="方正小标宋简体" w:cs="Times New Roman" w:hAnsiTheme="minorHAnsi"/>
      <w:color w:val="auto"/>
      <w:szCs w:val="24"/>
    </w:rPr>
  </w:style>
  <w:style w:type="paragraph" w:customStyle="1" w:styleId="9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98">
    <w:name w:val="xl65"/>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9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10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1371</Words>
  <Characters>7820</Characters>
  <Lines>65</Lines>
  <Paragraphs>18</Paragraphs>
  <TotalTime>8</TotalTime>
  <ScaleCrop>false</ScaleCrop>
  <LinksUpToDate>false</LinksUpToDate>
  <CharactersWithSpaces>9173</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2023-10-18T18:47:00Z</dcterms:created>
  <dc:creator>由步</dc:creator>
  <cp:lastModifiedBy>user</cp:lastModifiedBy>
  <cp:lastPrinted>2023-10-16T22:12:00Z</cp:lastPrinted>
  <dcterms:modified xsi:type="dcterms:W3CDTF">2023-10-27T10:12:00Z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4053122C850044B287C1818957A93FBA_13</vt:lpwstr>
  </property>
</Properties>
</file>