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《房山区加强科技创新引领高质量发展的支持办法（</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的起草说明</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default" w:ascii="方正小标宋_GBK" w:hAnsi="方正小标宋_GBK" w:eastAsia="方正小标宋_GBK" w:cs="方正小标宋_GBK"/>
          <w:sz w:val="44"/>
          <w:szCs w:val="44"/>
          <w:lang w:val="en-US" w:eastAsia="zh-CN"/>
        </w:rPr>
      </w:pPr>
    </w:p>
    <w:p>
      <w:pPr>
        <w:pStyle w:val="16"/>
        <w:keepNext w:val="0"/>
        <w:keepLines w:val="0"/>
        <w:pageBreakBefore w:val="0"/>
        <w:widowControl/>
        <w:numPr>
          <w:ilvl w:val="0"/>
          <w:numId w:val="0"/>
        </w:numPr>
        <w:kinsoku/>
        <w:wordWrap/>
        <w:overflowPunct/>
        <w:topLinePunct w:val="0"/>
        <w:autoSpaceDE/>
        <w:autoSpaceDN/>
        <w:bidi w:val="0"/>
        <w:spacing w:line="560" w:lineRule="exact"/>
        <w:ind w:left="641" w:right="0" w:rightChars="0"/>
        <w:jc w:val="left"/>
        <w:textAlignment w:val="auto"/>
        <w:outlineLvl w:val="0"/>
        <w:rPr>
          <w:rFonts w:hint="default" w:ascii="黑体" w:eastAsia="黑体"/>
          <w:sz w:val="32"/>
          <w:szCs w:val="32"/>
          <w:lang w:val="en-US" w:eastAsia="zh-CN"/>
        </w:rPr>
      </w:pPr>
      <w:r>
        <w:rPr>
          <w:rFonts w:hint="eastAsia" w:ascii="黑体" w:eastAsia="黑体"/>
          <w:sz w:val="32"/>
          <w:szCs w:val="32"/>
          <w:lang w:val="en-US" w:eastAsia="zh-CN"/>
        </w:rPr>
        <w:t>一、办法制定背景和意义</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黑体" w:eastAsia="仿宋_GB2312"/>
          <w:color w:val="auto"/>
          <w:sz w:val="32"/>
          <w:szCs w:val="32"/>
          <w:lang w:val="en-US" w:eastAsia="zh-CN"/>
        </w:rPr>
        <w:t>一是</w:t>
      </w:r>
      <w:r>
        <w:rPr>
          <w:rFonts w:hint="eastAsia" w:ascii="仿宋_GB2312" w:hAnsi="黑体" w:eastAsia="仿宋_GB2312"/>
          <w:b/>
          <w:bCs/>
          <w:color w:val="auto"/>
          <w:sz w:val="32"/>
          <w:szCs w:val="32"/>
          <w:lang w:val="en-US" w:eastAsia="zh-CN"/>
        </w:rPr>
        <w:t>我区科技创新资源要素充分释放的内在诉求</w:t>
      </w:r>
      <w:r>
        <w:rPr>
          <w:rFonts w:hint="eastAsia" w:ascii="仿宋_GB2312" w:hAnsi="黑体" w:eastAsia="仿宋_GB2312"/>
          <w:color w:val="auto"/>
          <w:sz w:val="32"/>
          <w:szCs w:val="32"/>
          <w:lang w:val="en-US" w:eastAsia="zh-CN"/>
        </w:rPr>
        <w:t>。目前，我区已是全市重要科教资源</w:t>
      </w:r>
      <w:r>
        <w:rPr>
          <w:rFonts w:hint="default" w:ascii="仿宋_GB2312" w:hAnsi="黑体" w:eastAsia="仿宋_GB2312"/>
          <w:color w:val="auto"/>
          <w:sz w:val="32"/>
          <w:szCs w:val="32"/>
          <w:lang w:val="en-US" w:eastAsia="zh-CN"/>
        </w:rPr>
        <w:t>集聚</w:t>
      </w:r>
      <w:r>
        <w:rPr>
          <w:rFonts w:hint="eastAsia" w:ascii="仿宋_GB2312" w:hAnsi="黑体" w:eastAsia="仿宋_GB2312"/>
          <w:color w:val="auto"/>
          <w:sz w:val="32"/>
          <w:szCs w:val="32"/>
          <w:lang w:val="en-US" w:eastAsia="zh-CN"/>
        </w:rPr>
        <w:t>地，但科技创新水平与全市平均水平还有很多差距，</w:t>
      </w:r>
      <w:r>
        <w:rPr>
          <w:rFonts w:hint="eastAsia" w:ascii="仿宋_GB2312" w:hAnsi="仿宋_GB2312" w:eastAsia="仿宋_GB2312" w:cs="仿宋_GB2312"/>
          <w:color w:val="auto"/>
          <w:sz w:val="32"/>
          <w:szCs w:val="32"/>
          <w:lang w:val="en-US" w:eastAsia="zh-CN"/>
        </w:rPr>
        <w:t>全社会科研</w:t>
      </w:r>
      <w:r>
        <w:rPr>
          <w:rFonts w:hint="eastAsia" w:ascii="仿宋_GB2312" w:hAnsi="仿宋_GB2312" w:eastAsia="仿宋_GB2312" w:cs="仿宋_GB2312"/>
          <w:color w:val="auto"/>
          <w:sz w:val="32"/>
          <w:szCs w:val="32"/>
        </w:rPr>
        <w:t>经费投入强度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R&amp;D</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不足全市的1/5，</w:t>
      </w:r>
      <w:r>
        <w:rPr>
          <w:rFonts w:hint="eastAsia" w:ascii="仿宋_GB2312" w:hAnsi="仿宋_GB2312" w:eastAsia="仿宋_GB2312" w:cs="仿宋_GB2312"/>
          <w:color w:val="auto"/>
          <w:sz w:val="32"/>
          <w:szCs w:val="32"/>
        </w:rPr>
        <w:t>全区国家高新技术企业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技术合同成交额</w:t>
      </w:r>
      <w:r>
        <w:rPr>
          <w:rFonts w:hint="eastAsia" w:ascii="仿宋_GB2312" w:hAnsi="仿宋_GB2312" w:eastAsia="仿宋_GB2312" w:cs="仿宋_GB2312"/>
          <w:color w:val="auto"/>
          <w:sz w:val="32"/>
          <w:szCs w:val="32"/>
          <w:lang w:val="en-US" w:eastAsia="zh-CN"/>
        </w:rPr>
        <w:t>均在</w:t>
      </w:r>
      <w:r>
        <w:rPr>
          <w:rFonts w:hint="eastAsia" w:ascii="仿宋_GB2312" w:hAnsi="仿宋_GB2312" w:eastAsia="仿宋_GB2312" w:cs="仿宋_GB2312"/>
          <w:color w:val="auto"/>
          <w:sz w:val="32"/>
          <w:szCs w:val="32"/>
        </w:rPr>
        <w:t>五个发展新区中排名末位。</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color w:val="auto"/>
          <w:sz w:val="32"/>
          <w:szCs w:val="32"/>
        </w:rPr>
        <w:t>我区</w:t>
      </w:r>
      <w:r>
        <w:rPr>
          <w:rFonts w:hint="eastAsia" w:ascii="仿宋_GB2312" w:hAnsi="黑体" w:eastAsia="仿宋_GB2312"/>
          <w:color w:val="auto"/>
          <w:sz w:val="32"/>
          <w:szCs w:val="32"/>
          <w:lang w:val="en-US" w:eastAsia="zh-CN"/>
        </w:rPr>
        <w:t>创新生态体系尚未健全,</w:t>
      </w:r>
      <w:r>
        <w:rPr>
          <w:rFonts w:hint="eastAsia" w:ascii="仿宋_GB2312" w:hAnsi="仿宋_GB2312" w:eastAsia="仿宋_GB2312" w:cs="仿宋_GB2312"/>
          <w:color w:val="auto"/>
          <w:sz w:val="32"/>
          <w:szCs w:val="32"/>
        </w:rPr>
        <w:t>没有国家级产业技术平台和共性</w:t>
      </w:r>
      <w:r>
        <w:rPr>
          <w:rFonts w:hint="eastAsia" w:ascii="仿宋_GB2312" w:hAnsi="仿宋_GB2312" w:eastAsia="仿宋_GB2312" w:cs="仿宋_GB2312"/>
          <w:color w:val="auto"/>
          <w:sz w:val="32"/>
          <w:szCs w:val="32"/>
          <w:lang w:val="en-US" w:eastAsia="zh-CN"/>
        </w:rPr>
        <w:t>技术平台。因此，应有促进各类创新资源要素潜力释放的科技创新支持政策，助力创新主体活力激发、科技成果转化、创新生态优化等，加快提升我区自主创新能力，促进区域经济社会高质量发展。</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黑体" w:eastAsia="仿宋_GB2312"/>
          <w:b/>
          <w:bCs/>
          <w:color w:val="auto"/>
          <w:sz w:val="32"/>
          <w:szCs w:val="32"/>
          <w:lang w:val="en-US" w:eastAsia="zh-CN"/>
        </w:rPr>
        <w:t>二是在五个发展新区中增强竞争优势的客观要求。</w:t>
      </w:r>
      <w:r>
        <w:rPr>
          <w:rFonts w:hint="eastAsia" w:ascii="仿宋_GB2312" w:hAnsi="仿宋_GB2312" w:eastAsia="仿宋_GB2312" w:cs="仿宋_GB2312"/>
          <w:color w:val="auto"/>
          <w:sz w:val="32"/>
          <w:szCs w:val="32"/>
          <w:lang w:val="en-US" w:eastAsia="zh-CN"/>
        </w:rPr>
        <w:t>近两年，其它四个发展新区均重新制定并出台了科技创新支持政策。2022年，通州区发布了加强科技创新引领高质量发展支持办法，顺义区颁布了促进创新发展加快推进北京国际科技创新中心建设若干措施，</w:t>
      </w:r>
      <w:r>
        <w:rPr>
          <w:rFonts w:hint="default" w:ascii="仿宋_GB2312" w:hAnsi="仿宋_GB2312" w:eastAsia="仿宋_GB2312" w:cs="仿宋_GB2312"/>
          <w:color w:val="auto"/>
          <w:sz w:val="32"/>
          <w:szCs w:val="32"/>
          <w:lang w:val="en-US" w:eastAsia="zh-CN"/>
        </w:rPr>
        <w:t>昌平区</w:t>
      </w:r>
      <w:r>
        <w:rPr>
          <w:rFonts w:hint="eastAsia" w:ascii="仿宋_GB2312" w:hAnsi="仿宋_GB2312" w:eastAsia="仿宋_GB2312" w:cs="仿宋_GB2312"/>
          <w:color w:val="auto"/>
          <w:sz w:val="32"/>
          <w:szCs w:val="32"/>
          <w:lang w:val="en-US" w:eastAsia="zh-CN"/>
        </w:rPr>
        <w:t>出台了</w:t>
      </w:r>
      <w:r>
        <w:rPr>
          <w:rFonts w:hint="default" w:ascii="仿宋_GB2312" w:hAnsi="仿宋_GB2312" w:eastAsia="仿宋_GB2312" w:cs="仿宋_GB2312"/>
          <w:color w:val="auto"/>
          <w:sz w:val="32"/>
          <w:szCs w:val="32"/>
          <w:lang w:val="en-US" w:eastAsia="zh-CN"/>
        </w:rPr>
        <w:t>科技创新支持政策</w:t>
      </w:r>
      <w:r>
        <w:rPr>
          <w:rFonts w:hint="eastAsia" w:ascii="仿宋_GB2312" w:hAnsi="仿宋_GB2312" w:eastAsia="仿宋_GB2312" w:cs="仿宋_GB2312"/>
          <w:color w:val="auto"/>
          <w:sz w:val="32"/>
          <w:szCs w:val="32"/>
          <w:lang w:val="en-US" w:eastAsia="zh-CN"/>
        </w:rPr>
        <w:t>；2023年，大兴区制定了促进科技创新发展的若干措施。总体上，四个发展新区科技创新政策更加突出重点，支持内容更加聚焦，支持力度更大。我们区高精尖实施意见中的科技创新政策仍采用十年前的支持标准，与现实需求不匹配，亟待优化提升，以提升我区在发展新区中的综合竞争力。</w:t>
      </w:r>
    </w:p>
    <w:p>
      <w:pPr>
        <w:pStyle w:val="16"/>
        <w:keepNext w:val="0"/>
        <w:keepLines w:val="0"/>
        <w:pageBreakBefore w:val="0"/>
        <w:widowControl/>
        <w:numPr>
          <w:ilvl w:val="0"/>
          <w:numId w:val="1"/>
        </w:numPr>
        <w:kinsoku/>
        <w:wordWrap/>
        <w:overflowPunct/>
        <w:topLinePunct w:val="0"/>
        <w:autoSpaceDE/>
        <w:autoSpaceDN/>
        <w:bidi w:val="0"/>
        <w:adjustRightInd/>
        <w:snapToGrid/>
        <w:spacing w:line="560" w:lineRule="exact"/>
        <w:ind w:right="0" w:rightChars="0" w:firstLine="640" w:firstLineChars="200"/>
        <w:jc w:val="left"/>
        <w:textAlignment w:val="auto"/>
        <w:outlineLvl w:val="0"/>
        <w:rPr>
          <w:rFonts w:hint="eastAsia" w:ascii="黑体" w:eastAsia="黑体"/>
          <w:sz w:val="32"/>
          <w:szCs w:val="32"/>
          <w:lang w:val="en-US" w:eastAsia="zh-CN"/>
        </w:rPr>
      </w:pPr>
      <w:r>
        <w:rPr>
          <w:rFonts w:hint="eastAsia" w:ascii="黑体" w:eastAsia="黑体"/>
          <w:sz w:val="32"/>
          <w:szCs w:val="32"/>
          <w:lang w:val="en-US" w:eastAsia="zh-CN"/>
        </w:rPr>
        <w:t>主要内容</w:t>
      </w:r>
    </w:p>
    <w:p>
      <w:pPr>
        <w:pStyle w:val="16"/>
        <w:keepNext w:val="0"/>
        <w:keepLines w:val="0"/>
        <w:pageBreakBefore w:val="0"/>
        <w:widowControl/>
        <w:numPr>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0"/>
        <w:rPr>
          <w:rFonts w:hint="eastAsia" w:ascii="黑体" w:eastAsia="黑体"/>
          <w:sz w:val="32"/>
          <w:szCs w:val="32"/>
        </w:rPr>
      </w:pPr>
      <w:r>
        <w:rPr>
          <w:rFonts w:hint="eastAsia" w:ascii="仿宋_GB2312" w:hAnsi="仿宋_GB2312" w:eastAsia="仿宋_GB2312" w:cs="仿宋_GB2312"/>
          <w:color w:val="auto"/>
          <w:kern w:val="2"/>
          <w:sz w:val="32"/>
          <w:szCs w:val="32"/>
          <w:lang w:val="en-US" w:eastAsia="zh-CN" w:bidi="ar-SA"/>
        </w:rPr>
        <w:t>为了持续发挥《房山区关于支持构建高精尖经济结构的实施意见（修订）》（房政办发【2022】2号）</w:t>
      </w:r>
      <w:bookmarkStart w:id="0" w:name="_GoBack"/>
      <w:bookmarkEnd w:id="0"/>
      <w:r>
        <w:rPr>
          <w:rFonts w:hint="eastAsia" w:ascii="仿宋_GB2312" w:hAnsi="仿宋_GB2312" w:eastAsia="仿宋_GB2312" w:cs="仿宋_GB2312"/>
          <w:color w:val="auto"/>
          <w:kern w:val="2"/>
          <w:sz w:val="32"/>
          <w:szCs w:val="32"/>
          <w:lang w:val="en-US" w:eastAsia="zh-CN" w:bidi="ar-SA"/>
        </w:rPr>
        <w:t>中科技创新政策引导作用，坚持把科技创新作为推动全区高质量发展的第一动力，根据政策的现实需求，结合实际和其他区县科技创新支持政策，区科委牵头研究制定《房山区加强科技创新引领高质量发展的支持办法》。</w:t>
      </w:r>
      <w:r>
        <w:rPr>
          <w:rFonts w:hint="eastAsia" w:ascii="仿宋_GB2312" w:hAnsi="仿宋_GB2312" w:eastAsia="仿宋_GB2312" w:cs="仿宋_GB2312"/>
          <w:color w:val="auto"/>
          <w:sz w:val="32"/>
          <w:szCs w:val="32"/>
          <w:lang w:val="en-US" w:eastAsia="zh-CN"/>
        </w:rPr>
        <w:t>本办法</w:t>
      </w:r>
      <w:r>
        <w:rPr>
          <w:rFonts w:hint="eastAsia" w:ascii="仿宋_GB2312" w:hAnsi="仿宋_GB2312" w:eastAsia="仿宋_GB2312" w:cs="仿宋_GB2312"/>
          <w:b w:val="0"/>
          <w:bCs w:val="0"/>
          <w:color w:val="auto"/>
          <w:sz w:val="32"/>
          <w:szCs w:val="32"/>
          <w:lang w:val="en-US" w:eastAsia="zh-CN"/>
        </w:rPr>
        <w:t>坚持目标导向、问题导向，以我区创新能级提升为出发点和着力点，抓大放小，集中力量，</w:t>
      </w:r>
      <w:r>
        <w:rPr>
          <w:rFonts w:hint="eastAsia" w:ascii="仿宋_GB2312" w:hAnsi="仿宋_GB2312" w:eastAsia="仿宋_GB2312" w:cs="仿宋_GB2312"/>
          <w:color w:val="auto"/>
          <w:sz w:val="32"/>
          <w:szCs w:val="32"/>
          <w:lang w:val="en-US" w:eastAsia="zh-CN"/>
        </w:rPr>
        <w:t xml:space="preserve">围绕创新主体活力激发、重大科技创新成果产出、科技成果产业化促进、创新生态系统完善四大方面，修订并完善了具体的支持措施。  </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本办法共三章十条二十二项。第一章是总则，包括三条。主要阐述办法制定的依据。明确办法支持对象及支持资金来源。</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color w:val="auto"/>
          <w:spacing w:val="-4"/>
          <w:sz w:val="32"/>
          <w:szCs w:val="32"/>
          <w:u w:val="none"/>
          <w:lang w:val="en-US" w:eastAsia="zh-CN"/>
        </w:rPr>
      </w:pPr>
      <w:r>
        <w:rPr>
          <w:rFonts w:hint="eastAsia" w:ascii="仿宋_GB2312" w:hAnsi="仿宋_GB2312" w:eastAsia="仿宋_GB2312" w:cs="仿宋_GB2312"/>
          <w:b w:val="0"/>
          <w:bCs w:val="0"/>
          <w:color w:val="auto"/>
          <w:sz w:val="32"/>
          <w:szCs w:val="32"/>
          <w:lang w:val="en-US" w:eastAsia="zh-CN"/>
        </w:rPr>
        <w:t>第二章为具体支持措施，是办法的核心条款，包括四条。主要为提升自主创新能力、</w:t>
      </w:r>
      <w:r>
        <w:rPr>
          <w:rFonts w:hint="eastAsia" w:ascii="仿宋_GB2312" w:hAnsi="仿宋_GB2312" w:eastAsia="仿宋_GB2312" w:cs="仿宋_GB2312"/>
          <w:b w:val="0"/>
          <w:bCs w:val="0"/>
          <w:color w:val="auto"/>
          <w:spacing w:val="-4"/>
          <w:sz w:val="32"/>
          <w:szCs w:val="32"/>
          <w:lang w:val="en-US" w:eastAsia="zh-CN"/>
        </w:rPr>
        <w:t>激发创新主体活力、</w:t>
      </w:r>
      <w:r>
        <w:rPr>
          <w:rFonts w:hint="eastAsia" w:ascii="仿宋_GB2312" w:hAnsi="仿宋_GB2312" w:eastAsia="仿宋_GB2312" w:cs="仿宋_GB2312"/>
          <w:b w:val="0"/>
          <w:bCs w:val="0"/>
          <w:color w:val="auto"/>
          <w:spacing w:val="-4"/>
          <w:sz w:val="32"/>
          <w:szCs w:val="32"/>
          <w:u w:val="none"/>
          <w:lang w:val="en-US" w:eastAsia="zh-CN"/>
        </w:rPr>
        <w:t>加快科技成果转化、</w:t>
      </w:r>
      <w:r>
        <w:rPr>
          <w:rFonts w:hint="eastAsia" w:ascii="仿宋_GB2312" w:hAnsi="仿宋_GB2312" w:eastAsia="仿宋_GB2312" w:cs="仿宋_GB2312"/>
          <w:b w:val="0"/>
          <w:bCs w:val="0"/>
          <w:color w:val="auto"/>
          <w:sz w:val="32"/>
          <w:szCs w:val="32"/>
          <w:lang w:val="en-US" w:eastAsia="zh-CN"/>
        </w:rPr>
        <w:t>优化创新生态等4方面内容。分别从</w:t>
      </w:r>
      <w:r>
        <w:rPr>
          <w:rFonts w:hint="eastAsia" w:ascii="仿宋_GB2312" w:hAnsi="仿宋_GB2312" w:eastAsia="仿宋_GB2312" w:cs="仿宋_GB2312"/>
          <w:b w:val="0"/>
          <w:bCs w:val="0"/>
          <w:color w:val="auto"/>
          <w:spacing w:val="-4"/>
          <w:sz w:val="32"/>
          <w:szCs w:val="32"/>
          <w:lang w:val="en-US" w:eastAsia="zh-CN"/>
        </w:rPr>
        <w:t>支持国家及本市科技创新重大专项、支持主导产业关键技术攻关、支持市级以上科学技术奖、</w:t>
      </w:r>
      <w:r>
        <w:rPr>
          <w:rFonts w:hint="eastAsia" w:ascii="仿宋_GB2312" w:hAnsi="仿宋_GB2312" w:eastAsia="仿宋_GB2312" w:cs="仿宋_GB2312"/>
          <w:b w:val="0"/>
          <w:bCs w:val="0"/>
          <w:strike w:val="0"/>
          <w:dstrike w:val="0"/>
          <w:color w:val="auto"/>
          <w:spacing w:val="-4"/>
          <w:sz w:val="32"/>
          <w:szCs w:val="32"/>
          <w:u w:val="none"/>
          <w:lang w:val="en-US" w:eastAsia="zh-CN"/>
        </w:rPr>
        <w:t>支持高水平研发机构设立、</w:t>
      </w:r>
      <w:r>
        <w:rPr>
          <w:rFonts w:hint="eastAsia" w:ascii="仿宋_GB2312" w:hAnsi="仿宋_GB2312" w:eastAsia="仿宋_GB2312" w:cs="仿宋_GB2312"/>
          <w:b w:val="0"/>
          <w:bCs w:val="0"/>
          <w:color w:val="auto"/>
          <w:spacing w:val="-4"/>
          <w:sz w:val="32"/>
          <w:szCs w:val="32"/>
          <w:u w:val="none"/>
          <w:lang w:val="en-US" w:eastAsia="zh-CN"/>
        </w:rPr>
        <w:t>加快高新技术企业培育、支持企业加大研发费用投入、</w:t>
      </w:r>
      <w:r>
        <w:rPr>
          <w:rFonts w:hint="eastAsia" w:ascii="仿宋_GB2312" w:hAnsi="仿宋_GB2312" w:eastAsia="仿宋_GB2312" w:cs="仿宋_GB2312"/>
          <w:b w:val="0"/>
          <w:bCs w:val="0"/>
          <w:color w:val="auto"/>
          <w:spacing w:val="-4"/>
          <w:sz w:val="32"/>
          <w:szCs w:val="32"/>
          <w:lang w:val="en-US" w:eastAsia="zh-CN"/>
        </w:rPr>
        <w:t>促进科技农业发展、</w:t>
      </w:r>
      <w:r>
        <w:rPr>
          <w:rFonts w:hint="eastAsia" w:ascii="仿宋_GB2312" w:hAnsi="仿宋_GB2312" w:eastAsia="仿宋_GB2312" w:cs="仿宋_GB2312"/>
          <w:b w:val="0"/>
          <w:bCs w:val="0"/>
          <w:color w:val="auto"/>
          <w:spacing w:val="-4"/>
          <w:sz w:val="32"/>
          <w:szCs w:val="32"/>
          <w:highlight w:val="none"/>
          <w:lang w:val="en-US" w:eastAsia="zh-CN"/>
        </w:rPr>
        <w:t>支持开展产学研用合作、支持促进科技成果转化项目落地、</w:t>
      </w:r>
      <w:r>
        <w:rPr>
          <w:rFonts w:hint="eastAsia" w:ascii="仿宋_GB2312" w:hAnsi="仿宋_GB2312" w:eastAsia="仿宋_GB2312" w:cs="仿宋_GB2312"/>
          <w:b w:val="0"/>
          <w:bCs w:val="0"/>
          <w:color w:val="auto"/>
          <w:spacing w:val="-4"/>
          <w:sz w:val="32"/>
          <w:szCs w:val="32"/>
          <w:lang w:val="en-US" w:eastAsia="zh-CN"/>
        </w:rPr>
        <w:t>鼓励开展技术交易</w:t>
      </w:r>
      <w:r>
        <w:rPr>
          <w:rFonts w:hint="eastAsia" w:ascii="仿宋_GB2312" w:hAnsi="仿宋_GB2312" w:eastAsia="仿宋_GB2312" w:cs="仿宋_GB2312"/>
          <w:b w:val="0"/>
          <w:bCs w:val="0"/>
          <w:color w:val="auto"/>
          <w:spacing w:val="-4"/>
          <w:sz w:val="32"/>
          <w:szCs w:val="32"/>
          <w:u w:val="none"/>
          <w:lang w:val="en-US" w:eastAsia="zh-CN"/>
        </w:rPr>
        <w:t>活动、</w:t>
      </w:r>
      <w:r>
        <w:rPr>
          <w:rFonts w:hint="eastAsia" w:ascii="仿宋_GB2312" w:hAnsi="仿宋_GB2312" w:eastAsia="仿宋_GB2312" w:cs="仿宋_GB2312"/>
          <w:b w:val="0"/>
          <w:bCs w:val="0"/>
          <w:color w:val="auto"/>
          <w:spacing w:val="-4"/>
          <w:sz w:val="32"/>
          <w:szCs w:val="32"/>
          <w:highlight w:val="none"/>
          <w:lang w:val="en-US" w:eastAsia="zh-CN"/>
        </w:rPr>
        <w:t>支持科技服务业壮大、</w:t>
      </w:r>
      <w:r>
        <w:rPr>
          <w:rFonts w:hint="eastAsia" w:ascii="仿宋_GB2312" w:hAnsi="仿宋_GB2312" w:eastAsia="仿宋_GB2312" w:cs="仿宋_GB2312"/>
          <w:b w:val="0"/>
          <w:bCs/>
          <w:color w:val="000000"/>
          <w:spacing w:val="-4"/>
          <w:sz w:val="32"/>
          <w:szCs w:val="32"/>
          <w:lang w:val="en-US" w:eastAsia="zh-CN"/>
        </w:rPr>
        <w:t>打造高能级创新创业孵化载体、</w:t>
      </w:r>
      <w:r>
        <w:rPr>
          <w:rFonts w:hint="eastAsia" w:ascii="仿宋_GB2312" w:hAnsi="仿宋_GB2312" w:eastAsia="仿宋_GB2312" w:cs="仿宋_GB2312"/>
          <w:b w:val="0"/>
          <w:bCs w:val="0"/>
          <w:color w:val="auto"/>
          <w:spacing w:val="-4"/>
          <w:sz w:val="32"/>
          <w:szCs w:val="32"/>
          <w:u w:val="none"/>
          <w:lang w:val="en-US" w:eastAsia="zh-CN"/>
        </w:rPr>
        <w:t>支持共享共用科技资源、知识产权质押融资资助、</w:t>
      </w:r>
      <w:r>
        <w:rPr>
          <w:rFonts w:hint="eastAsia" w:ascii="仿宋_GB2312" w:hAnsi="仿宋_GB2312" w:eastAsia="仿宋_GB2312" w:cs="仿宋_GB2312"/>
          <w:b w:val="0"/>
          <w:bCs w:val="0"/>
          <w:color w:val="auto"/>
          <w:sz w:val="32"/>
          <w:szCs w:val="32"/>
          <w:highlight w:val="none"/>
          <w:lang w:val="en-US" w:eastAsia="zh-CN"/>
        </w:rPr>
        <w:t>支持“科技小院”发展等15项工作给以支持和奖励。</w:t>
      </w:r>
    </w:p>
    <w:p>
      <w:pPr>
        <w:pStyle w:val="5"/>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24" w:firstLineChars="200"/>
        <w:textAlignment w:val="auto"/>
        <w:rPr>
          <w:rFonts w:hint="eastAsia" w:ascii="仿宋_GB2312" w:hAnsi="仿宋_GB2312" w:eastAsia="仿宋_GB2312" w:cs="仿宋_GB2312"/>
          <w:b w:val="0"/>
          <w:bCs w:val="0"/>
          <w:color w:val="auto"/>
          <w:spacing w:val="-4"/>
          <w:sz w:val="32"/>
          <w:szCs w:val="32"/>
          <w:lang w:val="en-US" w:eastAsia="zh-CN"/>
        </w:rPr>
      </w:pPr>
      <w:r>
        <w:rPr>
          <w:rFonts w:hint="eastAsia" w:ascii="仿宋_GB2312" w:hAnsi="仿宋_GB2312" w:eastAsia="仿宋_GB2312" w:cs="仿宋_GB2312"/>
          <w:b w:val="0"/>
          <w:bCs w:val="0"/>
          <w:color w:val="auto"/>
          <w:spacing w:val="-4"/>
          <w:sz w:val="32"/>
          <w:szCs w:val="32"/>
          <w:lang w:val="en-US" w:eastAsia="zh-CN"/>
        </w:rPr>
        <w:t>第三章为管理与监督，包括两条。明确了由区科委依据本办法发布实施细则并监督管理以及明确了项目满足的基本要求。</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4" w:firstLineChars="200"/>
        <w:textAlignment w:val="auto"/>
        <w:rPr>
          <w:rFonts w:hint="eastAsia" w:ascii="仿宋_GB2312" w:hAnsi="仿宋_GB2312" w:eastAsia="仿宋_GB2312" w:cs="仿宋_GB2312"/>
          <w:b w:val="0"/>
          <w:bCs w:val="0"/>
          <w:color w:val="auto"/>
          <w:spacing w:val="-4"/>
          <w:sz w:val="32"/>
          <w:szCs w:val="32"/>
          <w:lang w:val="en-US" w:eastAsia="zh-CN"/>
        </w:rPr>
      </w:pPr>
      <w:r>
        <w:rPr>
          <w:rFonts w:hint="eastAsia" w:ascii="仿宋_GB2312" w:hAnsi="仿宋_GB2312" w:eastAsia="仿宋_GB2312" w:cs="仿宋_GB2312"/>
          <w:b w:val="0"/>
          <w:bCs w:val="0"/>
          <w:color w:val="auto"/>
          <w:spacing w:val="-4"/>
          <w:sz w:val="32"/>
          <w:szCs w:val="32"/>
          <w:lang w:val="en-US" w:eastAsia="zh-CN"/>
        </w:rPr>
        <w:t>第四章为附则，明确了政策执行原则与解释权。</w:t>
      </w:r>
    </w:p>
    <w:p>
      <w:pPr>
        <w:pStyle w:val="5"/>
        <w:keepNext w:val="0"/>
        <w:keepLines w:val="0"/>
        <w:pageBreakBefore w:val="0"/>
        <w:kinsoku/>
        <w:wordWrap/>
        <w:overflowPunct/>
        <w:topLinePunct w:val="0"/>
        <w:autoSpaceDE/>
        <w:autoSpaceDN/>
        <w:bidi w:val="0"/>
        <w:spacing w:line="560" w:lineRule="exact"/>
        <w:ind w:right="0" w:rightChars="0"/>
        <w:textAlignment w:val="auto"/>
        <w:rPr>
          <w:rFonts w:hint="eastAsia" w:ascii="仿宋_GB2312" w:hAnsi="仿宋_GB2312" w:eastAsia="仿宋_GB2312" w:cs="仿宋_GB2312"/>
          <w:b w:val="0"/>
          <w:bCs w:val="0"/>
          <w:color w:val="auto"/>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37B808-5536-421F-8250-C40FFEFA623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文星仿宋">
    <w:altName w:val="仿宋"/>
    <w:panose1 w:val="02010604000101010101"/>
    <w:charset w:val="00"/>
    <w:family w:val="auto"/>
    <w:pitch w:val="default"/>
    <w:sig w:usb0="00000000" w:usb1="00000000" w:usb2="00000010" w:usb3="00000000" w:csb0="00040001" w:csb1="00000000"/>
  </w:font>
  <w:font w:name="方正小标宋简体">
    <w:panose1 w:val="02010601030101010101"/>
    <w:charset w:val="86"/>
    <w:family w:val="auto"/>
    <w:pitch w:val="default"/>
    <w:sig w:usb0="00000001" w:usb1="080E0000" w:usb2="00000000" w:usb3="00000000" w:csb0="00040000" w:csb1="00000000"/>
    <w:embedRegular r:id="rId2" w:fontKey="{A929AE92-F9D1-4394-B970-33A785EF2A29}"/>
  </w:font>
  <w:font w:name="方正小标宋_GBK">
    <w:panose1 w:val="03000509000000000000"/>
    <w:charset w:val="86"/>
    <w:family w:val="auto"/>
    <w:pitch w:val="default"/>
    <w:sig w:usb0="00000000" w:usb1="00000000" w:usb2="00000000" w:usb3="00000000" w:csb0="00000000" w:csb1="00000000"/>
    <w:embedRegular r:id="rId3" w:fontKey="{20A0D95E-8941-43C2-8C09-93579BE2FE8E}"/>
  </w:font>
  <w:font w:name="仿宋_GB2312">
    <w:panose1 w:val="02010609030101010101"/>
    <w:charset w:val="86"/>
    <w:family w:val="modern"/>
    <w:pitch w:val="default"/>
    <w:sig w:usb0="00000001" w:usb1="080E0000" w:usb2="00000000" w:usb3="00000000" w:csb0="00040000" w:csb1="00000000"/>
    <w:embedRegular r:id="rId4" w:fontKey="{1990FC66-C935-4E02-B2B2-8AC84551B4C2}"/>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oto Sans CJK JP Bold">
    <w:altName w:val="宋体"/>
    <w:panose1 w:val="020B0800000000000000"/>
    <w:charset w:val="86"/>
    <w:family w:val="auto"/>
    <w:pitch w:val="default"/>
    <w:sig w:usb0="00000000" w:usb1="00000000" w:usb2="00000016" w:usb3="00000000" w:csb0="602E0107"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3419142"/>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A0B34"/>
    <w:multiLevelType w:val="singleLevel"/>
    <w:tmpl w:val="653A0B3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YWRkMTAyYTJlNDU1OWRjMmFkMGYwNjYzY2FjZDAifQ=="/>
  </w:docVars>
  <w:rsids>
    <w:rsidRoot w:val="00E746A9"/>
    <w:rsid w:val="00050E83"/>
    <w:rsid w:val="00096C6E"/>
    <w:rsid w:val="000B1B0D"/>
    <w:rsid w:val="00130CFB"/>
    <w:rsid w:val="00142DD4"/>
    <w:rsid w:val="00150956"/>
    <w:rsid w:val="00173215"/>
    <w:rsid w:val="00265B19"/>
    <w:rsid w:val="00284D5B"/>
    <w:rsid w:val="002C0B39"/>
    <w:rsid w:val="002D7CD1"/>
    <w:rsid w:val="00446ADC"/>
    <w:rsid w:val="0050280F"/>
    <w:rsid w:val="005D190B"/>
    <w:rsid w:val="00684C80"/>
    <w:rsid w:val="00696C29"/>
    <w:rsid w:val="006B13E8"/>
    <w:rsid w:val="00772149"/>
    <w:rsid w:val="007A6F63"/>
    <w:rsid w:val="007C1252"/>
    <w:rsid w:val="007C1413"/>
    <w:rsid w:val="00800AED"/>
    <w:rsid w:val="00885B51"/>
    <w:rsid w:val="009C7AF7"/>
    <w:rsid w:val="00A339BE"/>
    <w:rsid w:val="00A36E32"/>
    <w:rsid w:val="00A94807"/>
    <w:rsid w:val="00B774EB"/>
    <w:rsid w:val="00C25C0A"/>
    <w:rsid w:val="00C34E10"/>
    <w:rsid w:val="00C7292F"/>
    <w:rsid w:val="00D00AEB"/>
    <w:rsid w:val="00D07736"/>
    <w:rsid w:val="00D97F61"/>
    <w:rsid w:val="00E746A9"/>
    <w:rsid w:val="00F473D9"/>
    <w:rsid w:val="025D4D8E"/>
    <w:rsid w:val="0676641E"/>
    <w:rsid w:val="0A0D0F28"/>
    <w:rsid w:val="0A6E121A"/>
    <w:rsid w:val="149F56B5"/>
    <w:rsid w:val="19D577BC"/>
    <w:rsid w:val="1A2C1691"/>
    <w:rsid w:val="251E59AA"/>
    <w:rsid w:val="2FC55CB2"/>
    <w:rsid w:val="33D23E00"/>
    <w:rsid w:val="3B196D9D"/>
    <w:rsid w:val="3D0F5FA0"/>
    <w:rsid w:val="3EAF5B65"/>
    <w:rsid w:val="42AE426E"/>
    <w:rsid w:val="44E67F73"/>
    <w:rsid w:val="4CA91CAF"/>
    <w:rsid w:val="533D5E1F"/>
    <w:rsid w:val="5ACD526E"/>
    <w:rsid w:val="5F047350"/>
    <w:rsid w:val="635B6940"/>
    <w:rsid w:val="683D228C"/>
    <w:rsid w:val="6EF174B1"/>
    <w:rsid w:val="7168633A"/>
    <w:rsid w:val="7206478A"/>
    <w:rsid w:val="733E6CAB"/>
    <w:rsid w:val="73DC46D9"/>
    <w:rsid w:val="75B96BD7"/>
    <w:rsid w:val="7E5B694A"/>
    <w:rsid w:val="7E666BA6"/>
    <w:rsid w:val="7EFC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qFormat/>
    <w:uiPriority w:val="0"/>
    <w:rPr>
      <w:rFonts w:eastAsia="文星仿宋"/>
      <w:sz w:val="32"/>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Emphasis"/>
    <w:basedOn w:val="10"/>
    <w:qFormat/>
    <w:uiPriority w:val="20"/>
    <w:rPr>
      <w:i/>
    </w:rPr>
  </w:style>
  <w:style w:type="character" w:styleId="13">
    <w:name w:val="Hyperlink"/>
    <w:basedOn w:val="10"/>
    <w:unhideWhenUsed/>
    <w:qFormat/>
    <w:uiPriority w:val="99"/>
    <w:rPr>
      <w:color w:val="0000FF"/>
      <w:u w:val="single"/>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List Paragraph"/>
    <w:basedOn w:val="1"/>
    <w:qFormat/>
    <w:uiPriority w:val="34"/>
    <w:pPr>
      <w:ind w:firstLine="420" w:firstLineChars="200"/>
    </w:pPr>
  </w:style>
  <w:style w:type="character" w:customStyle="1" w:styleId="17">
    <w:name w:val="页眉 Char"/>
    <w:basedOn w:val="10"/>
    <w:link w:val="7"/>
    <w:qFormat/>
    <w:uiPriority w:val="99"/>
    <w:rPr>
      <w:sz w:val="18"/>
      <w:szCs w:val="18"/>
    </w:rPr>
  </w:style>
  <w:style w:type="character" w:customStyle="1" w:styleId="18">
    <w:name w:val="页脚 Char"/>
    <w:basedOn w:val="10"/>
    <w:link w:val="6"/>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5825</Words>
  <Characters>5876</Characters>
  <Lines>23</Lines>
  <Paragraphs>6</Paragraphs>
  <ScaleCrop>false</ScaleCrop>
  <LinksUpToDate>false</LinksUpToDate>
  <CharactersWithSpaces>5879</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2015-12-10T23:15:00Z</dcterms:created>
  <dc:creator>apple</dc:creator>
  <cp:lastModifiedBy>XX</cp:lastModifiedBy>
  <dcterms:modified xsi:type="dcterms:W3CDTF">2023-10-26T06:39:52Z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8AA9309AD9DB40269C31FFAC5CEBFC37_13</vt:lpwstr>
  </property>
</Properties>
</file>