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附件</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kinsoku/>
        <w:wordWrap/>
        <w:topLinePunct w:val="0"/>
        <w:autoSpaceDE/>
        <w:autoSpaceDN/>
        <w:bidi w:val="0"/>
        <w:snapToGrid/>
        <w:spacing w:before="0" w:beforeAutospacing="0" w:after="0" w:afterAutospacing="0" w:line="560" w:lineRule="exact"/>
        <w:ind w:left="0" w:leftChars="0"/>
        <w:jc w:val="center"/>
        <w:textAlignment w:val="baseline"/>
        <w:rPr>
          <w:rFonts w:hint="eastAsia" w:ascii="方正小标宋简体" w:hAnsi="宋体" w:eastAsia="方正小标宋简体"/>
          <w:spacing w:val="-10"/>
          <w:sz w:val="44"/>
          <w:szCs w:val="44"/>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Century Gothic" w:eastAsia="方正小标宋简体"/>
          <w:sz w:val="44"/>
          <w:szCs w:val="44"/>
          <w:lang w:eastAsia="zh-CN"/>
        </w:rPr>
      </w:pPr>
      <w:r>
        <w:rPr>
          <w:rFonts w:hint="eastAsia" w:ascii="方正小标宋简体" w:hAnsi="Century Gothic" w:eastAsia="方正小标宋简体"/>
          <w:b w:val="0"/>
          <w:sz w:val="44"/>
          <w:szCs w:val="44"/>
          <w:lang w:eastAsia="zh-CN"/>
        </w:rPr>
        <w:t>《顺义区特色产业园区认定和管理暂行办法》</w:t>
      </w:r>
      <w:r>
        <w:rPr>
          <w:rFonts w:hint="eastAsia" w:ascii="方正小标宋简体" w:hAnsi="宋体" w:eastAsia="方正小标宋简体"/>
          <w:spacing w:val="-10"/>
          <w:sz w:val="44"/>
          <w:szCs w:val="44"/>
          <w:lang w:eastAsia="zh-CN"/>
        </w:rPr>
        <w:t>的</w:t>
      </w:r>
      <w:r>
        <w:rPr>
          <w:rFonts w:hint="eastAsia" w:ascii="方正小标宋简体" w:hAnsi="Century Gothic" w:eastAsia="方正小标宋简体"/>
          <w:sz w:val="44"/>
          <w:szCs w:val="44"/>
          <w:lang w:eastAsia="zh-CN"/>
        </w:rPr>
        <w:t>起草说明</w:t>
      </w:r>
    </w:p>
    <w:p>
      <w:pPr>
        <w:pStyle w:val="4"/>
        <w:rPr>
          <w:rFonts w:hint="eastAsia"/>
          <w:lang w:eastAsia="zh-CN"/>
        </w:rPr>
      </w:pP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center"/>
        <w:rPr>
          <w:lang w:val="en-US" w:eastAsia="zh-CN"/>
        </w:rPr>
      </w:pPr>
      <w:r>
        <w:rPr>
          <w:rFonts w:hint="eastAsia" w:ascii="黑体" w:hAnsi="黑体" w:eastAsia="黑体"/>
        </w:rPr>
        <w:t>一、</w:t>
      </w:r>
      <w:r>
        <w:rPr>
          <w:rFonts w:hint="eastAsia" w:ascii="黑体" w:hAnsi="黑体" w:eastAsia="黑体"/>
          <w:lang w:eastAsia="zh-CN"/>
        </w:rPr>
        <w:t>起草</w:t>
      </w:r>
      <w:r>
        <w:rPr>
          <w:rFonts w:hint="eastAsia" w:ascii="黑体" w:hAnsi="黑体" w:eastAsia="黑体"/>
        </w:rPr>
        <w:t>背景</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outlineLvl w:val="9"/>
        <w:rPr>
          <w:rFonts w:hint="eastAsia" w:ascii="Times New Roman" w:hAnsi="Times New Roman" w:eastAsia="仿宋_GB2312" w:cs="Times New Roman"/>
          <w:szCs w:val="32"/>
          <w:lang w:val="en-US" w:eastAsia="zh-CN"/>
        </w:rPr>
      </w:pPr>
      <w:r>
        <w:rPr>
          <w:rFonts w:hint="eastAsia" w:ascii="Times New Roman" w:hAnsi="Times New Roman" w:eastAsia="仿宋_GB2312"/>
          <w:szCs w:val="32"/>
        </w:rPr>
        <w:t>为夯实北京创新产业集群示范区发展基础，优化产业空间布局，</w:t>
      </w:r>
      <w:r>
        <w:rPr>
          <w:rFonts w:hint="eastAsia" w:ascii="仿宋_GB2312" w:hAnsi="仿宋_GB2312" w:eastAsia="仿宋_GB2312" w:cs="仿宋_GB2312"/>
          <w:szCs w:val="32"/>
        </w:rPr>
        <w:t>全力打造北京创新产业集群示范区（顺义），加快推进先进制造业园区建设，高标准打造一批空间布局合理、产业定位清晰、业态特色鲜明、综合效益良好的特色产业园</w:t>
      </w:r>
      <w:r>
        <w:rPr>
          <w:rFonts w:hint="eastAsia" w:ascii="Times New Roman" w:hAnsi="Times New Roman" w:eastAsia="仿宋_GB2312"/>
          <w:szCs w:val="32"/>
        </w:rPr>
        <w:t>，</w:t>
      </w:r>
      <w:r>
        <w:rPr>
          <w:rFonts w:ascii="Times New Roman" w:hAnsi="Times New Roman" w:eastAsia="仿宋_GB2312"/>
          <w:szCs w:val="32"/>
        </w:rPr>
        <w:t>我局制定了《顺义区特色产业园区认定和管理暂行办法》</w:t>
      </w:r>
      <w:r>
        <w:rPr>
          <w:rFonts w:hint="eastAsia" w:ascii="Times New Roman" w:hAnsi="Times New Roman" w:eastAsia="仿宋_GB2312"/>
          <w:szCs w:val="32"/>
        </w:rPr>
        <w:t>（</w:t>
      </w:r>
      <w:r>
        <w:rPr>
          <w:rFonts w:hint="eastAsia" w:eastAsia="仿宋_GB2312"/>
          <w:szCs w:val="32"/>
          <w:lang w:eastAsia="zh-CN"/>
        </w:rPr>
        <w:t>以下</w:t>
      </w:r>
      <w:r>
        <w:rPr>
          <w:rFonts w:hint="eastAsia" w:ascii="Times New Roman" w:hAnsi="Times New Roman" w:eastAsia="仿宋_GB2312"/>
          <w:szCs w:val="32"/>
        </w:rPr>
        <w:t>简称《暂行办法》）</w:t>
      </w:r>
      <w:r>
        <w:rPr>
          <w:rFonts w:hint="eastAsia" w:ascii="Times New Roman" w:hAnsi="Times New Roman" w:eastAsia="仿宋_GB2312" w:cs="Times New Roman"/>
          <w:szCs w:val="32"/>
          <w:lang w:val="en-US" w:eastAsia="zh-CN"/>
        </w:rPr>
        <w:t>。</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center"/>
        <w:rPr>
          <w:rFonts w:ascii="黑体" w:hAnsi="黑体" w:eastAsia="黑体"/>
        </w:rPr>
      </w:pPr>
      <w:r>
        <w:rPr>
          <w:rFonts w:hint="eastAsia" w:ascii="黑体" w:hAnsi="黑体" w:eastAsia="黑体"/>
          <w:lang w:eastAsia="zh-CN"/>
        </w:rPr>
        <w:t>二</w:t>
      </w:r>
      <w:r>
        <w:rPr>
          <w:rFonts w:hint="eastAsia" w:ascii="黑体" w:hAnsi="黑体" w:eastAsia="黑体"/>
        </w:rPr>
        <w:t>、适用范围</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 w:eastAsia="仿宋_GB2312" w:cs="宋体"/>
          <w:color w:val="auto"/>
          <w:kern w:val="0"/>
          <w:sz w:val="32"/>
          <w:szCs w:val="32"/>
          <w:highlight w:val="none"/>
        </w:rPr>
        <w:t>本办法所称的特色产业园，是在</w:t>
      </w:r>
      <w:r>
        <w:rPr>
          <w:rFonts w:hint="eastAsia" w:ascii="仿宋_GB2312" w:hAnsi="仿宋" w:eastAsia="仿宋_GB2312" w:cs="宋体"/>
          <w:color w:val="auto"/>
          <w:kern w:val="0"/>
          <w:sz w:val="32"/>
          <w:szCs w:val="32"/>
          <w:highlight w:val="none"/>
          <w:lang w:eastAsia="zh-CN"/>
        </w:rPr>
        <w:t>一定空间范围内，以“园中园”形式</w:t>
      </w:r>
      <w:r>
        <w:rPr>
          <w:rFonts w:hint="eastAsia" w:ascii="仿宋_GB2312" w:hAnsi="仿宋" w:eastAsia="仿宋_GB2312" w:cs="宋体"/>
          <w:color w:val="auto"/>
          <w:kern w:val="0"/>
          <w:sz w:val="32"/>
          <w:szCs w:val="32"/>
          <w:highlight w:val="none"/>
        </w:rPr>
        <w:t>再建一座</w:t>
      </w:r>
      <w:r>
        <w:rPr>
          <w:rFonts w:hint="eastAsia" w:ascii="仿宋_GB2312" w:hAnsi="仿宋" w:eastAsia="仿宋_GB2312" w:cs="宋体"/>
          <w:color w:val="auto"/>
          <w:kern w:val="0"/>
          <w:sz w:val="32"/>
          <w:szCs w:val="32"/>
          <w:highlight w:val="none"/>
          <w:lang w:eastAsia="zh-CN"/>
        </w:rPr>
        <w:t>产业</w:t>
      </w:r>
      <w:r>
        <w:rPr>
          <w:rFonts w:hint="eastAsia" w:ascii="仿宋_GB2312" w:hAnsi="仿宋" w:eastAsia="仿宋_GB2312" w:cs="宋体"/>
          <w:color w:val="auto"/>
          <w:kern w:val="0"/>
          <w:sz w:val="32"/>
          <w:szCs w:val="32"/>
          <w:highlight w:val="none"/>
        </w:rPr>
        <w:t>园区，有固定的物理围合或明确的四至范围，</w:t>
      </w:r>
      <w:r>
        <w:rPr>
          <w:rFonts w:hint="eastAsia" w:ascii="仿宋_GB2312" w:hAnsi="仿宋_GB2312" w:eastAsia="仿宋_GB2312" w:cs="仿宋_GB2312"/>
          <w:color w:val="auto"/>
          <w:sz w:val="32"/>
          <w:szCs w:val="32"/>
          <w:highlight w:val="none"/>
        </w:rPr>
        <w:t>产业</w:t>
      </w:r>
      <w:r>
        <w:rPr>
          <w:rFonts w:hint="eastAsia" w:ascii="仿宋_GB2312" w:hAnsi="仿宋_GB2312" w:eastAsia="仿宋_GB2312" w:cs="仿宋_GB2312"/>
          <w:color w:val="auto"/>
          <w:sz w:val="32"/>
          <w:szCs w:val="32"/>
          <w:highlight w:val="none"/>
          <w:lang w:eastAsia="zh-CN"/>
        </w:rPr>
        <w:t>定位</w:t>
      </w:r>
      <w:r>
        <w:rPr>
          <w:rFonts w:hint="eastAsia" w:ascii="仿宋_GB2312" w:hAnsi="仿宋_GB2312" w:eastAsia="仿宋_GB2312" w:cs="仿宋_GB2312"/>
          <w:color w:val="auto"/>
          <w:sz w:val="32"/>
          <w:szCs w:val="32"/>
          <w:highlight w:val="none"/>
        </w:rPr>
        <w:t>鲜明、空间载体完备、企业集聚显著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运营管理专业、服务体系完善、综合效益较高的特色产业园</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560" w:lineRule="exact"/>
        <w:ind w:leftChars="200"/>
        <w:textAlignment w:val="center"/>
        <w:rPr>
          <w:rFonts w:hint="eastAsia" w:ascii="黑体" w:hAnsi="黑体" w:eastAsia="黑体"/>
        </w:rPr>
      </w:pPr>
      <w:r>
        <w:rPr>
          <w:rFonts w:hint="eastAsia" w:ascii="黑体" w:hAnsi="黑体" w:eastAsia="黑体"/>
          <w:lang w:eastAsia="zh-CN"/>
        </w:rPr>
        <w:t>三、</w:t>
      </w:r>
      <w:r>
        <w:rPr>
          <w:rFonts w:hint="eastAsia" w:ascii="黑体" w:hAnsi="黑体" w:eastAsia="黑体"/>
        </w:rPr>
        <w:t>主要内容</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Cs w:val="32"/>
        </w:rPr>
        <w:t>第一章是总则。</w:t>
      </w:r>
      <w:r>
        <w:rPr>
          <w:rFonts w:hint="eastAsia" w:ascii="仿宋_GB2312" w:hAnsi="仿宋_GB2312" w:eastAsia="仿宋_GB2312" w:cs="仿宋_GB2312"/>
          <w:b w:val="0"/>
          <w:bCs w:val="0"/>
          <w:szCs w:val="32"/>
          <w:lang w:eastAsia="zh-CN" w:bidi="zh-CN"/>
        </w:rPr>
        <w:t>明确了发展目标、管理范围、管理对象以及产业定位等框架标准。</w:t>
      </w:r>
      <w:r>
        <w:rPr>
          <w:rFonts w:hint="eastAsia" w:ascii="仿宋_GB2312" w:hAnsi="仿宋_GB2312" w:eastAsia="仿宋_GB2312" w:cs="仿宋_GB2312"/>
          <w:b w:val="0"/>
          <w:bCs w:val="0"/>
          <w:sz w:val="32"/>
          <w:szCs w:val="32"/>
        </w:rPr>
        <w:t>第二章是认定标准和认定程序。一是在认定标准中明确特色产业园区分为创建类和认定类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44"/>
          <w:sz w:val="32"/>
          <w:szCs w:val="32"/>
          <w:lang w:eastAsia="zh-CN"/>
        </w:rPr>
        <w:t>一般按照先创建、再认定的顺序进行，认定后的园区纳入特色产业园区清单，享受扶持政策</w:t>
      </w:r>
      <w:r>
        <w:rPr>
          <w:rFonts w:hint="eastAsia" w:ascii="仿宋_GB2312" w:hAnsi="仿宋_GB2312" w:eastAsia="仿宋_GB2312" w:cs="仿宋_GB2312"/>
          <w:b w:val="0"/>
          <w:bCs w:val="0"/>
          <w:sz w:val="32"/>
          <w:szCs w:val="32"/>
        </w:rPr>
        <w:t>。二是在认定程序上，明确创建类和认定类园区需提交的申报材料，并经初步审查、园区现场考察、征求意见及最终审定四个环节予以认定。三是明确退出情形。</w:t>
      </w:r>
      <w:r>
        <w:rPr>
          <w:rFonts w:hint="eastAsia" w:ascii="仿宋_GB2312" w:hAnsi="仿宋_GB2312" w:eastAsia="仿宋_GB2312" w:cs="仿宋_GB2312"/>
          <w:b w:val="0"/>
          <w:bCs w:val="0"/>
          <w:szCs w:val="32"/>
        </w:rPr>
        <w:t>第三章是运营机构管理职责。</w:t>
      </w:r>
      <w:r>
        <w:rPr>
          <w:rFonts w:hint="eastAsia" w:ascii="仿宋_GB2312" w:hAnsi="仿宋_GB2312" w:eastAsia="仿宋_GB2312" w:cs="仿宋_GB2312"/>
          <w:b w:val="0"/>
          <w:bCs w:val="0"/>
          <w:szCs w:val="32"/>
          <w:lang w:bidi="zh-CN"/>
        </w:rPr>
        <w:t>具体明确了招商、运营、准入和监管等工作要求。</w:t>
      </w:r>
      <w:r>
        <w:rPr>
          <w:rFonts w:hint="eastAsia" w:ascii="仿宋_GB2312" w:hAnsi="仿宋_GB2312" w:eastAsia="仿宋_GB2312" w:cs="仿宋_GB2312"/>
          <w:b w:val="0"/>
          <w:bCs w:val="0"/>
          <w:szCs w:val="32"/>
        </w:rPr>
        <w:t>第四章是奖励扶持政策。</w:t>
      </w:r>
      <w:r>
        <w:rPr>
          <w:rFonts w:hint="eastAsia" w:ascii="仿宋_GB2312" w:hAnsi="仿宋_GB2312" w:eastAsia="仿宋_GB2312" w:cs="仿宋_GB2312"/>
          <w:b w:val="0"/>
          <w:bCs w:val="0"/>
          <w:szCs w:val="32"/>
          <w:lang w:eastAsia="zh-CN"/>
        </w:rPr>
        <w:t>具体包括了贡献支持、配套支持、金融支持和空间支持。</w:t>
      </w:r>
      <w:r>
        <w:rPr>
          <w:rFonts w:hint="eastAsia" w:ascii="仿宋_GB2312" w:hAnsi="仿宋_GB2312" w:eastAsia="仿宋_GB2312" w:cs="仿宋_GB2312"/>
          <w:b w:val="0"/>
          <w:bCs w:val="0"/>
          <w:sz w:val="32"/>
          <w:szCs w:val="32"/>
        </w:rPr>
        <w:t>第五章是管理与考核。明确了</w:t>
      </w:r>
      <w:r>
        <w:rPr>
          <w:rFonts w:hint="eastAsia" w:ascii="仿宋_GB2312" w:hAnsi="仿宋_GB2312" w:eastAsia="仿宋_GB2312" w:cs="仿宋_GB2312"/>
          <w:b w:val="0"/>
          <w:bCs w:val="0"/>
          <w:sz w:val="32"/>
          <w:szCs w:val="32"/>
          <w:lang w:eastAsia="zh-CN"/>
        </w:rPr>
        <w:t>评审管理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申报流程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产业监管</w:t>
      </w:r>
      <w:r>
        <w:rPr>
          <w:rFonts w:hint="eastAsia" w:ascii="仿宋_GB2312" w:hAnsi="仿宋_GB2312" w:eastAsia="仿宋_GB2312" w:cs="仿宋_GB2312"/>
          <w:b w:val="0"/>
          <w:bCs w:val="0"/>
          <w:sz w:val="32"/>
          <w:szCs w:val="32"/>
        </w:rPr>
        <w:t>和</w:t>
      </w:r>
      <w:r>
        <w:rPr>
          <w:rFonts w:hint="eastAsia" w:ascii="仿宋_GB2312" w:hAnsi="仿宋_GB2312" w:eastAsia="仿宋_GB2312" w:cs="仿宋_GB2312"/>
          <w:b w:val="0"/>
          <w:bCs w:val="0"/>
          <w:sz w:val="32"/>
          <w:szCs w:val="32"/>
          <w:lang w:eastAsia="zh-CN"/>
        </w:rPr>
        <w:t>变更报备</w:t>
      </w:r>
      <w:r>
        <w:rPr>
          <w:rFonts w:hint="eastAsia" w:ascii="仿宋_GB2312" w:hAnsi="仿宋_GB2312" w:eastAsia="仿宋_GB2312" w:cs="仿宋_GB2312"/>
          <w:b w:val="0"/>
          <w:bCs w:val="0"/>
          <w:sz w:val="32"/>
          <w:szCs w:val="32"/>
        </w:rPr>
        <w:t>等内容，明确特色产业园区考核标准与考核时间。</w:t>
      </w:r>
    </w:p>
    <w:p>
      <w:pPr>
        <w:keepNext w:val="0"/>
        <w:keepLines w:val="0"/>
        <w:pageBreakBefore w:val="0"/>
        <w:widowControl/>
        <w:kinsoku/>
        <w:wordWrap/>
        <w:topLinePunct w:val="0"/>
        <w:autoSpaceDE/>
        <w:autoSpaceDN/>
        <w:bidi w:val="0"/>
        <w:spacing w:line="560" w:lineRule="exact"/>
        <w:ind w:left="0" w:leftChars="0" w:firstLine="640" w:firstLineChars="200"/>
        <w:rPr>
          <w:rFonts w:hint="eastAsia" w:ascii="黑体" w:hAnsi="黑体" w:eastAsia="黑体" w:cs="黑体"/>
          <w:szCs w:val="32"/>
          <w:lang w:eastAsia="zh-CN"/>
        </w:rPr>
      </w:pPr>
      <w:r>
        <w:rPr>
          <w:rFonts w:hint="eastAsia" w:ascii="黑体" w:hAnsi="黑体" w:eastAsia="黑体" w:cs="黑体"/>
          <w:szCs w:val="32"/>
          <w:lang w:eastAsia="zh-CN"/>
        </w:rPr>
        <w:t>四、创新之处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lang w:eastAsia="zh-CN"/>
        </w:rPr>
      </w:pPr>
      <w:r>
        <w:rPr>
          <w:rFonts w:hint="eastAsia" w:ascii="仿宋_GB2312" w:hAnsi="仿宋_GB2312" w:eastAsia="仿宋_GB2312" w:cs="仿宋_GB2312"/>
          <w:kern w:val="2"/>
          <w:sz w:val="32"/>
          <w:szCs w:val="32"/>
          <w:lang w:val="en-US" w:eastAsia="zh-CN" w:bidi="ar-SA"/>
        </w:rPr>
        <w:t>本次制定的</w:t>
      </w:r>
      <w:r>
        <w:rPr>
          <w:rFonts w:hint="eastAsia" w:ascii="Times New Roman" w:hAnsi="Times New Roman" w:eastAsia="仿宋_GB2312"/>
          <w:szCs w:val="32"/>
        </w:rPr>
        <w:t>《暂行办法》</w:t>
      </w:r>
      <w:r>
        <w:rPr>
          <w:rFonts w:hint="eastAsia" w:eastAsia="仿宋_GB2312"/>
          <w:szCs w:val="32"/>
          <w:lang w:eastAsia="zh-CN"/>
        </w:rPr>
        <w:t>，</w:t>
      </w:r>
      <w:r>
        <w:rPr>
          <w:rFonts w:hint="eastAsia" w:ascii="仿宋_GB2312" w:hAnsi="仿宋_GB2312" w:eastAsia="仿宋_GB2312" w:cs="仿宋_GB2312"/>
          <w:sz w:val="32"/>
          <w:szCs w:val="32"/>
          <w:lang w:eastAsia="zh-CN"/>
        </w:rPr>
        <w:t>主要亮点体现在三个方面：</w:t>
      </w:r>
      <w:r>
        <w:rPr>
          <w:rFonts w:hint="eastAsia" w:ascii="仿宋_GB2312" w:hAnsi="仿宋_GB2312" w:eastAsia="仿宋_GB2312" w:cs="仿宋_GB2312"/>
          <w:b/>
          <w:bCs/>
          <w:sz w:val="32"/>
          <w:szCs w:val="32"/>
          <w:lang w:eastAsia="zh-CN"/>
        </w:rPr>
        <w:t>一是对特色产业园进行系统定义。</w:t>
      </w:r>
      <w:r>
        <w:rPr>
          <w:rFonts w:hint="eastAsia" w:ascii="仿宋_GB2312" w:hAnsi="仿宋_GB2312" w:eastAsia="仿宋_GB2312" w:cs="仿宋_GB2312"/>
          <w:sz w:val="32"/>
          <w:szCs w:val="32"/>
          <w:lang w:eastAsia="zh-CN"/>
        </w:rPr>
        <w:t>对特色产业园的概念进行明确，重点鼓励引入市场化水平较高的专业运营团队，围绕主导产业定位，按照市场化的运营能力和水平，推动细分领域的特色产业和项目向特色园区聚集，进一步引导产业集约式、链条式的高质量发展。最终目标是发展成为</w:t>
      </w:r>
      <w:r>
        <w:rPr>
          <w:rFonts w:hint="eastAsia" w:ascii="仿宋_GB2312" w:hAnsi="仿宋_GB2312" w:eastAsia="仿宋_GB2312" w:cs="仿宋_GB2312"/>
          <w:sz w:val="32"/>
          <w:szCs w:val="32"/>
        </w:rPr>
        <w:t>产业特色鲜明、空间载体完备、企业集聚显著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运营管理专业、服务体系完善、综合效益较高的特色产业园。</w:t>
      </w:r>
      <w:r>
        <w:rPr>
          <w:rFonts w:hint="eastAsia" w:ascii="仿宋_GB2312" w:hAnsi="仿宋_GB2312" w:eastAsia="仿宋_GB2312" w:cs="仿宋_GB2312"/>
          <w:b/>
          <w:bCs/>
          <w:sz w:val="32"/>
          <w:szCs w:val="32"/>
          <w:lang w:eastAsia="zh-CN"/>
        </w:rPr>
        <w:t>二是对运营机构的职责进行明确。</w:t>
      </w:r>
      <w:r>
        <w:rPr>
          <w:rFonts w:hint="eastAsia" w:ascii="仿宋_GB2312" w:hAnsi="仿宋_GB2312" w:eastAsia="仿宋_GB2312" w:cs="仿宋_GB2312"/>
          <w:sz w:val="32"/>
          <w:szCs w:val="32"/>
        </w:rPr>
        <w:t>园区专业化运营管理模式有三种，自行成立园区运营管理机构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引进社会化、专业的园区运营管理机构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聘请专业的园区运营管理机构做咨询顾问。</w:t>
      </w:r>
      <w:r>
        <w:rPr>
          <w:rFonts w:hint="eastAsia" w:ascii="仿宋_GB2312" w:hAnsi="仿宋_GB2312" w:eastAsia="仿宋_GB2312" w:cs="仿宋_GB2312"/>
          <w:sz w:val="32"/>
          <w:szCs w:val="32"/>
          <w:lang w:eastAsia="zh-CN"/>
        </w:rPr>
        <w:t>本政策的重点就是引入市场化水平高的专业园区运营机构，促进产业园区从功能单一的生产型园区向功能复合的产业发展平台转型。因此，对园区运营机构在招商、运营、准入和监管方面提出明确要求，引导运营机构</w:t>
      </w:r>
      <w:r>
        <w:rPr>
          <w:rFonts w:hint="eastAsia" w:ascii="仿宋_GB2312" w:hAnsi="仿宋_GB2312" w:eastAsia="仿宋_GB2312" w:cs="仿宋_GB2312"/>
          <w:szCs w:val="32"/>
        </w:rPr>
        <w:t>通过链接各类专业服务资源，</w:t>
      </w:r>
      <w:r>
        <w:rPr>
          <w:rFonts w:hint="eastAsia" w:ascii="仿宋_GB2312" w:hAnsi="仿宋_GB2312" w:eastAsia="仿宋_GB2312" w:cs="仿宋_GB2312"/>
          <w:sz w:val="32"/>
          <w:szCs w:val="32"/>
          <w:lang w:eastAsia="zh-CN"/>
        </w:rPr>
        <w:t>提升运营服务能力，引导园区内企业沿链发展，新上项目精准“卡位入链”，推动园区服务能力从简单的招商服务向完善产业生态升级</w:t>
      </w:r>
      <w:r>
        <w:rPr>
          <w:rFonts w:hint="eastAsia" w:ascii="仿宋_GB2312" w:hAnsi="仿宋_GB2312" w:eastAsia="仿宋_GB2312" w:cs="仿宋_GB2312"/>
          <w:szCs w:val="32"/>
        </w:rPr>
        <w:t>。</w:t>
      </w:r>
      <w:r>
        <w:rPr>
          <w:rFonts w:hint="eastAsia" w:ascii="仿宋_GB2312" w:hAnsi="仿宋_GB2312" w:eastAsia="仿宋_GB2312" w:cs="仿宋_GB2312"/>
          <w:b/>
          <w:bCs/>
          <w:sz w:val="32"/>
          <w:szCs w:val="32"/>
          <w:lang w:eastAsia="zh-CN"/>
        </w:rPr>
        <w:t>三是对优质特色产业园进行激励。</w:t>
      </w:r>
      <w:r>
        <w:rPr>
          <w:rFonts w:hint="eastAsia" w:ascii="仿宋_GB2312" w:hAnsi="仿宋_GB2312" w:eastAsia="仿宋_GB2312" w:cs="仿宋_GB2312"/>
          <w:sz w:val="32"/>
          <w:szCs w:val="32"/>
          <w:lang w:eastAsia="zh-CN"/>
        </w:rPr>
        <w:t>打造特色且具有效益的产业园区是招商引资、项目建设、财源培育的重</w:t>
      </w:r>
      <w:bookmarkStart w:id="0" w:name="_GoBack"/>
      <w:bookmarkEnd w:id="0"/>
      <w:r>
        <w:rPr>
          <w:rFonts w:hint="eastAsia" w:ascii="仿宋_GB2312" w:hAnsi="仿宋_GB2312" w:eastAsia="仿宋_GB2312" w:cs="仿宋_GB2312"/>
          <w:sz w:val="32"/>
          <w:szCs w:val="32"/>
          <w:lang w:eastAsia="zh-CN"/>
        </w:rPr>
        <w:t>点与载体。为了培育全区制造业高质量发展的新优势，全面优化产业空间布局，将认定的特色产业园纳入到市区两级政策扶持体系中，从</w:t>
      </w:r>
      <w:r>
        <w:rPr>
          <w:rFonts w:hint="eastAsia" w:ascii="仿宋_GB2312" w:hAnsi="仿宋_GB2312" w:eastAsia="仿宋_GB2312" w:cs="仿宋_GB2312"/>
          <w:szCs w:val="32"/>
          <w:lang w:eastAsia="zh-CN"/>
        </w:rPr>
        <w:t>贡献支持、配套支持、金融支持和空间支持四个维度对认定的特色产业园给予政策扶持。</w:t>
      </w:r>
    </w:p>
    <w:p>
      <w:pPr>
        <w:keepNext w:val="0"/>
        <w:keepLines w:val="0"/>
        <w:pageBreakBefore w:val="0"/>
        <w:widowControl/>
        <w:kinsoku/>
        <w:wordWrap/>
        <w:topLinePunct w:val="0"/>
        <w:autoSpaceDE/>
        <w:autoSpaceDN/>
        <w:bidi w:val="0"/>
        <w:spacing w:line="560" w:lineRule="exact"/>
        <w:ind w:left="0" w:leftChars="0" w:firstLine="640" w:firstLineChars="200"/>
        <w:rPr>
          <w:rFonts w:hint="eastAsia" w:ascii="黑体" w:hAnsi="黑体" w:eastAsia="黑体"/>
        </w:rPr>
      </w:pPr>
      <w:r>
        <w:rPr>
          <w:rFonts w:hint="eastAsia" w:ascii="黑体" w:hAnsi="黑体" w:eastAsia="黑体" w:cs="黑体"/>
          <w:lang w:eastAsia="zh-CN"/>
        </w:rPr>
        <w:t>五</w:t>
      </w:r>
      <w:r>
        <w:rPr>
          <w:rFonts w:hint="eastAsia" w:ascii="黑体" w:hAnsi="黑体" w:eastAsia="黑体" w:cs="黑体"/>
        </w:rPr>
        <w:t>、</w:t>
      </w:r>
      <w:r>
        <w:rPr>
          <w:rFonts w:hint="eastAsia" w:ascii="黑体" w:hAnsi="黑体" w:eastAsia="黑体" w:cs="黑体"/>
          <w:lang w:eastAsia="zh-CN"/>
        </w:rPr>
        <w:t>其他</w:t>
      </w:r>
      <w:r>
        <w:rPr>
          <w:rFonts w:hint="eastAsia" w:ascii="黑体" w:hAnsi="黑体" w:eastAsia="黑体"/>
        </w:rPr>
        <w:t>事项</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本办法</w:t>
      </w:r>
      <w:r>
        <w:rPr>
          <w:rFonts w:hint="eastAsia" w:ascii="仿宋_GB2312" w:eastAsia="仿宋_GB2312"/>
          <w:color w:val="auto"/>
          <w:sz w:val="32"/>
          <w:szCs w:val="32"/>
          <w:highlight w:val="none"/>
          <w:lang w:eastAsia="zh-CN"/>
        </w:rPr>
        <w:t>自印发之日起施行，</w:t>
      </w:r>
      <w:r>
        <w:rPr>
          <w:rFonts w:hint="eastAsia" w:ascii="仿宋_GB2312" w:hAnsi="仿宋_GB2312" w:eastAsia="仿宋_GB2312" w:cs="仿宋_GB2312"/>
          <w:color w:val="auto"/>
          <w:sz w:val="32"/>
          <w:szCs w:val="32"/>
          <w:highlight w:val="none"/>
        </w:rPr>
        <w:t>试行</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eastAsia="仿宋_GB2312"/>
          <w:color w:val="auto"/>
          <w:sz w:val="32"/>
          <w:szCs w:val="32"/>
          <w:highlight w:val="none"/>
          <w:lang w:eastAsia="zh-CN"/>
        </w:rPr>
        <w:t>。</w:t>
      </w:r>
    </w:p>
    <w:p/>
    <w:p/>
    <w:sectPr>
      <w:footerReference r:id="rId3" w:type="default"/>
      <w:pgSz w:w="11906" w:h="16838"/>
      <w:pgMar w:top="2098" w:right="1474" w:bottom="1984" w:left="1587" w:header="851" w:footer="992" w:gutter="0"/>
      <w:lnNumType w:countBy="0"/>
      <w:pgNumType w:fmt="numberInDash"/>
      <w:cols w:space="720" w:num="1"/>
      <w:vAlign w:val="top"/>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-152400</wp:posOffset>
              </wp:positionV>
              <wp:extent cx="500380" cy="2501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038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pt;height:19.7pt;width:39.4pt;mso-position-horizontal:outside;mso-position-horizontal-relative:margin;z-index:251658240;mso-width-relative:page;mso-height-relative:page;" filled="f" stroked="f" coordsize="21600,21600" o:gfxdata="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4mK81QAAAAYBAAAPAAAA&#10;AAAAAAEAIAAAACIAAABkcnMvZG93bnJldi54bWxQSwECFAAUAAAACACHTuJAeVxrJBgCAAATBAAA&#10;DgAAAAAAAAABACAAAAAkAQAAZHJzL2Uyb0RvYy54bWxQSwUGAAAAAAYABgBZAQAArgUAAAAA&#10;">
              <v:fill on="f" focussize="0,0"/>
              <v:stroke on="f" weight="0.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C337"/>
    <w:rsid w:val="04DB20B2"/>
    <w:rsid w:val="139C5F06"/>
    <w:rsid w:val="1A0A7D0F"/>
    <w:rsid w:val="2CFBB80F"/>
    <w:rsid w:val="35555F62"/>
    <w:rsid w:val="371C07AF"/>
    <w:rsid w:val="38064F3D"/>
    <w:rsid w:val="3C9724C6"/>
    <w:rsid w:val="41007BB6"/>
    <w:rsid w:val="43146E25"/>
    <w:rsid w:val="473C22BC"/>
    <w:rsid w:val="60AB3E67"/>
    <w:rsid w:val="619721DD"/>
    <w:rsid w:val="6D801A1D"/>
    <w:rsid w:val="6FCE6D9F"/>
    <w:rsid w:val="6FF3E3B3"/>
    <w:rsid w:val="74DF54A5"/>
    <w:rsid w:val="77FE2BA6"/>
    <w:rsid w:val="7FFDC337"/>
    <w:rsid w:val="BBDF4B55"/>
    <w:rsid w:val="BCFA6004"/>
    <w:rsid w:val="DBCBF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仿宋" w:cs="Times New Roman"/>
      <w:kern w:val="2"/>
      <w:sz w:val="32"/>
      <w:szCs w:val="22"/>
      <w:lang w:val="en-US" w:eastAsia="zh-CN" w:bidi="ar-SA"/>
    </w:rPr>
  </w:style>
  <w:style w:type="paragraph" w:styleId="2">
    <w:name w:val="heading 1"/>
    <w:basedOn w:val="1"/>
    <w:next w:val="1"/>
    <w:qFormat/>
    <w:uiPriority w:val="0"/>
    <w:pPr>
      <w:widowControl/>
      <w:spacing w:line="560" w:lineRule="exact"/>
      <w:jc w:val="center"/>
      <w:outlineLvl w:val="0"/>
    </w:pPr>
    <w:rPr>
      <w:rFonts w:ascii="方正小标宋简体" w:hAnsi="方正小标宋简体" w:eastAsia="方正小标宋简体"/>
      <w:kern w:val="44"/>
      <w:sz w:val="44"/>
      <w:szCs w:val="32"/>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4"/>
      <w:lang w:val="en-US" w:eastAsia="zh-CN" w:bidi="ar"/>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unhideWhenUsed/>
    <w:qFormat/>
    <w:uiPriority w:val="99"/>
    <w:pPr>
      <w:ind w:firstLine="420" w:firstLineChars="100"/>
    </w:pPr>
  </w:style>
  <w:style w:type="paragraph" w:styleId="5">
    <w:name w:val="Body Text"/>
    <w:basedOn w:val="1"/>
    <w:next w:val="1"/>
    <w:qFormat/>
    <w:uiPriority w:val="0"/>
    <w:pPr>
      <w:spacing w:line="640" w:lineRule="exact"/>
      <w:jc w:val="center"/>
    </w:pPr>
    <w:rPr>
      <w:rFonts w:ascii="宋体" w:hAnsi="宋体" w:eastAsia="宋体"/>
      <w:b/>
      <w:sz w:val="44"/>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6"/>
    <w:qFormat/>
    <w:uiPriority w:val="0"/>
    <w:pPr>
      <w:ind w:firstLine="420" w:firstLineChars="20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2022-09-08T12:35:00Z</dcterms:created>
  <dc:creator>toucu12</dc:creator>
  <cp:lastModifiedBy>lenovo-2</cp:lastModifiedBy>
  <cp:lastPrinted>2022-09-08T14:46:00Z</cp:lastPrinted>
  <dcterms:modified xsi:type="dcterms:W3CDTF">2023-10-07T08:36:47Z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