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suppressLineNumbers w:val="0"/>
        <w:kinsoku/>
        <w:wordWrap/>
        <w:overflowPunct/>
        <w:topLinePunct w:val="0"/>
        <w:autoSpaceDE/>
        <w:autoSpaceDN/>
        <w:bidi w:val="0"/>
        <w:spacing w:before="0" w:beforeAutospacing="0" w:afterAutospacing="0" w:line="560" w:lineRule="exact"/>
        <w:ind w:left="0" w:right="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 w:val="0"/>
          <w:bCs/>
          <w:kern w:val="44"/>
          <w:sz w:val="44"/>
          <w:szCs w:val="44"/>
          <w:lang w:val="en-US" w:eastAsia="zh-CN" w:bidi="ar"/>
        </w:rPr>
        <w:t>关于</w:t>
      </w:r>
      <w:r>
        <w:rPr>
          <w:rFonts w:hint="default" w:ascii="Times New Roman" w:hAnsi="Times New Roman" w:eastAsia="宋体" w:cs="Times New Roman"/>
          <w:kern w:val="2"/>
          <w:sz w:val="44"/>
          <w:szCs w:val="44"/>
          <w:highlight w:val="none"/>
          <w:lang w:val="en-US" w:eastAsia="zh-CN" w:bidi="ar"/>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16510</wp:posOffset>
                </wp:positionV>
                <wp:extent cx="559054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5590540" cy="0"/>
                        </a:xfrm>
                        <a:prstGeom prst="line">
                          <a:avLst/>
                        </a:prstGeom>
                        <a:ln>
                          <a:noFill/>
                        </a:ln>
                        <a:effectLst/>
                      </wps:spPr>
                      <wps:bodyPr upright="1"/>
                    </wps:wsp>
                  </a:graphicData>
                </a:graphic>
              </wp:anchor>
            </w:drawing>
          </mc:Choice>
          <mc:Fallback>
            <w:pict>
              <v:line id="_x0000_s1026" o:spid="_x0000_s1026" o:spt="20" style="position:absolute;left:0pt;margin-left:0pt;margin-top:1.3pt;height:0pt;width:440.2pt;z-index:251660288;mso-width-relative:page;mso-height-relative:page;" filled="f" stroked="f" coordsize="21600,21600" o:gfxdata="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">
                <v:fill on="f" focussize="0,0"/>
                <v:stroke on="f"/>
                <v:imagedata o:title=""/>
                <o:lock v:ext="edit" aspectratio="f"/>
              </v:line>
            </w:pict>
          </mc:Fallback>
        </mc:AlternateContent>
      </w:r>
      <w:r>
        <w:rPr>
          <w:rFonts w:hint="eastAsia" w:ascii="方正小标宋简体" w:hAnsi="方正小标宋简体" w:eastAsia="方正小标宋简体" w:cs="方正小标宋简体"/>
          <w:kern w:val="2"/>
          <w:sz w:val="44"/>
          <w:szCs w:val="44"/>
          <w:highlight w:val="none"/>
          <w:lang w:val="en-US" w:eastAsia="zh-CN" w:bidi="ar"/>
        </w:rPr>
        <w:t>《</w:t>
      </w:r>
      <w:r>
        <w:rPr>
          <w:rFonts w:hint="eastAsia" w:ascii="方正小标宋简体" w:hAnsi="方正小标宋简体" w:eastAsia="方正小标宋简体" w:cs="方正小标宋简体"/>
          <w:sz w:val="44"/>
          <w:szCs w:val="44"/>
        </w:rPr>
        <w:t>昌平区落实〈关于金融促进未来</w:t>
      </w:r>
    </w:p>
    <w:p>
      <w:pPr>
        <w:keepNext w:val="0"/>
        <w:keepLines w:val="0"/>
        <w:pageBreakBefore w:val="0"/>
        <w:widowControl w:val="0"/>
        <w:suppressLineNumbers w:val="0"/>
        <w:kinsoku/>
        <w:wordWrap/>
        <w:overflowPunct/>
        <w:topLinePunct w:val="0"/>
        <w:autoSpaceDE/>
        <w:autoSpaceDN/>
        <w:bidi w:val="0"/>
        <w:spacing w:before="0" w:beforeAutospacing="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highlight w:val="none"/>
          <w:lang w:val="en-US" w:eastAsia="zh-CN" w:bidi="ar"/>
        </w:rPr>
      </w:pPr>
      <w:r>
        <w:rPr>
          <w:rFonts w:hint="eastAsia" w:ascii="方正小标宋简体" w:hAnsi="方正小标宋简体" w:eastAsia="方正小标宋简体" w:cs="方正小标宋简体"/>
          <w:sz w:val="44"/>
          <w:szCs w:val="44"/>
        </w:rPr>
        <w:t>科学城创新发展的若干措施〉实施细则</w:t>
      </w:r>
      <w:r>
        <w:rPr>
          <w:rFonts w:hint="eastAsia" w:ascii="方正小标宋简体" w:hAnsi="方正小标宋简体" w:eastAsia="方正小标宋简体" w:cs="方正小标宋简体"/>
          <w:kern w:val="2"/>
          <w:sz w:val="44"/>
          <w:szCs w:val="44"/>
          <w:highlight w:val="none"/>
          <w:lang w:val="en-US" w:eastAsia="zh-CN" w:bidi="ar"/>
        </w:rPr>
        <w:t>》</w:t>
      </w:r>
    </w:p>
    <w:p>
      <w:pPr>
        <w:keepNext w:val="0"/>
        <w:keepLines w:val="0"/>
        <w:pageBreakBefore w:val="0"/>
        <w:widowControl w:val="0"/>
        <w:suppressLineNumbers w:val="0"/>
        <w:kinsoku/>
        <w:wordWrap/>
        <w:overflowPunct/>
        <w:topLinePunct w:val="0"/>
        <w:autoSpaceDE/>
        <w:autoSpaceDN/>
        <w:bidi w:val="0"/>
        <w:spacing w:before="0" w:beforeAutospacing="0" w:afterAutospacing="0" w:line="560" w:lineRule="exact"/>
        <w:ind w:left="0" w:right="0"/>
        <w:jc w:val="center"/>
        <w:textAlignment w:val="auto"/>
        <w:rPr>
          <w:rFonts w:hint="eastAsia" w:ascii="方正小标宋简体" w:hAnsi="方正小标宋简体" w:eastAsia="方正小标宋简体" w:cs="方正小标宋简体"/>
          <w:kern w:val="2"/>
          <w:sz w:val="44"/>
          <w:szCs w:val="44"/>
          <w:highlight w:val="none"/>
          <w:lang w:val="en-US" w:eastAsia="zh-CN" w:bidi="ar"/>
        </w:rPr>
      </w:pPr>
      <w:r>
        <w:rPr>
          <w:rFonts w:hint="eastAsia" w:ascii="方正小标宋简体" w:hAnsi="方正小标宋简体" w:eastAsia="方正小标宋简体" w:cs="方正小标宋简体"/>
          <w:kern w:val="2"/>
          <w:sz w:val="44"/>
          <w:szCs w:val="44"/>
          <w:highlight w:val="none"/>
          <w:lang w:val="en-US" w:eastAsia="zh-CN" w:bidi="ar"/>
        </w:rPr>
        <w:t>的起草说明</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right="0" w:rightChars="0"/>
        <w:jc w:val="both"/>
        <w:textAlignment w:val="auto"/>
        <w:rPr>
          <w:rFonts w:hint="default" w:ascii="Times New Roman" w:hAnsi="Times New Roman" w:eastAsia="黑体" w:cs="Times New Roman"/>
          <w:bCs w:val="0"/>
          <w:color w:val="auto"/>
          <w:kern w:val="0"/>
          <w:lang w:eastAsia="zh-CN"/>
        </w:rPr>
      </w:pP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bCs w:val="0"/>
          <w:color w:val="auto"/>
          <w:kern w:val="0"/>
          <w:lang w:val="en-US"/>
        </w:rPr>
      </w:pPr>
      <w:r>
        <w:rPr>
          <w:rFonts w:hint="eastAsia" w:ascii="Times New Roman" w:hAnsi="Times New Roman" w:eastAsia="黑体" w:cs="Times New Roman"/>
          <w:bCs w:val="0"/>
          <w:color w:val="auto"/>
          <w:kern w:val="0"/>
          <w:lang w:eastAsia="zh-CN"/>
        </w:rPr>
        <w:t>一、</w:t>
      </w:r>
      <w:r>
        <w:rPr>
          <w:rFonts w:hint="default" w:ascii="Times New Roman" w:hAnsi="Times New Roman" w:eastAsia="黑体" w:cs="Times New Roman"/>
          <w:bCs w:val="0"/>
          <w:color w:val="auto"/>
          <w:kern w:val="0"/>
          <w:lang w:eastAsia="zh-CN"/>
        </w:rPr>
        <w:t>起草背景</w:t>
      </w:r>
    </w:p>
    <w:p>
      <w:pPr>
        <w:keepNext w:val="0"/>
        <w:keepLines w:val="0"/>
        <w:pageBreakBefore w:val="0"/>
        <w:kinsoku/>
        <w:wordWrap/>
        <w:overflowPunct/>
        <w:topLinePunct w:val="0"/>
        <w:autoSpaceDE/>
        <w:autoSpaceDN/>
        <w:bidi w:val="0"/>
        <w:spacing w:line="560" w:lineRule="exact"/>
        <w:ind w:firstLine="640" w:firstLineChars="200"/>
        <w:textAlignment w:val="auto"/>
        <w:rPr>
          <w:rFonts w:hint="default" w:ascii="Times New Roman" w:hAnsi="Times New Roman" w:eastAsia="仿宋_GB2312" w:cs="Times New Roman"/>
          <w:snapToGrid w:val="0"/>
          <w:color w:val="auto"/>
          <w:sz w:val="32"/>
          <w:szCs w:val="32"/>
          <w:highlight w:val="none"/>
          <w:lang w:eastAsia="zh-CN"/>
        </w:rPr>
      </w:pPr>
      <w:r>
        <w:rPr>
          <w:rFonts w:hint="eastAsia" w:ascii="仿宋_GB2312" w:hAnsi="仿宋_GB2312" w:eastAsia="仿宋_GB2312" w:cs="仿宋_GB2312"/>
          <w:sz w:val="32"/>
          <w:szCs w:val="32"/>
        </w:rPr>
        <w:t>为深入贯彻创新驱动发展战略，落实落细《国务院关于促进国家高新技术产业开发区高质量发展的若干意见》《关于支持中关村国家自主创新示范区开展高水平科技自立自强先行先试改革的若干措施》《北京市中关村国家自主创新示范区建设科创金融改革试验区总体方案》，加快建设中关村科创金融改革试验区，发挥金融服务科技创新的源头活水作用，围绕医药健康、先进能源、先进制造等主导产业，加快构建多层次、专业化、特色化科创金融服务体系，形成“科技+产业+金融”发展良性格局，打造“科创金融示范区”，做强未来科学城“两谷一园”创新引擎，高质量推进昌平“四区”建设，根据《关于金融促进未来科学城创新发展的若干措施》特制定本实施细则。</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right="0" w:rightChars="0" w:firstLine="640" w:firstLineChars="200"/>
        <w:jc w:val="both"/>
        <w:textAlignment w:val="auto"/>
        <w:rPr>
          <w:rFonts w:hint="default" w:ascii="Times New Roman" w:hAnsi="Times New Roman" w:eastAsia="黑体" w:cs="Times New Roman"/>
          <w:bCs w:val="0"/>
          <w:color w:val="auto"/>
          <w:kern w:val="0"/>
          <w:lang w:val="en-US"/>
        </w:rPr>
      </w:pPr>
      <w:r>
        <w:rPr>
          <w:rFonts w:hint="eastAsia" w:ascii="Times New Roman" w:hAnsi="Times New Roman" w:eastAsia="黑体" w:cs="Times New Roman"/>
          <w:bCs w:val="0"/>
          <w:color w:val="auto"/>
          <w:kern w:val="0"/>
          <w:lang w:eastAsia="zh-CN"/>
        </w:rPr>
        <w:t>二、</w:t>
      </w:r>
      <w:r>
        <w:rPr>
          <w:rFonts w:hint="default" w:ascii="Times New Roman" w:hAnsi="Times New Roman" w:eastAsia="黑体" w:cs="Times New Roman"/>
          <w:bCs w:val="0"/>
          <w:color w:val="auto"/>
          <w:kern w:val="0"/>
          <w:lang w:eastAsia="zh-CN"/>
        </w:rPr>
        <w:t>起草过程</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（一）</w:t>
      </w:r>
      <w:r>
        <w:rPr>
          <w:rFonts w:hint="eastAsia" w:ascii="Times New Roman" w:hAnsi="Times New Roman" w:eastAsia="仿宋_GB2312" w:cs="Times New Roman"/>
          <w:color w:val="auto"/>
          <w:kern w:val="0"/>
          <w:sz w:val="32"/>
          <w:szCs w:val="32"/>
          <w:highlight w:val="none"/>
          <w:lang w:val="en-US" w:eastAsia="zh-CN"/>
        </w:rPr>
        <w:t>广泛征求意见</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多次与</w:t>
      </w:r>
      <w:r>
        <w:rPr>
          <w:rFonts w:hint="eastAsia" w:ascii="仿宋_GB2312" w:hAnsi="微软雅黑" w:eastAsia="仿宋_GB2312" w:cs="宋体"/>
          <w:color w:val="auto"/>
          <w:sz w:val="32"/>
          <w:szCs w:val="32"/>
          <w:highlight w:val="none"/>
        </w:rPr>
        <w:t>驻区金融机构</w:t>
      </w:r>
      <w:r>
        <w:rPr>
          <w:rFonts w:hint="eastAsia" w:ascii="仿宋_GB2312" w:hAnsi="微软雅黑" w:eastAsia="仿宋_GB2312" w:cs="宋体"/>
          <w:color w:val="auto"/>
          <w:sz w:val="32"/>
          <w:szCs w:val="32"/>
          <w:highlight w:val="none"/>
          <w:lang w:eastAsia="zh-CN"/>
        </w:rPr>
        <w:t>、</w:t>
      </w:r>
      <w:r>
        <w:rPr>
          <w:rFonts w:hint="eastAsia" w:ascii="仿宋_GB2312" w:hAnsi="微软雅黑" w:eastAsia="仿宋_GB2312" w:cs="宋体"/>
          <w:color w:val="auto"/>
          <w:sz w:val="32"/>
          <w:szCs w:val="32"/>
          <w:highlight w:val="none"/>
        </w:rPr>
        <w:t>红杉资本等知名创投机构、中央财经大学等在昌高校、北京基金业协会等行业组织</w:t>
      </w:r>
      <w:r>
        <w:rPr>
          <w:rFonts w:hint="eastAsia" w:ascii="仿宋_GB2312" w:hAnsi="微软雅黑" w:eastAsia="仿宋_GB2312" w:cs="宋体"/>
          <w:color w:val="auto"/>
          <w:sz w:val="32"/>
          <w:szCs w:val="32"/>
          <w:highlight w:val="none"/>
          <w:lang w:eastAsia="zh-CN"/>
        </w:rPr>
        <w:t>及</w:t>
      </w:r>
      <w:r>
        <w:rPr>
          <w:rFonts w:hint="eastAsia" w:ascii="仿宋_GB2312" w:hAnsi="微软雅黑" w:eastAsia="仿宋_GB2312" w:cs="宋体"/>
          <w:color w:val="auto"/>
          <w:sz w:val="32"/>
          <w:szCs w:val="32"/>
          <w:highlight w:val="none"/>
        </w:rPr>
        <w:t>合作机构开展了多次座谈交流研讨</w:t>
      </w:r>
      <w:r>
        <w:rPr>
          <w:rFonts w:hint="eastAsia" w:ascii="仿宋_GB2312" w:hAnsi="仿宋_GB2312" w:eastAsia="仿宋_GB2312" w:cs="仿宋_GB2312"/>
          <w:sz w:val="32"/>
          <w:szCs w:val="32"/>
          <w:lang w:eastAsia="zh-CN"/>
        </w:rPr>
        <w:t>，</w:t>
      </w:r>
      <w:r>
        <w:rPr>
          <w:rFonts w:hint="eastAsia" w:ascii="仿宋_GB2312" w:hAnsi="微软雅黑" w:eastAsia="仿宋_GB2312" w:cs="宋体"/>
          <w:color w:val="auto"/>
          <w:sz w:val="32"/>
          <w:szCs w:val="32"/>
          <w:highlight w:val="none"/>
        </w:rPr>
        <w:t>充分征求了相关意见和建议，</w:t>
      </w:r>
      <w:r>
        <w:rPr>
          <w:rFonts w:hint="eastAsia" w:ascii="Times New Roman" w:hAnsi="Times New Roman" w:eastAsia="仿宋_GB2312" w:cs="Times New Roman"/>
          <w:color w:val="auto"/>
          <w:kern w:val="0"/>
          <w:sz w:val="32"/>
          <w:szCs w:val="32"/>
          <w:highlight w:val="none"/>
          <w:lang w:val="en-US" w:eastAsia="zh-CN"/>
        </w:rPr>
        <w:t>了解政策诉求。</w:t>
      </w:r>
    </w:p>
    <w:p>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Times New Roman" w:hAnsi="Times New Roman" w:eastAsia="仿宋_GB2312" w:cs="Times New Roman"/>
          <w:color w:val="auto"/>
          <w:kern w:val="0"/>
          <w:sz w:val="32"/>
          <w:szCs w:val="32"/>
          <w:highlight w:val="none"/>
          <w:lang w:val="en-US" w:eastAsia="zh-CN"/>
        </w:rPr>
      </w:pPr>
      <w:r>
        <w:rPr>
          <w:rFonts w:hint="eastAsia" w:eastAsia="仿宋_GB2312" w:cs="Times New Roman"/>
          <w:color w:val="auto"/>
          <w:kern w:val="0"/>
          <w:sz w:val="32"/>
          <w:szCs w:val="32"/>
          <w:highlight w:val="none"/>
          <w:lang w:val="en-US" w:eastAsia="zh-CN"/>
        </w:rPr>
        <w:t>（二）</w:t>
      </w:r>
      <w:r>
        <w:rPr>
          <w:rFonts w:hint="eastAsia" w:ascii="Times New Roman" w:hAnsi="Times New Roman" w:eastAsia="仿宋_GB2312" w:cs="Times New Roman"/>
          <w:color w:val="auto"/>
          <w:kern w:val="0"/>
          <w:sz w:val="32"/>
          <w:szCs w:val="32"/>
          <w:highlight w:val="none"/>
          <w:lang w:val="en-US" w:eastAsia="zh-CN"/>
        </w:rPr>
        <w:t>认真研究分析</w:t>
      </w:r>
      <w:r>
        <w:rPr>
          <w:rFonts w:hint="eastAsia" w:eastAsia="仿宋_GB2312" w:cs="Times New Roman"/>
          <w:color w:val="auto"/>
          <w:kern w:val="0"/>
          <w:sz w:val="32"/>
          <w:szCs w:val="32"/>
          <w:highlight w:val="none"/>
          <w:lang w:val="en-US" w:eastAsia="zh-CN"/>
        </w:rPr>
        <w:t>。</w:t>
      </w:r>
      <w:r>
        <w:rPr>
          <w:rFonts w:hint="eastAsia" w:ascii="Times New Roman" w:hAnsi="Times New Roman" w:eastAsia="仿宋_GB2312" w:cs="Times New Roman"/>
          <w:color w:val="auto"/>
          <w:kern w:val="0"/>
          <w:sz w:val="32"/>
          <w:szCs w:val="32"/>
          <w:highlight w:val="none"/>
          <w:lang w:val="en-US" w:eastAsia="zh-CN"/>
        </w:rPr>
        <w:t>认真学习、</w:t>
      </w:r>
      <w:r>
        <w:rPr>
          <w:rFonts w:hint="eastAsia" w:ascii="仿宋_GB2312" w:hAnsi="微软雅黑" w:eastAsia="仿宋_GB2312" w:cs="宋体"/>
          <w:color w:val="auto"/>
          <w:sz w:val="32"/>
          <w:szCs w:val="32"/>
          <w:highlight w:val="none"/>
        </w:rPr>
        <w:t>充分研究了国家部委、外省市和北京市最新科创金融政策以及杭州、深圳、济南、苏州等地发展经验和模式，对标对表《北京市中关村国家自主创新示范区建设科创金融改革试验区总体方案》</w:t>
      </w:r>
      <w:r>
        <w:rPr>
          <w:rFonts w:hint="eastAsia" w:ascii="仿宋_GB2312" w:hAnsi="仿宋_GB2312" w:eastAsia="仿宋_GB2312" w:cs="仿宋_GB2312"/>
          <w:sz w:val="32"/>
          <w:szCs w:val="32"/>
        </w:rPr>
        <w:t>等</w:t>
      </w:r>
      <w:r>
        <w:rPr>
          <w:rFonts w:hint="eastAsia" w:ascii="仿宋_GB2312" w:hAnsi="仿宋_GB2312" w:eastAsia="仿宋_GB2312" w:cs="仿宋_GB2312"/>
          <w:sz w:val="32"/>
          <w:szCs w:val="32"/>
          <w:lang w:eastAsia="zh-CN"/>
        </w:rPr>
        <w:t>指导性文件</w:t>
      </w:r>
      <w:r>
        <w:rPr>
          <w:rFonts w:hint="eastAsia" w:ascii="Times New Roman" w:hAnsi="Times New Roman" w:eastAsia="仿宋_GB2312" w:cs="Times New Roman"/>
          <w:color w:val="auto"/>
          <w:kern w:val="0"/>
          <w:sz w:val="32"/>
          <w:szCs w:val="32"/>
          <w:highlight w:val="none"/>
          <w:lang w:val="en-US" w:eastAsia="zh-CN"/>
        </w:rPr>
        <w:t>，广泛学习借鉴先进经验做法。</w:t>
      </w:r>
    </w:p>
    <w:p>
      <w:pPr>
        <w:pStyle w:val="8"/>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0" w:leftChars="0" w:right="0" w:rightChars="0" w:firstLine="720" w:firstLineChars="200"/>
        <w:jc w:val="both"/>
        <w:textAlignment w:val="auto"/>
        <w:rPr>
          <w:rFonts w:hint="default" w:ascii="Times New Roman" w:hAnsi="Times New Roman" w:eastAsia="黑体" w:cs="Times New Roman"/>
          <w:bCs w:val="0"/>
          <w:color w:val="auto"/>
          <w:kern w:val="0"/>
          <w:sz w:val="36"/>
          <w:szCs w:val="36"/>
          <w:highlight w:val="none"/>
          <w:lang w:val="en-US"/>
        </w:rPr>
      </w:pPr>
      <w:r>
        <w:rPr>
          <w:rFonts w:hint="eastAsia" w:ascii="Times New Roman" w:hAnsi="Times New Roman" w:eastAsia="黑体" w:cs="Times New Roman"/>
          <w:bCs w:val="0"/>
          <w:color w:val="auto"/>
          <w:kern w:val="0"/>
          <w:sz w:val="36"/>
          <w:szCs w:val="36"/>
          <w:highlight w:val="none"/>
          <w:lang w:eastAsia="zh-CN"/>
        </w:rPr>
        <w:t>三、</w:t>
      </w:r>
      <w:r>
        <w:rPr>
          <w:rFonts w:hint="default" w:ascii="Times New Roman" w:hAnsi="Times New Roman" w:eastAsia="黑体" w:cs="Times New Roman"/>
          <w:bCs w:val="0"/>
          <w:color w:val="auto"/>
          <w:kern w:val="0"/>
          <w:sz w:val="36"/>
          <w:szCs w:val="36"/>
          <w:highlight w:val="none"/>
          <w:lang w:eastAsia="zh-CN"/>
        </w:rPr>
        <w:t>主要内容</w:t>
      </w:r>
    </w:p>
    <w:p>
      <w:pPr>
        <w:spacing w:line="520" w:lineRule="exact"/>
        <w:ind w:firstLine="640" w:firstLineChars="200"/>
        <w:rPr>
          <w:rFonts w:ascii="仿宋_GB2312" w:hAnsi="Times New Roman" w:eastAsia="仿宋_GB2312" w:cs="黑体"/>
          <w:color w:val="auto"/>
          <w:sz w:val="32"/>
          <w:szCs w:val="32"/>
          <w:highlight w:val="none"/>
        </w:rPr>
      </w:pPr>
      <w:r>
        <w:rPr>
          <w:rFonts w:hint="eastAsia" w:ascii="仿宋_GB2312" w:hAnsi="微软雅黑" w:eastAsia="仿宋_GB2312" w:cs="黑体"/>
          <w:color w:val="auto"/>
          <w:sz w:val="32"/>
          <w:szCs w:val="32"/>
          <w:highlight w:val="none"/>
        </w:rPr>
        <w:t>从</w:t>
      </w:r>
      <w:r>
        <w:rPr>
          <w:rFonts w:hint="eastAsia" w:ascii="仿宋_GB2312" w:hAnsi="微软雅黑" w:eastAsia="仿宋_GB2312"/>
          <w:color w:val="auto"/>
          <w:sz w:val="32"/>
          <w:szCs w:val="32"/>
          <w:highlight w:val="none"/>
        </w:rPr>
        <w:t>推动科创金融要素资源聚</w:t>
      </w:r>
      <w:r>
        <w:rPr>
          <w:rFonts w:hint="eastAsia" w:ascii="仿宋_GB2312" w:hAnsi="微软雅黑" w:eastAsia="仿宋_GB2312" w:cs="宋体"/>
          <w:color w:val="auto"/>
          <w:sz w:val="32"/>
          <w:szCs w:val="32"/>
          <w:highlight w:val="none"/>
        </w:rPr>
        <w:t>集、强化金融产品和服务模式创新、拓宽科创企业资本市场融资渠道、推动科创金融开放创新发展、优化科创金融生态环境等方面提出32项具体政策条款</w:t>
      </w:r>
      <w:r>
        <w:rPr>
          <w:rFonts w:hint="eastAsia" w:ascii="仿宋_GB2312" w:hAnsi="Times New Roman" w:eastAsia="仿宋_GB2312" w:cs="黑体"/>
          <w:color w:val="auto"/>
          <w:sz w:val="32"/>
          <w:szCs w:val="32"/>
          <w:highlight w:val="none"/>
        </w:rPr>
        <w:t>：</w:t>
      </w:r>
    </w:p>
    <w:p>
      <w:pPr>
        <w:spacing w:line="520" w:lineRule="exact"/>
        <w:ind w:firstLine="643" w:firstLineChars="200"/>
        <w:rPr>
          <w:rFonts w:ascii="仿宋_GB2312" w:hAnsi="Times New Roman" w:eastAsia="仿宋_GB2312" w:cs="黑体"/>
          <w:color w:val="auto"/>
          <w:sz w:val="32"/>
          <w:szCs w:val="32"/>
          <w:highlight w:val="none"/>
        </w:rPr>
      </w:pPr>
      <w:r>
        <w:rPr>
          <w:rFonts w:hint="eastAsia" w:ascii="仿宋_GB2312" w:hAnsi="Times New Roman" w:eastAsia="仿宋_GB2312" w:cs="黑体"/>
          <w:b/>
          <w:bCs/>
          <w:color w:val="auto"/>
          <w:sz w:val="32"/>
          <w:szCs w:val="32"/>
          <w:highlight w:val="none"/>
        </w:rPr>
        <w:t>一是推动科创金融要素资源聚集。</w:t>
      </w:r>
      <w:r>
        <w:rPr>
          <w:rFonts w:hint="eastAsia" w:ascii="仿宋_GB2312" w:hAnsi="Times New Roman" w:eastAsia="仿宋_GB2312" w:cs="黑体"/>
          <w:color w:val="auto"/>
          <w:sz w:val="32"/>
          <w:szCs w:val="32"/>
          <w:highlight w:val="none"/>
        </w:rPr>
        <w:t>重点支持</w:t>
      </w:r>
      <w:r>
        <w:rPr>
          <w:rFonts w:hint="eastAsia" w:ascii="仿宋_GB2312" w:hAnsi="Times New Roman" w:eastAsia="仿宋_GB2312"/>
          <w:color w:val="auto"/>
          <w:sz w:val="32"/>
          <w:szCs w:val="32"/>
          <w:highlight w:val="none"/>
        </w:rPr>
        <w:t>银行理财子公司、证券资管子公司、保险资管公司等专业资产管理机构入驻。推动科技金融专营组织机构、</w:t>
      </w:r>
      <w:r>
        <w:rPr>
          <w:rFonts w:hint="eastAsia" w:ascii="仿宋_GB2312" w:hAnsi="Times New Roman" w:eastAsia="仿宋_GB2312" w:cs="黑体"/>
          <w:color w:val="auto"/>
          <w:sz w:val="32"/>
          <w:szCs w:val="32"/>
          <w:highlight w:val="none"/>
        </w:rPr>
        <w:t>特色科技支行</w:t>
      </w:r>
      <w:r>
        <w:rPr>
          <w:rFonts w:hint="eastAsia" w:ascii="仿宋_GB2312" w:hAnsi="Times New Roman" w:eastAsia="仿宋_GB2312"/>
          <w:color w:val="auto"/>
          <w:sz w:val="32"/>
          <w:szCs w:val="32"/>
          <w:highlight w:val="none"/>
        </w:rPr>
        <w:t>等专业化科创金融机构落地，创新科技保险组织体系</w:t>
      </w:r>
      <w:r>
        <w:rPr>
          <w:rFonts w:hint="eastAsia" w:ascii="仿宋_GB2312" w:hAnsi="Times New Roman" w:eastAsia="仿宋_GB2312" w:cs="黑体"/>
          <w:color w:val="auto"/>
          <w:sz w:val="32"/>
          <w:szCs w:val="32"/>
          <w:highlight w:val="none"/>
        </w:rPr>
        <w:t>，健全金融中介服务体系</w:t>
      </w:r>
      <w:r>
        <w:rPr>
          <w:rFonts w:hint="eastAsia" w:ascii="仿宋_GB2312" w:hAnsi="Times New Roman" w:eastAsia="仿宋_GB2312" w:cs="黑体"/>
          <w:color w:val="auto"/>
          <w:sz w:val="32"/>
          <w:szCs w:val="32"/>
          <w:highlight w:val="none"/>
          <w:lang w:eastAsia="zh-CN"/>
        </w:rPr>
        <w:t>等</w:t>
      </w:r>
      <w:r>
        <w:rPr>
          <w:rFonts w:hint="eastAsia" w:ascii="仿宋_GB2312" w:hAnsi="Times New Roman" w:eastAsia="仿宋_GB2312"/>
          <w:color w:val="auto"/>
          <w:sz w:val="32"/>
          <w:szCs w:val="32"/>
          <w:highlight w:val="none"/>
        </w:rPr>
        <w:t>。</w:t>
      </w:r>
      <w:r>
        <w:rPr>
          <w:rFonts w:hint="eastAsia" w:ascii="仿宋_GB2312" w:hAnsi="仿宋_GB2312" w:eastAsia="仿宋_GB2312" w:cs="仿宋_GB2312"/>
          <w:color w:val="auto"/>
          <w:sz w:val="32"/>
          <w:szCs w:val="32"/>
          <w:highlight w:val="none"/>
        </w:rPr>
        <w:t>加快构建多层次科技产业母基金群，</w:t>
      </w:r>
      <w:r>
        <w:rPr>
          <w:rFonts w:hint="eastAsia" w:ascii="仿宋_GB2312" w:hAnsi="Times New Roman" w:eastAsia="仿宋_GB2312" w:cs="黑体"/>
          <w:color w:val="auto"/>
          <w:sz w:val="32"/>
          <w:szCs w:val="32"/>
          <w:highlight w:val="none"/>
        </w:rPr>
        <w:t>支持耐心资本参与科技创新投资，</w:t>
      </w:r>
      <w:r>
        <w:rPr>
          <w:rFonts w:hint="eastAsia" w:ascii="仿宋_GB2312" w:hAnsi="Times New Roman" w:eastAsia="仿宋_GB2312"/>
          <w:color w:val="auto"/>
          <w:sz w:val="32"/>
          <w:szCs w:val="32"/>
          <w:highlight w:val="none"/>
        </w:rPr>
        <w:t>鼓励成立链主基金，</w:t>
      </w:r>
      <w:r>
        <w:rPr>
          <w:rFonts w:hint="eastAsia" w:ascii="仿宋_GB2312" w:hAnsi="Times New Roman" w:eastAsia="仿宋_GB2312" w:cs="黑体"/>
          <w:color w:val="auto"/>
          <w:sz w:val="32"/>
          <w:szCs w:val="32"/>
          <w:highlight w:val="none"/>
        </w:rPr>
        <w:t>拓展“孵化+创投”模式。</w:t>
      </w:r>
    </w:p>
    <w:p>
      <w:pPr>
        <w:widowControl/>
        <w:numPr>
          <w:ilvl w:val="255"/>
          <w:numId w:val="0"/>
        </w:numPr>
        <w:spacing w:line="520" w:lineRule="exact"/>
        <w:ind w:firstLine="643" w:firstLineChars="200"/>
        <w:rPr>
          <w:rFonts w:ascii="仿宋_GB2312" w:hAnsi="Times New Roman" w:eastAsia="仿宋_GB2312"/>
          <w:color w:val="auto"/>
          <w:sz w:val="32"/>
          <w:szCs w:val="32"/>
          <w:highlight w:val="none"/>
        </w:rPr>
      </w:pPr>
      <w:r>
        <w:rPr>
          <w:rFonts w:hint="eastAsia" w:ascii="仿宋_GB2312" w:hAnsi="Times New Roman" w:eastAsia="仿宋_GB2312" w:cs="黑体"/>
          <w:b/>
          <w:bCs/>
          <w:color w:val="auto"/>
          <w:sz w:val="32"/>
          <w:szCs w:val="32"/>
          <w:highlight w:val="none"/>
        </w:rPr>
        <w:t>二是强化金融产品和服务模式创新。</w:t>
      </w:r>
      <w:r>
        <w:rPr>
          <w:rFonts w:hint="eastAsia" w:ascii="仿宋_GB2312" w:hAnsi="Times New Roman" w:eastAsia="仿宋_GB2312"/>
          <w:color w:val="auto"/>
          <w:sz w:val="32"/>
          <w:szCs w:val="32"/>
          <w:highlight w:val="none"/>
        </w:rPr>
        <w:t>完善科创信贷担保体系，</w:t>
      </w:r>
      <w:r>
        <w:rPr>
          <w:rFonts w:hint="eastAsia" w:ascii="仿宋_GB2312" w:hAnsi="Times New Roman" w:eastAsia="仿宋_GB2312" w:cs="黑体"/>
          <w:color w:val="auto"/>
          <w:sz w:val="32"/>
          <w:szCs w:val="32"/>
          <w:highlight w:val="none"/>
        </w:rPr>
        <w:t>加强科创信贷及普惠金融支持力度，</w:t>
      </w:r>
      <w:r>
        <w:rPr>
          <w:rFonts w:hint="eastAsia" w:ascii="仿宋_GB2312" w:hAnsi="仿宋" w:eastAsia="仿宋_GB2312"/>
          <w:color w:val="auto"/>
          <w:sz w:val="32"/>
          <w:szCs w:val="32"/>
          <w:highlight w:val="none"/>
        </w:rPr>
        <w:t>鼓励政府性</w:t>
      </w:r>
      <w:r>
        <w:rPr>
          <w:rFonts w:hint="eastAsia" w:ascii="仿宋_GB2312" w:hAnsi="仿宋_GB2312" w:eastAsia="仿宋_GB2312" w:cs="仿宋_GB2312"/>
          <w:color w:val="auto"/>
          <w:sz w:val="32"/>
          <w:szCs w:val="32"/>
          <w:highlight w:val="none"/>
        </w:rPr>
        <w:t>融资担保公司优化科创融资担保服务，提升</w:t>
      </w:r>
      <w:r>
        <w:rPr>
          <w:rFonts w:hint="eastAsia" w:ascii="仿宋_GB2312" w:hAnsi="Courier New" w:eastAsia="仿宋_GB2312"/>
          <w:color w:val="auto"/>
          <w:sz w:val="32"/>
          <w:szCs w:val="32"/>
          <w:highlight w:val="none"/>
        </w:rPr>
        <w:t>科创企业融资担保业务比重</w:t>
      </w:r>
      <w:r>
        <w:rPr>
          <w:rFonts w:hint="eastAsia" w:ascii="仿宋_GB2312" w:hAnsi="Times New Roman" w:eastAsia="仿宋_GB2312" w:cs="黑体"/>
          <w:color w:val="auto"/>
          <w:sz w:val="32"/>
          <w:szCs w:val="32"/>
          <w:highlight w:val="none"/>
        </w:rPr>
        <w:t>，</w:t>
      </w:r>
      <w:r>
        <w:rPr>
          <w:rFonts w:hint="eastAsia" w:ascii="仿宋_GB2312" w:hAnsi="Times New Roman" w:eastAsia="仿宋_GB2312"/>
          <w:color w:val="auto"/>
          <w:sz w:val="32"/>
          <w:szCs w:val="32"/>
          <w:highlight w:val="none"/>
        </w:rPr>
        <w:t>对银行机构及政府性融资担保公司给予补贴或信贷风险补偿</w:t>
      </w:r>
      <w:r>
        <w:rPr>
          <w:rFonts w:hint="eastAsia" w:ascii="仿宋_GB2312" w:hAnsi="Courier New" w:eastAsia="仿宋_GB2312"/>
          <w:color w:val="auto"/>
          <w:sz w:val="32"/>
          <w:szCs w:val="32"/>
          <w:highlight w:val="none"/>
        </w:rPr>
        <w:t>。</w:t>
      </w:r>
      <w:r>
        <w:rPr>
          <w:rFonts w:hint="eastAsia" w:ascii="仿宋_GB2312" w:hAnsi="Times New Roman" w:eastAsia="仿宋_GB2312"/>
          <w:color w:val="auto"/>
          <w:sz w:val="32"/>
          <w:szCs w:val="32"/>
          <w:highlight w:val="none"/>
        </w:rPr>
        <w:t>强化科技保险保障，给予科创企业、保险机构补贴或风险补偿。</w:t>
      </w:r>
      <w:r>
        <w:rPr>
          <w:rFonts w:hint="eastAsia" w:ascii="仿宋_GB2312" w:hAnsi="Times New Roman" w:eastAsia="仿宋_GB2312" w:cs="黑体"/>
          <w:color w:val="auto"/>
          <w:sz w:val="32"/>
          <w:szCs w:val="32"/>
          <w:highlight w:val="none"/>
        </w:rPr>
        <w:t>鼓励商业保理、融资租赁积极展业并按照业务量给予奖励</w:t>
      </w:r>
      <w:r>
        <w:rPr>
          <w:rFonts w:hint="eastAsia" w:ascii="仿宋_GB2312" w:hAnsi="Times New Roman" w:eastAsia="仿宋_GB2312"/>
          <w:color w:val="auto"/>
          <w:sz w:val="32"/>
          <w:szCs w:val="32"/>
          <w:highlight w:val="none"/>
        </w:rPr>
        <w:t>。</w:t>
      </w:r>
    </w:p>
    <w:p>
      <w:pPr>
        <w:numPr>
          <w:ilvl w:val="255"/>
          <w:numId w:val="0"/>
        </w:numPr>
        <w:shd w:val="clear" w:color="auto" w:fill="FFFFFF"/>
        <w:spacing w:line="520" w:lineRule="exact"/>
        <w:ind w:firstLine="643" w:firstLineChars="200"/>
        <w:rPr>
          <w:rFonts w:ascii="仿宋_GB2312" w:hAnsi="Times New Roman" w:eastAsia="仿宋_GB2312" w:cs="黑体"/>
          <w:color w:val="auto"/>
          <w:sz w:val="32"/>
          <w:szCs w:val="32"/>
          <w:highlight w:val="none"/>
        </w:rPr>
      </w:pPr>
      <w:r>
        <w:rPr>
          <w:rFonts w:hint="eastAsia" w:ascii="仿宋_GB2312" w:hAnsi="Times New Roman" w:eastAsia="仿宋_GB2312" w:cs="黑体"/>
          <w:b/>
          <w:bCs/>
          <w:color w:val="auto"/>
          <w:sz w:val="32"/>
          <w:szCs w:val="32"/>
          <w:highlight w:val="none"/>
        </w:rPr>
        <w:t>三是拓宽科创企业资本市场融资渠道。</w:t>
      </w:r>
      <w:r>
        <w:rPr>
          <w:rFonts w:hint="eastAsia" w:ascii="仿宋_GB2312" w:hAnsi="Times New Roman" w:eastAsia="仿宋_GB2312" w:cs="黑体"/>
          <w:color w:val="auto"/>
          <w:sz w:val="32"/>
          <w:szCs w:val="32"/>
          <w:highlight w:val="none"/>
        </w:rPr>
        <w:t>鼓励创投机构开展硬科技投资及早期投资</w:t>
      </w:r>
      <w:r>
        <w:rPr>
          <w:rFonts w:hint="eastAsia" w:ascii="仿宋_GB2312" w:hAnsi="Times New Roman" w:eastAsia="仿宋_GB2312"/>
          <w:color w:val="auto"/>
          <w:sz w:val="32"/>
          <w:szCs w:val="32"/>
          <w:highlight w:val="none"/>
        </w:rPr>
        <w:t>，对开</w:t>
      </w:r>
      <w:bookmarkStart w:id="0" w:name="_GoBack"/>
      <w:bookmarkEnd w:id="0"/>
      <w:r>
        <w:rPr>
          <w:rFonts w:hint="eastAsia" w:ascii="仿宋_GB2312" w:hAnsi="Times New Roman" w:eastAsia="仿宋_GB2312"/>
          <w:color w:val="auto"/>
          <w:sz w:val="32"/>
          <w:szCs w:val="32"/>
          <w:highlight w:val="none"/>
        </w:rPr>
        <w:t>展首轮投资并获得市科委、中关村管委会风险补贴支持的给予同比例配套资金支持，并</w:t>
      </w:r>
      <w:r>
        <w:rPr>
          <w:rFonts w:hint="eastAsia" w:ascii="仿宋_GB2312" w:hAnsi="Times New Roman" w:eastAsia="仿宋_GB2312" w:cs="黑体"/>
          <w:color w:val="auto"/>
          <w:sz w:val="32"/>
          <w:szCs w:val="32"/>
          <w:highlight w:val="none"/>
        </w:rPr>
        <w:t>优先安排政府引导基金跟进投资。</w:t>
      </w:r>
      <w:r>
        <w:rPr>
          <w:rFonts w:hint="eastAsia" w:ascii="仿宋_GB2312" w:hAnsi="Times New Roman" w:eastAsia="仿宋_GB2312"/>
          <w:color w:val="auto"/>
          <w:sz w:val="32"/>
          <w:szCs w:val="32"/>
          <w:highlight w:val="none"/>
        </w:rPr>
        <w:t>支持科创企业上市创新发展，</w:t>
      </w:r>
      <w:r>
        <w:rPr>
          <w:rFonts w:hint="eastAsia" w:ascii="仿宋_GB2312" w:hAnsi="Times New Roman" w:eastAsia="仿宋_GB2312" w:cs="黑体"/>
          <w:color w:val="auto"/>
          <w:sz w:val="32"/>
          <w:szCs w:val="32"/>
          <w:highlight w:val="none"/>
        </w:rPr>
        <w:t>用好支持企业上市创新发展政策。</w:t>
      </w:r>
      <w:r>
        <w:rPr>
          <w:rFonts w:hint="eastAsia" w:ascii="仿宋_GB2312" w:hAnsi="黑体" w:eastAsia="仿宋_GB2312"/>
          <w:color w:val="auto"/>
          <w:sz w:val="32"/>
          <w:szCs w:val="32"/>
          <w:highlight w:val="none"/>
        </w:rPr>
        <w:t>强化与</w:t>
      </w:r>
      <w:r>
        <w:rPr>
          <w:rFonts w:hint="eastAsia" w:ascii="仿宋_GB2312" w:eastAsia="仿宋_GB2312"/>
          <w:color w:val="auto"/>
          <w:sz w:val="32"/>
          <w:szCs w:val="32"/>
          <w:highlight w:val="none"/>
        </w:rPr>
        <w:t>北京证券交易所联动，设立“</w:t>
      </w:r>
      <w:r>
        <w:rPr>
          <w:rFonts w:hint="eastAsia" w:ascii="仿宋_GB2312" w:hAnsi="黑体" w:eastAsia="仿宋_GB2312"/>
          <w:color w:val="auto"/>
          <w:sz w:val="32"/>
          <w:szCs w:val="32"/>
          <w:highlight w:val="none"/>
        </w:rPr>
        <w:t>北京证券交易所全国股转系统昌平服务基地</w:t>
      </w:r>
      <w:r>
        <w:rPr>
          <w:rFonts w:hint="eastAsia" w:ascii="仿宋_GB2312" w:eastAsia="仿宋_GB2312"/>
          <w:color w:val="auto"/>
          <w:sz w:val="32"/>
          <w:szCs w:val="32"/>
          <w:highlight w:val="none"/>
        </w:rPr>
        <w:t>”</w:t>
      </w:r>
      <w:r>
        <w:rPr>
          <w:rFonts w:hint="eastAsia" w:ascii="仿宋_GB2312" w:hAnsi="Times New Roman" w:eastAsia="仿宋_GB2312"/>
          <w:color w:val="auto"/>
          <w:sz w:val="32"/>
          <w:szCs w:val="32"/>
          <w:highlight w:val="none"/>
          <w:lang w:val="en"/>
        </w:rPr>
        <w:t>，</w:t>
      </w:r>
      <w:r>
        <w:rPr>
          <w:rFonts w:hint="eastAsia" w:ascii="仿宋_GB2312" w:eastAsia="仿宋_GB2312"/>
          <w:color w:val="auto"/>
          <w:sz w:val="32"/>
          <w:szCs w:val="32"/>
          <w:highlight w:val="none"/>
        </w:rPr>
        <w:t>鼓励创投机构支持企业在北交所上市</w:t>
      </w:r>
      <w:r>
        <w:rPr>
          <w:rFonts w:hint="eastAsia" w:ascii="仿宋_GB2312" w:hAnsi="Times New Roman" w:eastAsia="仿宋_GB2312"/>
          <w:color w:val="auto"/>
          <w:sz w:val="32"/>
          <w:szCs w:val="32"/>
          <w:highlight w:val="none"/>
        </w:rPr>
        <w:t>，对获得金融监管局资金支持的给予配套资金支持</w:t>
      </w:r>
      <w:r>
        <w:rPr>
          <w:rFonts w:hint="eastAsia" w:ascii="仿宋_GB2312" w:eastAsia="仿宋_GB2312"/>
          <w:color w:val="auto"/>
          <w:sz w:val="32"/>
          <w:szCs w:val="32"/>
          <w:highlight w:val="none"/>
        </w:rPr>
        <w:t>。</w:t>
      </w:r>
    </w:p>
    <w:p>
      <w:pPr>
        <w:spacing w:line="520" w:lineRule="exact"/>
        <w:ind w:firstLine="643" w:firstLineChars="200"/>
        <w:rPr>
          <w:rFonts w:ascii="仿宋_GB2312" w:hAnsi="Times New Roman" w:eastAsia="仿宋_GB2312" w:cs="黑体"/>
          <w:color w:val="auto"/>
          <w:sz w:val="32"/>
          <w:szCs w:val="32"/>
          <w:highlight w:val="none"/>
        </w:rPr>
      </w:pPr>
      <w:r>
        <w:rPr>
          <w:rFonts w:hint="eastAsia" w:ascii="仿宋_GB2312" w:hAnsi="Times New Roman" w:eastAsia="仿宋_GB2312" w:cs="黑体"/>
          <w:b/>
          <w:bCs/>
          <w:color w:val="auto"/>
          <w:sz w:val="32"/>
          <w:szCs w:val="32"/>
          <w:highlight w:val="none"/>
        </w:rPr>
        <w:t>四是推动科创金融开放创新发展。</w:t>
      </w:r>
      <w:r>
        <w:rPr>
          <w:rFonts w:hint="eastAsia" w:ascii="仿宋_GB2312" w:hAnsi="宋体" w:eastAsia="仿宋_GB2312" w:cs="宋体"/>
          <w:color w:val="auto"/>
          <w:kern w:val="0"/>
          <w:sz w:val="32"/>
          <w:szCs w:val="32"/>
          <w:highlight w:val="none"/>
        </w:rPr>
        <w:t>推动在上市服务基地</w:t>
      </w:r>
      <w:r>
        <w:rPr>
          <w:rFonts w:hint="eastAsia" w:ascii="仿宋_GB2312" w:hAnsi="黑体" w:eastAsia="仿宋_GB2312"/>
          <w:color w:val="auto"/>
          <w:sz w:val="32"/>
          <w:szCs w:val="32"/>
          <w:highlight w:val="none"/>
        </w:rPr>
        <w:t>开通综合金融服务窗口，开展认股权、基金份额转让、可转债等综合金融服务试点</w:t>
      </w:r>
      <w:r>
        <w:rPr>
          <w:rFonts w:hint="eastAsia" w:ascii="仿宋_GB2312" w:eastAsia="仿宋_GB2312"/>
          <w:color w:val="auto"/>
          <w:sz w:val="32"/>
          <w:szCs w:val="32"/>
          <w:highlight w:val="none"/>
        </w:rPr>
        <w:t>。</w:t>
      </w:r>
      <w:r>
        <w:rPr>
          <w:rFonts w:hint="eastAsia" w:ascii="仿宋_GB2312" w:hAnsi="Times New Roman" w:eastAsia="仿宋_GB2312" w:cs="黑体"/>
          <w:color w:val="auto"/>
          <w:sz w:val="32"/>
          <w:szCs w:val="32"/>
          <w:highlight w:val="none"/>
        </w:rPr>
        <w:t>鼓励高新技术企业发行科技创新公司债券、科创票据。鼓励金融机构丰富绿色信贷、绿色债券、绿色票据等</w:t>
      </w:r>
      <w:r>
        <w:rPr>
          <w:rFonts w:hint="eastAsia" w:ascii="仿宋_GB2312" w:hAnsi="Times New Roman" w:eastAsia="仿宋_GB2312" w:cs="Times New Roman"/>
          <w:color w:val="auto"/>
          <w:sz w:val="32"/>
          <w:szCs w:val="32"/>
          <w:highlight w:val="none"/>
        </w:rPr>
        <w:t>融资产品和服务。</w:t>
      </w:r>
      <w:r>
        <w:rPr>
          <w:rFonts w:hint="eastAsia" w:ascii="仿宋_GB2312" w:eastAsia="仿宋_GB2312"/>
          <w:color w:val="auto"/>
          <w:sz w:val="32"/>
          <w:szCs w:val="32"/>
          <w:highlight w:val="none"/>
        </w:rPr>
        <w:t>用好用足“两区”先行先试政策优势，提升科创企业跨境融资服务</w:t>
      </w:r>
      <w:r>
        <w:rPr>
          <w:rFonts w:hint="eastAsia" w:ascii="仿宋_GB2312" w:hAnsi="Times New Roman" w:eastAsia="仿宋_GB2312"/>
          <w:color w:val="auto"/>
          <w:sz w:val="32"/>
          <w:szCs w:val="32"/>
          <w:highlight w:val="none"/>
        </w:rPr>
        <w:t>。支持金融科技企业开展关键技术创新，对获得市科委、中关村管委会资金支持的给予配套资金支持</w:t>
      </w:r>
      <w:r>
        <w:rPr>
          <w:rFonts w:hint="eastAsia" w:ascii="仿宋_GB2312" w:hAnsi="Times New Roman" w:eastAsia="仿宋_GB2312" w:cs="黑体"/>
          <w:color w:val="auto"/>
          <w:sz w:val="32"/>
          <w:szCs w:val="32"/>
          <w:highlight w:val="none"/>
        </w:rPr>
        <w:t>。</w:t>
      </w:r>
    </w:p>
    <w:p>
      <w:pPr>
        <w:pStyle w:val="4"/>
        <w:numPr>
          <w:ilvl w:val="255"/>
          <w:numId w:val="0"/>
        </w:numPr>
        <w:spacing w:line="520" w:lineRule="exact"/>
        <w:ind w:firstLine="643" w:firstLineChars="200"/>
        <w:rPr>
          <w:rFonts w:ascii="仿宋_GB2312" w:hAnsi="Times New Roman" w:eastAsia="仿宋_GB2312" w:cs="黑体"/>
          <w:color w:val="auto"/>
          <w:sz w:val="32"/>
          <w:szCs w:val="32"/>
          <w:highlight w:val="none"/>
        </w:rPr>
      </w:pPr>
      <w:r>
        <w:rPr>
          <w:rFonts w:hint="eastAsia" w:ascii="仿宋_GB2312" w:hAnsi="Times New Roman" w:eastAsia="仿宋_GB2312"/>
          <w:b/>
          <w:bCs/>
          <w:color w:val="auto"/>
          <w:sz w:val="32"/>
          <w:szCs w:val="32"/>
          <w:highlight w:val="none"/>
        </w:rPr>
        <w:t>五是</w:t>
      </w:r>
      <w:r>
        <w:rPr>
          <w:rFonts w:hint="eastAsia" w:ascii="仿宋_GB2312" w:hAnsi="Times New Roman" w:eastAsia="仿宋_GB2312" w:cs="黑体"/>
          <w:b/>
          <w:bCs/>
          <w:color w:val="auto"/>
          <w:sz w:val="32"/>
          <w:szCs w:val="32"/>
          <w:highlight w:val="none"/>
        </w:rPr>
        <w:t>优化科创金融生态环境。</w:t>
      </w:r>
      <w:r>
        <w:rPr>
          <w:rFonts w:hint="eastAsia" w:ascii="仿宋_GB2312" w:hAnsi="仿宋_GB2312" w:eastAsia="仿宋_GB2312" w:cs="仿宋_GB2312"/>
          <w:color w:val="auto"/>
          <w:sz w:val="32"/>
          <w:szCs w:val="32"/>
          <w:highlight w:val="none"/>
        </w:rPr>
        <w:t>打造科创金融智库，激励更多颠覆性科创人才在昌成才发展。</w:t>
      </w:r>
      <w:r>
        <w:rPr>
          <w:rFonts w:hint="eastAsia" w:ascii="仿宋_GB2312" w:hAnsi="仿宋_GB2312" w:eastAsia="仿宋_GB2312" w:cs="仿宋_GB2312"/>
          <w:color w:val="auto"/>
          <w:sz w:val="32"/>
          <w:szCs w:val="32"/>
          <w:highlight w:val="none"/>
          <w:shd w:val="clear" w:color="auto" w:fill="FFFFFF"/>
        </w:rPr>
        <w:t>建立科创金融信息数据库</w:t>
      </w:r>
      <w:r>
        <w:rPr>
          <w:rFonts w:ascii="仿宋_GB2312" w:hAnsi="仿宋_GB2312" w:eastAsia="仿宋_GB2312" w:cs="仿宋_GB2312"/>
          <w:color w:val="auto"/>
          <w:sz w:val="32"/>
          <w:szCs w:val="32"/>
          <w:highlight w:val="none"/>
          <w:shd w:val="clear" w:color="auto" w:fill="FFFFFF"/>
        </w:rPr>
        <w:t>，</w:t>
      </w:r>
      <w:r>
        <w:rPr>
          <w:rFonts w:hint="eastAsia" w:ascii="仿宋_GB2312" w:hAnsi="仿宋_GB2312" w:eastAsia="仿宋_GB2312" w:cs="仿宋_GB2312"/>
          <w:color w:val="auto"/>
          <w:sz w:val="32"/>
          <w:szCs w:val="32"/>
          <w:highlight w:val="none"/>
          <w:shd w:val="clear" w:color="auto" w:fill="FFFFFF"/>
        </w:rPr>
        <w:t>提高金融服务数字经济、数字贸易能力。</w:t>
      </w:r>
      <w:r>
        <w:rPr>
          <w:rFonts w:hint="eastAsia" w:ascii="仿宋_GB2312" w:hAnsi="Times New Roman" w:eastAsia="仿宋_GB2312" w:cs="黑体"/>
          <w:color w:val="auto"/>
          <w:sz w:val="32"/>
          <w:szCs w:val="32"/>
          <w:highlight w:val="none"/>
        </w:rPr>
        <w:t>提升注册登记服务便利化水平，设立科创金融机构“白名单”，开通登记注册专属服务窗口。设立私募股权投资基金注册备案绿色通道，优化前置审核机制。</w:t>
      </w:r>
      <w:r>
        <w:rPr>
          <w:rFonts w:hint="eastAsia" w:eastAsia="仿宋_GB2312"/>
          <w:color w:val="auto"/>
          <w:sz w:val="32"/>
          <w:szCs w:val="32"/>
          <w:highlight w:val="none"/>
        </w:rPr>
        <w:t>发挥“沙河高教园区”高校联盟引领作用，</w:t>
      </w:r>
      <w:r>
        <w:rPr>
          <w:rFonts w:hint="eastAsia" w:ascii="仿宋_GB2312" w:hAnsi="Times New Roman" w:eastAsia="仿宋_GB2312" w:cs="黑体"/>
          <w:color w:val="auto"/>
          <w:sz w:val="32"/>
          <w:szCs w:val="32"/>
          <w:highlight w:val="none"/>
        </w:rPr>
        <w:t>强化金融资本同科研院所、高校合作，</w:t>
      </w:r>
      <w:r>
        <w:rPr>
          <w:rFonts w:ascii="仿宋_GB2312" w:eastAsia="仿宋_GB2312" w:cs="Times New Roman"/>
          <w:color w:val="auto"/>
          <w:sz w:val="32"/>
          <w:szCs w:val="32"/>
          <w:highlight w:val="none"/>
        </w:rPr>
        <w:t>加快金融赋能科技成果转化</w:t>
      </w:r>
      <w:r>
        <w:rPr>
          <w:rFonts w:hint="eastAsia" w:ascii="仿宋_GB2312" w:hAnsi="Times New Roman" w:eastAsia="仿宋_GB2312" w:cs="黑体"/>
          <w:color w:val="auto"/>
          <w:sz w:val="32"/>
          <w:szCs w:val="32"/>
          <w:highlight w:val="none"/>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6967EC1"/>
    <w:rsid w:val="76967EC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iPriority="99"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Normal Indent"/>
    <w:basedOn w:val="1"/>
    <w:next w:val="3"/>
    <w:qFormat/>
    <w:uiPriority w:val="0"/>
    <w:pPr>
      <w:ind w:firstLine="420"/>
    </w:pPr>
    <w:rPr>
      <w:rFonts w:ascii="Times New Roman" w:eastAsia="宋体"/>
      <w:szCs w:val="20"/>
    </w:rPr>
  </w:style>
  <w:style w:type="paragraph" w:styleId="3">
    <w:name w:val="Body Text Indent"/>
    <w:basedOn w:val="1"/>
    <w:next w:val="2"/>
    <w:qFormat/>
    <w:uiPriority w:val="0"/>
    <w:pPr>
      <w:widowControl w:val="0"/>
      <w:spacing w:after="0"/>
      <w:ind w:firstLine="620"/>
      <w:jc w:val="both"/>
    </w:pPr>
    <w:rPr>
      <w:rFonts w:ascii="Times New Roman" w:hAnsi="Times New Roman" w:eastAsia="仿宋_GB2312" w:cs="宋体"/>
      <w:kern w:val="0"/>
      <w:sz w:val="32"/>
      <w:szCs w:val="20"/>
      <w:lang w:val="en-US" w:eastAsia="zh-CN" w:bidi="ar-SA"/>
    </w:rPr>
  </w:style>
  <w:style w:type="paragraph" w:styleId="4">
    <w:name w:val="index 1"/>
    <w:basedOn w:val="1"/>
    <w:next w:val="1"/>
    <w:unhideWhenUsed/>
    <w:qFormat/>
    <w:uiPriority w:val="99"/>
  </w:style>
  <w:style w:type="paragraph" w:styleId="5">
    <w:name w:val="Body Text First Indent 2"/>
    <w:basedOn w:val="3"/>
    <w:next w:val="1"/>
    <w:unhideWhenUsed/>
    <w:qFormat/>
    <w:uiPriority w:val="99"/>
    <w:pPr>
      <w:ind w:firstLine="420" w:firstLineChars="200"/>
    </w:pPr>
  </w:style>
  <w:style w:type="paragraph" w:customStyle="1" w:styleId="8">
    <w:name w:val="正文-未来城"/>
    <w:basedOn w:val="1"/>
    <w:qFormat/>
    <w:uiPriority w:val="0"/>
    <w:pPr>
      <w:spacing w:line="560" w:lineRule="exact"/>
      <w:ind w:firstLine="600" w:firstLineChars="200"/>
      <w:jc w:val="left"/>
    </w:pPr>
    <w:rPr>
      <w:rFonts w:hint="eastAsia" w:ascii="仿宋_GB2312" w:hAnsi="仿宋_GB2312" w:eastAsia="仿宋_GB2312" w:cs="仿宋_GB2312"/>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2023-08-08T08:09:00Z</dcterms:created>
  <dc:creator>Wye</dc:creator>
  <cp:lastModifiedBy>Wye</cp:lastModifiedBy>
  <dcterms:modified xsi:type="dcterms:W3CDTF">2023-08-08T08:16:12Z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