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44"/>
          <w:szCs w:val="44"/>
          <w:lang w:val="en-US" w:eastAsia="zh-CN" w:bidi="ar"/>
        </w:rPr>
        <w:t>关于</w:t>
      </w:r>
      <w:r>
        <w:rPr>
          <w:rFonts w:hint="default" w:ascii="Times New Roman" w:hAnsi="Times New Roman" w:eastAsia="宋体" w:cs="Times New Roman"/>
          <w:kern w:val="2"/>
          <w:sz w:val="44"/>
          <w:szCs w:val="44"/>
          <w:highlight w:val="none"/>
          <w:lang w:val="en-US" w:eastAsia="zh-CN" w:bidi="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16510</wp:posOffset>
                </wp:positionV>
                <wp:extent cx="559054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0540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.3pt;height:0pt;width:440.2pt;z-index:251660288;mso-width-relative:page;mso-height-relative:page;" filled="f" stroked="f" coordsize="21600,21600" o:gfxdata="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"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昌平区促进能源互联网产业发展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支持措施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（试行）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"/>
        </w:rPr>
        <w:t>》的起草说明</w:t>
      </w:r>
    </w:p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 w:right="0" w:rightChars="0"/>
        <w:jc w:val="both"/>
        <w:textAlignment w:val="auto"/>
        <w:rPr>
          <w:rFonts w:hint="default" w:ascii="Times New Roman" w:hAnsi="Times New Roman" w:eastAsia="黑体" w:cs="Times New Roman"/>
          <w:bCs w:val="0"/>
          <w:color w:val="auto"/>
          <w:kern w:val="0"/>
          <w:lang w:eastAsia="zh-CN"/>
        </w:rPr>
      </w:pPr>
      <w:bookmarkStart w:id="0" w:name="_GoBack"/>
      <w:bookmarkEnd w:id="0"/>
    </w:p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Cs w:val="0"/>
          <w:color w:val="auto"/>
          <w:kern w:val="0"/>
          <w:lang w:val="en-US"/>
        </w:rPr>
      </w:pPr>
      <w:r>
        <w:rPr>
          <w:rFonts w:hint="eastAsia" w:ascii="Times New Roman" w:hAnsi="Times New Roman" w:eastAsia="黑体" w:cs="Times New Roman"/>
          <w:bCs w:val="0"/>
          <w:color w:val="auto"/>
          <w:kern w:val="0"/>
          <w:lang w:eastAsia="zh-CN"/>
        </w:rPr>
        <w:t>一、</w:t>
      </w:r>
      <w:r>
        <w:rPr>
          <w:rFonts w:hint="default" w:ascii="Times New Roman" w:hAnsi="Times New Roman" w:eastAsia="黑体" w:cs="Times New Roman"/>
          <w:bCs w:val="0"/>
          <w:color w:val="auto"/>
          <w:kern w:val="0"/>
          <w:lang w:eastAsia="zh-CN"/>
        </w:rPr>
        <w:t>起草背景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为贯彻北京市“十四五”时期能源发展规划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，落实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《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昌平区先进能源产业提质增效行动计划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  <w:t>2022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  <w:t>2025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年）》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，加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快</w:t>
      </w:r>
      <w:r>
        <w:rPr>
          <w:rFonts w:hint="eastAsia" w:ascii="仿宋_GB2312" w:hAnsi="仿宋_GB2312" w:eastAsia="仿宋_GB2312" w:cs="仿宋_GB2312"/>
          <w:sz w:val="32"/>
          <w:szCs w:val="32"/>
        </w:rPr>
        <w:t>打造国际先进能源产业集群、建成全球领先技术创新高地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瞄准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能源互联网领域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发展要素精准施策，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结合昌平区实际，制定</w:t>
      </w: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本措施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Cs w:val="0"/>
          <w:color w:val="auto"/>
          <w:kern w:val="0"/>
          <w:lang w:val="en-US"/>
        </w:rPr>
      </w:pPr>
      <w:r>
        <w:rPr>
          <w:rFonts w:hint="eastAsia" w:ascii="Times New Roman" w:hAnsi="Times New Roman" w:eastAsia="黑体" w:cs="Times New Roman"/>
          <w:bCs w:val="0"/>
          <w:color w:val="auto"/>
          <w:kern w:val="0"/>
          <w:lang w:eastAsia="zh-CN"/>
        </w:rPr>
        <w:t>二、</w:t>
      </w:r>
      <w:r>
        <w:rPr>
          <w:rFonts w:hint="default" w:ascii="Times New Roman" w:hAnsi="Times New Roman" w:eastAsia="黑体" w:cs="Times New Roman"/>
          <w:bCs w:val="0"/>
          <w:color w:val="auto"/>
          <w:kern w:val="0"/>
          <w:lang w:eastAsia="zh-CN"/>
        </w:rPr>
        <w:t>起草过程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广泛征求意见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多次与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北京能源工业互联网研究院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中国华能集团清洁能源技术研究院有限公司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北京西清能源科技有限公司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北京耀能科技有限公司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企业交流，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了解企业政策诉求。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认真研究分析</w:t>
      </w:r>
      <w:r>
        <w:rPr>
          <w:rFonts w:hint="eastAsia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认真学习</w:t>
      </w:r>
      <w:r>
        <w:rPr>
          <w:rFonts w:hint="eastAsia" w:ascii="仿宋_GB2312" w:hAnsi="仿宋_GB2312" w:eastAsia="仿宋_GB2312" w:cs="仿宋_GB2312"/>
          <w:sz w:val="32"/>
          <w:szCs w:val="32"/>
        </w:rPr>
        <w:t>研究国家发改委、国家能源局、工信部《关于推进“互联网”智慧能源发展的指导意见》，国家能源局、科学技术部《“十四五”能源领域科技创新规划》，《北京市“十四五”时期能源发展规划》等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指导性文件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，广泛学习借鉴先进经验做法。</w:t>
      </w:r>
    </w:p>
    <w:p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720" w:firstLineChars="200"/>
        <w:jc w:val="both"/>
        <w:textAlignment w:val="auto"/>
        <w:rPr>
          <w:rFonts w:hint="default" w:ascii="Times New Roman" w:hAnsi="Times New Roman" w:eastAsia="黑体" w:cs="Times New Roman"/>
          <w:bCs w:val="0"/>
          <w:color w:val="auto"/>
          <w:kern w:val="0"/>
          <w:sz w:val="36"/>
          <w:szCs w:val="36"/>
          <w:highlight w:val="none"/>
          <w:lang w:val="en-US"/>
        </w:rPr>
      </w:pPr>
      <w:r>
        <w:rPr>
          <w:rFonts w:hint="eastAsia" w:ascii="Times New Roman" w:hAnsi="Times New Roman" w:eastAsia="黑体" w:cs="Times New Roman"/>
          <w:bCs w:val="0"/>
          <w:color w:val="auto"/>
          <w:kern w:val="0"/>
          <w:sz w:val="36"/>
          <w:szCs w:val="36"/>
          <w:highlight w:val="none"/>
          <w:lang w:eastAsia="zh-CN"/>
        </w:rPr>
        <w:t>三、</w:t>
      </w:r>
      <w:r>
        <w:rPr>
          <w:rFonts w:hint="default" w:ascii="Times New Roman" w:hAnsi="Times New Roman" w:eastAsia="黑体" w:cs="Times New Roman"/>
          <w:bCs w:val="0"/>
          <w:color w:val="auto"/>
          <w:kern w:val="0"/>
          <w:sz w:val="36"/>
          <w:szCs w:val="36"/>
          <w:highlight w:val="none"/>
          <w:lang w:eastAsia="zh-CN"/>
        </w:rPr>
        <w:t>主要内容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对标对表北京市高精尖产业政策及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其他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地区支持措施，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坚持问题导向、需求导向、结果导向，按照系统性、科学性和可操作性原则，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聚焦能源互联网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创新发展、转型升级、产业集聚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、生态建设等方面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围绕科技创新、成果转化与产业化等方面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重点支持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支持企业科技创新。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一是对新获批全国重点实验室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新</w:t>
      </w:r>
      <w:r>
        <w:rPr>
          <w:rFonts w:hint="eastAsia" w:ascii="仿宋_GB2312" w:hAnsi="仿宋_GB2312" w:eastAsia="仿宋_GB2312" w:cs="仿宋_GB2312"/>
          <w:sz w:val="32"/>
          <w:szCs w:val="32"/>
        </w:rPr>
        <w:t>获批国家级、市级技术创新平台资质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新登记的国家级、市级协同创新平台、联盟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给予奖励；</w:t>
      </w:r>
      <w:r>
        <w:rPr>
          <w:rFonts w:hint="eastAsia" w:ascii="仿宋_GB2312" w:hAnsi="仿宋_GB2312" w:eastAsia="仿宋_GB2312" w:cs="仿宋_GB2312"/>
          <w:sz w:val="32"/>
          <w:szCs w:val="32"/>
        </w:rPr>
        <w:t>二是对承担国家级“揭榜挂帅”任务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年度新获得国际标准化组织、国际电工委员会和国际电信联盟认定国际标准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年度获得20项以上发明专利授权的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给予</w:t>
      </w:r>
      <w:r>
        <w:rPr>
          <w:rFonts w:hint="eastAsia" w:ascii="仿宋_GB2312" w:hAnsi="仿宋_GB2312" w:eastAsia="仿宋_GB2312" w:cs="仿宋_GB2312"/>
          <w:sz w:val="32"/>
          <w:szCs w:val="32"/>
        </w:rPr>
        <w:t>奖励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三是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对年度登记技术合同交易额超过5000万元、1亿元、3亿元的,给予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奖励。对年度登记软件著作权价值超过500万元的</w:t>
      </w:r>
      <w:r>
        <w:rPr>
          <w:rFonts w:hint="eastAsia" w:ascii="仿宋_GB2312" w:hAnsi="仿宋_GB2312" w:cs="仿宋_GB2312"/>
          <w:kern w:val="2"/>
          <w:sz w:val="32"/>
          <w:szCs w:val="32"/>
          <w:highlight w:val="none"/>
          <w:lang w:val="en-US" w:eastAsia="zh-CN" w:bidi="ar-SA"/>
        </w:rPr>
        <w:t>,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给予奖励。</w:t>
      </w:r>
      <w:r>
        <w:rPr>
          <w:rFonts w:hint="eastAsia" w:ascii="仿宋_GB2312" w:hAnsi="仿宋_GB2312" w:cs="仿宋_GB2312"/>
          <w:kern w:val="2"/>
          <w:sz w:val="32"/>
          <w:szCs w:val="32"/>
          <w:highlight w:val="none"/>
          <w:lang w:val="en-US" w:eastAsia="zh-CN" w:bidi="ar-SA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对国家、市级认定的</w:t>
      </w:r>
      <w:r>
        <w:rPr>
          <w:b w:val="0"/>
          <w:bCs w:val="0"/>
          <w:kern w:val="0"/>
          <w:highlight w:val="none"/>
        </w:rPr>
        <w:t>首台(套)技术装备及关键核心零部件、首批(</w:t>
      </w:r>
      <w:r>
        <w:rPr>
          <w:kern w:val="0"/>
          <w:highlight w:val="none"/>
        </w:rPr>
        <w:t>次)新材料、首版(次)软件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，按照国家、市级奖励资金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情况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给予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一定比例奖励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对在未来科学城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范围内</w:t>
      </w:r>
      <w:r>
        <w:rPr>
          <w:rFonts w:hint="eastAsia" w:ascii="仿宋_GB2312" w:hAnsi="仿宋_GB2312" w:eastAsia="仿宋_GB2312" w:cs="仿宋_GB2312"/>
          <w:sz w:val="32"/>
          <w:szCs w:val="32"/>
        </w:rPr>
        <w:t>实施示范应用的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重点</w:t>
      </w:r>
      <w:r>
        <w:rPr>
          <w:rFonts w:hint="eastAsia" w:ascii="仿宋_GB2312" w:hAnsi="仿宋_GB2312" w:eastAsia="仿宋_GB2312" w:cs="仿宋_GB2312"/>
          <w:sz w:val="32"/>
          <w:szCs w:val="32"/>
        </w:rPr>
        <w:t>创新技术，按照项目投资额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给予一定比例奖励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推动链主企业、交易平台集聚。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</w:rPr>
        <w:t>“世界500强”能源领域企业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能源互联网头部企业在昌新设、迁入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总部或二级总部，给予奖励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</w:rPr>
        <w:t>在昌新设立、迁入经市级以上政府部门批准设立的交易平台，给予奖励。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支持企业扩能升级。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一是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对</w:t>
      </w:r>
      <w:r>
        <w:rPr>
          <w:rFonts w:ascii="仿宋_GB2312" w:hAnsi="仿宋_GB2312" w:eastAsia="仿宋_GB2312" w:cs="仿宋_GB2312"/>
          <w:sz w:val="32"/>
          <w:szCs w:val="32"/>
        </w:rPr>
        <w:t>获评“专精特新”、国家</w:t>
      </w:r>
      <w:r>
        <w:rPr>
          <w:rFonts w:hint="eastAsia" w:ascii="仿宋_GB2312" w:hAnsi="仿宋_GB2312" w:eastAsia="仿宋_GB2312" w:cs="仿宋_GB2312"/>
          <w:sz w:val="32"/>
          <w:szCs w:val="32"/>
        </w:rPr>
        <w:t>级</w:t>
      </w:r>
      <w:r>
        <w:rPr>
          <w:rFonts w:ascii="仿宋_GB2312" w:hAnsi="仿宋_GB2312" w:eastAsia="仿宋_GB2312" w:cs="仿宋_GB2312"/>
          <w:sz w:val="32"/>
          <w:szCs w:val="32"/>
        </w:rPr>
        <w:t>“小巨人”等称号的，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给予</w:t>
      </w:r>
      <w:r>
        <w:rPr>
          <w:rFonts w:hint="eastAsia" w:ascii="仿宋_GB2312" w:hAnsi="仿宋_GB2312" w:eastAsia="仿宋_GB2312" w:cs="仿宋_GB2312"/>
          <w:sz w:val="32"/>
          <w:szCs w:val="32"/>
        </w:rPr>
        <w:t>奖励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二是对</w:t>
      </w:r>
      <w:r>
        <w:rPr>
          <w:rFonts w:hint="eastAsia" w:ascii="仿宋_GB2312" w:hAnsi="仿宋_GB2312" w:eastAsia="仿宋_GB2312" w:cs="仿宋_GB2312"/>
          <w:sz w:val="32"/>
          <w:szCs w:val="32"/>
        </w:rPr>
        <w:t>存量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机构将能源互联网领域前沿技术落地转化设立的新机构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中，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三年内实现“小升规”的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年度营业收入达到5000万元的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，给予奖励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对年度区域综合经济贡献增加值达到500万元以上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1000万元以上</w:t>
      </w:r>
      <w:r>
        <w:rPr>
          <w:rFonts w:hint="eastAsia" w:ascii="仿宋_GB2312" w:hAnsi="仿宋_GB2312" w:eastAsia="仿宋_GB2312" w:cs="仿宋_GB2312"/>
          <w:sz w:val="32"/>
          <w:szCs w:val="32"/>
        </w:rPr>
        <w:t>的，给予奖励。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强化金融扶持力度。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</w:rPr>
        <w:t>在境内主板、创业板、科创板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北交所首发上市的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在新三板基础层成功挂牌的企业且达到营收利润条件的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在新三板创新层成功挂牌的，给予奖励；二是对企业发行的绿色公司债、绿色票据等直接融资产品，按照融资额度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给予</w:t>
      </w:r>
      <w:r>
        <w:rPr>
          <w:rFonts w:hint="eastAsia" w:ascii="仿宋_GB2312" w:hAnsi="Courier New" w:eastAsia="仿宋_GB2312" w:cs="宋体"/>
          <w:kern w:val="0"/>
          <w:sz w:val="32"/>
          <w:szCs w:val="32"/>
          <w:highlight w:val="none"/>
          <w:lang w:val="en-US" w:eastAsia="zh-CN"/>
        </w:rPr>
        <w:t>奖励</w:t>
      </w:r>
      <w:r>
        <w:rPr>
          <w:rFonts w:hint="eastAsia" w:ascii="仿宋_GB2312" w:hAnsi="Courier New" w:eastAsia="仿宋_GB2312" w:cs="宋体"/>
          <w:kern w:val="0"/>
          <w:sz w:val="32"/>
          <w:szCs w:val="32"/>
          <w:highlight w:val="none"/>
        </w:rPr>
        <w:t>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/>
        <w:jc w:val="both"/>
        <w:textAlignment w:val="auto"/>
        <w:rPr>
          <w:rFonts w:hint="default"/>
        </w:rPr>
      </w:pPr>
      <w:r>
        <w:rPr>
          <w:b/>
          <w:bCs w:val="0"/>
        </w:rPr>
        <w:t>5.加大空间支持。</w:t>
      </w:r>
      <w:r>
        <w:rPr>
          <w:rFonts w:hint="eastAsia"/>
          <w:b w:val="0"/>
          <w:bCs/>
          <w:lang w:val="en-US" w:eastAsia="zh-CN"/>
        </w:rPr>
        <w:t>一是</w:t>
      </w:r>
      <w:r>
        <w:rPr>
          <w:b w:val="0"/>
          <w:bCs/>
          <w:kern w:val="0"/>
        </w:rPr>
        <w:t>对</w:t>
      </w:r>
      <w:r>
        <w:rPr>
          <w:kern w:val="0"/>
        </w:rPr>
        <w:t>新</w:t>
      </w:r>
      <w:r>
        <w:rPr>
          <w:rFonts w:hint="eastAsia"/>
          <w:kern w:val="0"/>
          <w:lang w:val="en-US" w:eastAsia="zh-CN"/>
        </w:rPr>
        <w:t>引进</w:t>
      </w:r>
      <w:r>
        <w:rPr>
          <w:kern w:val="0"/>
        </w:rPr>
        <w:t>能源互联网企业，租赁有合法空间</w:t>
      </w:r>
      <w:r>
        <w:rPr>
          <w:rFonts w:hint="eastAsia"/>
          <w:kern w:val="0"/>
          <w:lang w:eastAsia="zh-CN"/>
        </w:rPr>
        <w:t>的</w:t>
      </w:r>
      <w:r>
        <w:rPr>
          <w:kern w:val="0"/>
        </w:rPr>
        <w:t>，</w:t>
      </w:r>
      <w:r>
        <w:rPr>
          <w:rFonts w:hint="eastAsia"/>
          <w:kern w:val="0"/>
          <w:lang w:eastAsia="zh-CN"/>
        </w:rPr>
        <w:t>结合租金和面积情况给予奖励</w:t>
      </w:r>
      <w:r>
        <w:rPr>
          <w:kern w:val="0"/>
        </w:rPr>
        <w:t>。</w:t>
      </w:r>
      <w:r>
        <w:rPr>
          <w:rFonts w:hint="eastAsia"/>
          <w:kern w:val="0"/>
          <w:lang w:val="en-US" w:eastAsia="zh-CN"/>
        </w:rPr>
        <w:t>二是</w:t>
      </w:r>
      <w:r>
        <w:rPr>
          <w:kern w:val="0"/>
        </w:rPr>
        <w:t>对能源互联网企业在能源谷核心区购买办公空间的，</w:t>
      </w:r>
      <w:r>
        <w:rPr>
          <w:rFonts w:hint="eastAsia"/>
          <w:kern w:val="0"/>
          <w:lang w:eastAsia="zh-CN"/>
        </w:rPr>
        <w:t>给予一定比例奖励</w:t>
      </w:r>
      <w:r>
        <w:rPr>
          <w:kern w:val="0"/>
        </w:rPr>
        <w:t>。</w:t>
      </w:r>
      <w:r>
        <w:rPr>
          <w:rFonts w:hint="eastAsia"/>
          <w:kern w:val="0"/>
          <w:lang w:val="en-US" w:eastAsia="zh-CN"/>
        </w:rPr>
        <w:t>三是</w:t>
      </w:r>
      <w:r>
        <w:rPr>
          <w:kern w:val="0"/>
        </w:rPr>
        <w:t>对能源互联网制造类项目，按固定资产投资额</w:t>
      </w:r>
      <w:r>
        <w:rPr>
          <w:rFonts w:hint="eastAsia"/>
          <w:kern w:val="0"/>
          <w:lang w:eastAsia="zh-CN"/>
        </w:rPr>
        <w:t>给予一定比例奖励</w:t>
      </w:r>
      <w:r>
        <w:rPr>
          <w:kern w:val="0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6.营造国际化生态。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对达</w:t>
      </w:r>
      <w:r>
        <w:rPr>
          <w:rFonts w:hint="eastAsia" w:ascii="仿宋_GB2312" w:hAnsi="仿宋_GB2312" w:eastAsia="仿宋_GB2312" w:cs="仿宋_GB2312"/>
          <w:sz w:val="32"/>
          <w:szCs w:val="32"/>
        </w:rPr>
        <w:t>到二类及以上国际会议标准的活动，按照实际发生费用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情况给予一定比例奖励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对上一年度新培育、迁入10家（</w:t>
      </w:r>
      <w:r>
        <w:rPr>
          <w:rFonts w:hint="eastAsia" w:ascii="楷体_GB2312" w:hAnsi="楷体_GB2312" w:eastAsia="楷体_GB2312" w:cs="楷体_GB2312"/>
          <w:sz w:val="32"/>
          <w:szCs w:val="32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</w:rPr>
        <w:t>）以上优质企业的大中小融通平台链主企业、市级以上孵化器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给予奖励。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7.强化服务保障。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聚焦能源互联网产业，优化升级人才引进、人才住房、子女教育等服务措施，从优推荐各类表彰评审，精准服务人才个性化需求。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1148A2"/>
    <w:rsid w:val="26417A6B"/>
    <w:rsid w:val="294379E0"/>
    <w:rsid w:val="3951263D"/>
    <w:rsid w:val="40A426C4"/>
    <w:rsid w:val="4642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widowControl w:val="0"/>
      <w:spacing w:after="0"/>
      <w:ind w:firstLine="620"/>
      <w:jc w:val="both"/>
    </w:pPr>
    <w:rPr>
      <w:rFonts w:ascii="Times New Roman" w:hAnsi="Times New Roman" w:eastAsia="仿宋_GB2312" w:cs="宋体"/>
      <w:kern w:val="0"/>
      <w:sz w:val="32"/>
      <w:szCs w:val="20"/>
      <w:lang w:val="en-US" w:eastAsia="zh-CN" w:bidi="ar-SA"/>
    </w:rPr>
  </w:style>
  <w:style w:type="paragraph" w:styleId="4">
    <w:name w:val="Normal Indent"/>
    <w:basedOn w:val="1"/>
    <w:next w:val="3"/>
    <w:qFormat/>
    <w:uiPriority w:val="0"/>
    <w:pPr>
      <w:ind w:firstLine="420"/>
    </w:pPr>
    <w:rPr>
      <w:rFonts w:ascii="Times New Roman" w:eastAsia="宋体"/>
      <w:szCs w:val="20"/>
    </w:rPr>
  </w:style>
  <w:style w:type="paragraph" w:styleId="5">
    <w:name w:val="Body Text"/>
    <w:basedOn w:val="1"/>
    <w:next w:val="1"/>
    <w:qFormat/>
    <w:uiPriority w:val="0"/>
    <w:pPr>
      <w:widowControl w:val="0"/>
      <w:spacing w:after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0">
    <w:name w:val="正文-未来城"/>
    <w:basedOn w:val="1"/>
    <w:qFormat/>
    <w:uiPriority w:val="0"/>
    <w:pPr>
      <w:spacing w:line="560" w:lineRule="exact"/>
      <w:ind w:firstLine="600" w:firstLineChars="200"/>
      <w:jc w:val="left"/>
    </w:pPr>
    <w:rPr>
      <w:rFonts w:hint="eastAsia" w:ascii="仿宋_GB2312" w:hAnsi="仿宋_GB2312" w:eastAsia="仿宋_GB2312" w:cs="仿宋_GB2312"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2023-06-20T14:13:00Z</dcterms:created>
  <dc:creator>卢 晓霞</dc:creator>
  <cp:lastModifiedBy>wangjiaqi</cp:lastModifiedBy>
  <dcterms:modified xsi:type="dcterms:W3CDTF">2023-06-21T06:12:49Z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CB02DC87C4F54434A1B3230D66D99FCC</vt:lpwstr>
  </property>
</Properties>
</file>