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昌平区促进能源互联网产业发展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支持措施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（试行）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公开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征集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意见稿</w:t>
      </w:r>
      <w:r>
        <w:rPr>
          <w:rFonts w:hint="eastAsia" w:ascii="楷体_GB2312" w:hAnsi="楷体_GB2312" w:eastAsia="楷体_GB2312" w:cs="楷体_GB2312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仿宋_GB2312" w:hAnsi="仿宋_GB2312" w:eastAsia="黑体" w:cs="仿宋_GB231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 xml:space="preserve">第一章  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总则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第一条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为贯彻落实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国家“十四五”规划及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北京市“十四五”时期能源发展规划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按照北京市依托未来科学城打造国际先进能源产业集群、建成全球领先技术创新高地的部署要求，进一步推进能源互联网领域新技术、新模式、新业态示范应用，支持能源互联网企业集聚发展，制定本措施。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本措施适用于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依法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完成注册登记、税务登记、统计登记，具有独立法人资格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能源互联网领域技术、产品、服务、孵化培育等方面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开展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业务的企业、机构等各类主体。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围绕“能源+互联网”方向，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强化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对创新平台建设、关键技术攻关、应用场景搭建、成果转化落地和企业全要素全流程培育壮大等方面支持。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第四条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设立昌平区促进能源互联网产业发展专项资金，根据实际情况采取奖励、补贴等方式给予支持。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第二章  支持措施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条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支持研发创新平台建设。对新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获批全国重点实验室的企业、机构给予300万元一次性奖励；对新获批、国家技术创新中心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国家级技术创新平台资质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市级技术创新平台资质的企业、机构分别给予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万元、50万元一次性奖励。对新获批登记的国家级、市级协同创新平台、产业联盟，分别给予100万元、50万元一次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性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奖励。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条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 xml:space="preserve"> 支持创新技术攻关。对承担国家级“揭榜挂帅”任务的企业、机构，给予100万元奖励。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对上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年度经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国际标准化组织（ISO）、国际电工委员会（IEC）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国际标准组织新批准发布国际标准的主要起草企业、机构给予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100万元奖励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对年度获得20项以上发明专利授权的企业、机构给予50万元奖励。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第</w:t>
      </w:r>
      <w:r>
        <w:rPr>
          <w:rFonts w:hint="eastAsia" w:ascii="仿宋_GB2312" w:hAnsi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>七条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highlight w:val="none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支持</w:t>
      </w:r>
      <w:r>
        <w:rPr>
          <w:rFonts w:hint="eastAsia" w:ascii="仿宋_GB2312" w:hAnsi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技术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经济发展。</w:t>
      </w:r>
      <w:r>
        <w:rPr>
          <w:rFonts w:hint="eastAsia" w:ascii="仿宋_GB2312" w:hAnsi="仿宋_GB2312" w:cs="仿宋_GB2312"/>
          <w:b w:val="0"/>
          <w:bCs w:val="0"/>
          <w:sz w:val="32"/>
          <w:szCs w:val="32"/>
          <w:highlight w:val="none"/>
          <w:lang w:val="en-US" w:eastAsia="zh-CN"/>
        </w:rPr>
        <w:t>对年度登记技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术合同交易额超过5000万元、1亿元、3亿元的企业、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机构，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分别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给予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</w:t>
      </w:r>
      <w:r>
        <w:rPr>
          <w:rFonts w:hint="eastAsia" w:ascii="仿宋_GB2312" w:hAnsi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  <w:t>50万元、200万元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奖励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。对年度登记软件著作权价值超过500万元的企业、机构，给予50万元奖励。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textAlignment w:val="auto"/>
        <w:rPr>
          <w:rFonts w:hint="eastAsia" w:eastAsia="仿宋_GB2312"/>
          <w:highlight w:val="none"/>
          <w:lang w:eastAsia="zh-CN"/>
        </w:rPr>
      </w:pPr>
      <w:r>
        <w:rPr>
          <w:b/>
          <w:bCs/>
          <w:highlight w:val="none"/>
        </w:rPr>
        <w:t>第</w:t>
      </w:r>
      <w:r>
        <w:rPr>
          <w:rFonts w:hint="eastAsia"/>
          <w:b/>
          <w:bCs/>
          <w:highlight w:val="none"/>
          <w:lang w:eastAsia="zh-CN"/>
        </w:rPr>
        <w:t>八</w:t>
      </w:r>
      <w:r>
        <w:rPr>
          <w:b/>
          <w:bCs/>
          <w:highlight w:val="none"/>
        </w:rPr>
        <w:t xml:space="preserve">条 </w:t>
      </w:r>
      <w:r>
        <w:rPr>
          <w:highlight w:val="none"/>
        </w:rPr>
        <w:t xml:space="preserve"> </w:t>
      </w:r>
      <w:r>
        <w:rPr>
          <w:b w:val="0"/>
          <w:bCs w:val="0"/>
          <w:highlight w:val="none"/>
        </w:rPr>
        <w:t>鼓励技术产品创新和场景应用。</w:t>
      </w:r>
      <w:r>
        <w:rPr>
          <w:b w:val="0"/>
          <w:bCs w:val="0"/>
          <w:kern w:val="0"/>
          <w:highlight w:val="none"/>
        </w:rPr>
        <w:t>对国家、市级认定的首台(套)技术装备及关键核心零部件、首批(</w:t>
      </w:r>
      <w:r>
        <w:rPr>
          <w:kern w:val="0"/>
          <w:highlight w:val="none"/>
        </w:rPr>
        <w:t>次)新材料、首版(次)软件，按照国家、市级奖励资金的</w:t>
      </w:r>
      <w:r>
        <w:rPr>
          <w:rFonts w:hint="eastAsia"/>
          <w:kern w:val="0"/>
          <w:highlight w:val="none"/>
          <w:lang w:val="en-US" w:eastAsia="zh-CN"/>
        </w:rPr>
        <w:t>2</w:t>
      </w:r>
      <w:r>
        <w:rPr>
          <w:kern w:val="0"/>
          <w:highlight w:val="none"/>
        </w:rPr>
        <w:t>0%给予奖励，最高不超过</w:t>
      </w:r>
      <w:r>
        <w:rPr>
          <w:rFonts w:hint="eastAsia"/>
          <w:kern w:val="0"/>
          <w:highlight w:val="none"/>
          <w:lang w:val="en-US" w:eastAsia="zh-CN"/>
        </w:rPr>
        <w:t>2</w:t>
      </w:r>
      <w:r>
        <w:rPr>
          <w:kern w:val="0"/>
          <w:highlight w:val="none"/>
        </w:rPr>
        <w:t>00万元。</w:t>
      </w:r>
      <w:r>
        <w:rPr>
          <w:highlight w:val="none"/>
        </w:rPr>
        <w:t>对在未来科学城</w:t>
      </w:r>
      <w:r>
        <w:rPr>
          <w:rFonts w:hint="eastAsia"/>
          <w:highlight w:val="none"/>
          <w:lang w:eastAsia="zh-CN"/>
        </w:rPr>
        <w:t>范围内</w:t>
      </w:r>
      <w:r>
        <w:rPr>
          <w:highlight w:val="none"/>
        </w:rPr>
        <w:t>实施示范应用</w:t>
      </w:r>
      <w:r>
        <w:rPr>
          <w:rFonts w:hint="eastAsia"/>
          <w:highlight w:val="none"/>
          <w:lang w:eastAsia="zh-CN"/>
        </w:rPr>
        <w:t>“获得省部级以上科技进步奖”的创新技术</w:t>
      </w:r>
      <w:r>
        <w:rPr>
          <w:highlight w:val="none"/>
        </w:rPr>
        <w:t>，按照项目投资额20%给予奖励，最高不超过200万元。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九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条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推动链主企业集聚。世界“500强”能源领域企业，能源互联网头部企业新设、迁入总部及直接控股管理的研发、结算、销售型区域总部等独立法人机构，新注册或迁入之日起前三个自然年度，结合企业区域经济贡献情况，每年度给予最高不超过1000万元奖励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3" w:firstLineChars="200"/>
        <w:textAlignment w:val="auto"/>
        <w:rPr>
          <w:rFonts w:hint="eastAsia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条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支持交易平台发展。新设立或迁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入经市级或以上政府部门批准设立的能源互联网关联领域交易平台，前三个自然年度共给予最高不超过1000万元奖励，按照第一年不超过20%、第二年不超过30%、第三年不超过50%的比例奖励。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十一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条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支持企业扩能升级。</w:t>
      </w:r>
      <w:r>
        <w:rPr>
          <w:rFonts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对获评北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京市“专精特新”、国家专精特新“小巨人”等称号的企业，分别给予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</w:t>
      </w:r>
      <w:r>
        <w:rPr>
          <w:rFonts w:ascii="仿宋_GB2312" w:hAnsi="仿宋_GB2312" w:eastAsia="仿宋_GB2312" w:cs="仿宋_GB2312"/>
          <w:sz w:val="32"/>
          <w:szCs w:val="32"/>
          <w:highlight w:val="none"/>
        </w:rPr>
        <w:t>万元、50万元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奖励，奖励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实行晋档补差。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存量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机构将能源互联网领域前沿技术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eastAsia="zh-CN"/>
        </w:rPr>
        <w:t>就地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转化，设立的新机构成立三年内，年度营业收入达到规上企业条件的，给予最高20万元一次性奖励，年度营业收入达到5000万元的，给予最高200万元一次性奖励，奖励实行晋档补差。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对年度区域综合经济贡献增加值达到500万元以上的企业、机构，给予200万元奖励，对年度区域经济贡献增加值达到1000万元以上的企业、机构，给予500万元奖励。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十二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条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强化企业上市扶持力度。在境内主板、创业板、科创板成功首发上市的企业，给予1000万元一次性奖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励，在北交所成功首发上市的企业，给予最高不超过1000万元一次性奖励。在新三板基础层成功挂牌的企业且上一年度营业收入不低于5000万元或净利润不低于500万元的，给予150万元一次性奖励。在新三板创新层成功挂牌的，给予200万元一次性奖励。新三板企业成功转板或上市后，根据转板或上市后所属市场补齐差额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  <w:t>十三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 xml:space="preserve">条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构建能源互联网领域科创金融生态。支持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能源互联网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企业发行绿色公司债、绿色票据等直接融资产品，按照融资额度给予企业资金支持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Courier New" w:eastAsia="仿宋_GB2312" w:cs="宋体"/>
          <w:kern w:val="0"/>
          <w:sz w:val="32"/>
          <w:szCs w:val="32"/>
          <w:highlight w:val="none"/>
        </w:rPr>
        <w:t>对企业发行的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绿色公司债、绿色票据等</w:t>
      </w:r>
      <w:r>
        <w:rPr>
          <w:rFonts w:hint="eastAsia" w:ascii="仿宋_GB2312" w:hAnsi="Courier New" w:eastAsia="仿宋_GB2312" w:cs="宋体"/>
          <w:kern w:val="0"/>
          <w:sz w:val="32"/>
          <w:szCs w:val="32"/>
          <w:highlight w:val="none"/>
        </w:rPr>
        <w:t>直接融资产品，按照融资额度1%给予支持，每家企业每年最高奖励100万元；对于专精特新企业，按照融资额度1.5%给予支持，每家企业每年最高奖励150万元。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/>
        <w:jc w:val="both"/>
        <w:textAlignment w:val="auto"/>
        <w:rPr>
          <w:rFonts w:hint="default"/>
          <w:highlight w:val="none"/>
        </w:rPr>
      </w:pPr>
      <w:r>
        <w:rPr>
          <w:b/>
          <w:highlight w:val="none"/>
        </w:rPr>
        <w:t>第</w:t>
      </w:r>
      <w:r>
        <w:rPr>
          <w:rFonts w:hint="eastAsia"/>
          <w:b/>
          <w:highlight w:val="none"/>
          <w:lang w:eastAsia="zh-CN"/>
        </w:rPr>
        <w:t>十四</w:t>
      </w:r>
      <w:r>
        <w:rPr>
          <w:b/>
          <w:highlight w:val="none"/>
        </w:rPr>
        <w:t xml:space="preserve">条  </w:t>
      </w:r>
      <w:r>
        <w:rPr>
          <w:kern w:val="0"/>
          <w:highlight w:val="none"/>
        </w:rPr>
        <w:t>加大空间支持。促进能源互联网企业快速落地成长，对新引入的能源互联网企业，租赁有合法建筑手续的生产用房、办公用房，</w:t>
      </w:r>
      <w:r>
        <w:rPr>
          <w:rFonts w:hint="eastAsia"/>
          <w:kern w:val="0"/>
          <w:highlight w:val="none"/>
          <w:lang w:val="en-US" w:eastAsia="zh-CN"/>
        </w:rPr>
        <w:t>按照租金的50%给予奖励，享受奖励的</w:t>
      </w:r>
      <w:r>
        <w:rPr>
          <w:kern w:val="0"/>
          <w:highlight w:val="none"/>
        </w:rPr>
        <w:t>面积不超过</w:t>
      </w:r>
      <w:r>
        <w:rPr>
          <w:rFonts w:hint="eastAsia"/>
          <w:kern w:val="0"/>
          <w:highlight w:val="none"/>
          <w:lang w:val="en-US" w:eastAsia="zh-CN"/>
        </w:rPr>
        <w:t>5</w:t>
      </w:r>
      <w:r>
        <w:rPr>
          <w:kern w:val="0"/>
          <w:highlight w:val="none"/>
        </w:rPr>
        <w:t>000平方米，每年奖励总额不超过500万元。对能源互联网企业在未来科学城能源谷核心区购买办公空间的，每年度按照购房金额的5%，连续三年给予奖励，每年度不超过500万元。对能源互联网制造类项目，按固定资产投资额的20%给予一次性奖励，最高不超过3000万元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/>
        <w:jc w:val="both"/>
        <w:textAlignment w:val="auto"/>
        <w:rPr>
          <w:kern w:val="0"/>
          <w:highlight w:val="none"/>
        </w:rPr>
      </w:pPr>
      <w:r>
        <w:rPr>
          <w:b/>
          <w:highlight w:val="none"/>
        </w:rPr>
        <w:t>第十</w:t>
      </w:r>
      <w:r>
        <w:rPr>
          <w:rFonts w:hint="eastAsia"/>
          <w:b/>
          <w:highlight w:val="none"/>
          <w:lang w:eastAsia="zh-CN"/>
        </w:rPr>
        <w:t>五</w:t>
      </w:r>
      <w:r>
        <w:rPr>
          <w:b/>
          <w:highlight w:val="none"/>
        </w:rPr>
        <w:t xml:space="preserve">条  </w:t>
      </w:r>
      <w:r>
        <w:rPr>
          <w:kern w:val="0"/>
          <w:highlight w:val="none"/>
        </w:rPr>
        <w:t>营造国际化产业生态。支持企业、机构在昌举办能源互联网领域的国际性“赛、会、营、孵”等活动，对达到二类及以上国际会议标准的活动，按照实际发生费用的20%给予奖励，最高不超过300万元。支持平台孵化器、大中小企业融通平台培育带动能源互联网企业发展，对上一年度新培育、迁入10家（含）以上优质企业的大中小融通平台链主企业、市级以上孵化器给予50万元奖励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3"/>
        <w:jc w:val="both"/>
        <w:textAlignment w:val="auto"/>
        <w:rPr>
          <w:highlight w:val="none"/>
        </w:rPr>
      </w:pPr>
      <w:r>
        <w:rPr>
          <w:b/>
          <w:bCs w:val="0"/>
          <w:kern w:val="0"/>
          <w:highlight w:val="none"/>
        </w:rPr>
        <w:t>第十</w:t>
      </w:r>
      <w:r>
        <w:rPr>
          <w:rFonts w:hint="eastAsia"/>
          <w:b/>
          <w:bCs w:val="0"/>
          <w:kern w:val="0"/>
          <w:highlight w:val="none"/>
          <w:lang w:eastAsia="zh-CN"/>
        </w:rPr>
        <w:t>六</w:t>
      </w:r>
      <w:r>
        <w:rPr>
          <w:b/>
          <w:bCs w:val="0"/>
          <w:kern w:val="0"/>
          <w:highlight w:val="none"/>
        </w:rPr>
        <w:t xml:space="preserve">条  </w:t>
      </w:r>
      <w:r>
        <w:rPr>
          <w:kern w:val="0"/>
          <w:highlight w:val="none"/>
        </w:rPr>
        <w:t>强化人才服务保障。聚</w:t>
      </w:r>
      <w:r>
        <w:rPr>
          <w:highlight w:val="none"/>
        </w:rPr>
        <w:t>焦能源互联网产业优化升级人才引进、人才住房、子女教育等服务措施，从优推荐各类表彰评审，精准服务人才个性化需求。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第三章  附则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highlight w:val="none"/>
          <w:lang w:val="en-US" w:eastAsia="zh-CN" w:bidi="ar-SA"/>
        </w:rPr>
        <w:t xml:space="preserve">第十七条  </w:t>
      </w:r>
      <w:r>
        <w:rPr>
          <w:rFonts w:hint="eastAsia" w:ascii="仿宋_GB2312" w:hAnsi="仿宋_GB2312" w:eastAsia="仿宋_GB2312" w:cs="仿宋_GB2312"/>
          <w:b w:val="0"/>
          <w:bCs/>
          <w:kern w:val="0"/>
          <w:sz w:val="32"/>
          <w:szCs w:val="32"/>
          <w:highlight w:val="none"/>
          <w:lang w:val="en-US" w:eastAsia="zh-CN" w:bidi="ar-SA"/>
        </w:rPr>
        <w:t>同一项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highlight w:val="none"/>
        </w:rPr>
        <w:t>目或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同一事项，同时符合本措施多项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条款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或昌平区其他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扶持政策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的，按照“从优不重复”原则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予以支持。符合北京市市级其他扶持政策规定的，可申请同时享受市、区两级政策支持，另有规定的除外。本措施原则上采取“后奖励”的方式，针对企业、机构上一年度事项予以资金支持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highlight w:val="none"/>
          <w:lang w:val="en-US" w:eastAsia="zh-CN" w:bidi="ar-SA"/>
        </w:rPr>
        <w:t>第十八条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本措施由北京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未来科学城管理委员会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牵头，每年度定期组织实施和资金兑现，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区财政局负责资金保障。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kern w:val="0"/>
          <w:sz w:val="32"/>
          <w:szCs w:val="32"/>
          <w:highlight w:val="none"/>
          <w:lang w:val="en-US" w:eastAsia="zh-CN" w:bidi="ar-SA"/>
        </w:rPr>
        <w:t xml:space="preserve">第十九条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本措施由北京未来科学城管理委员会负责解释，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自印发之日起实施，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试行期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3年。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920D7A"/>
    <w:rsid w:val="3FC029D4"/>
    <w:rsid w:val="42AE624B"/>
    <w:rsid w:val="4D3E015D"/>
    <w:rsid w:val="4F716678"/>
    <w:rsid w:val="5032376E"/>
    <w:rsid w:val="6AA8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widowControl w:val="0"/>
      <w:spacing w:after="0"/>
      <w:ind w:firstLine="620"/>
      <w:jc w:val="both"/>
    </w:pPr>
    <w:rPr>
      <w:rFonts w:ascii="Times New Roman" w:hAnsi="Times New Roman" w:eastAsia="仿宋_GB2312" w:cs="宋体"/>
      <w:kern w:val="0"/>
      <w:sz w:val="32"/>
      <w:szCs w:val="20"/>
      <w:lang w:val="en-US" w:eastAsia="zh-CN" w:bidi="ar-SA"/>
    </w:rPr>
  </w:style>
  <w:style w:type="paragraph" w:styleId="4">
    <w:name w:val="Normal Indent"/>
    <w:basedOn w:val="1"/>
    <w:next w:val="3"/>
    <w:qFormat/>
    <w:uiPriority w:val="0"/>
    <w:pPr>
      <w:ind w:firstLine="420"/>
    </w:pPr>
    <w:rPr>
      <w:rFonts w:ascii="Times New Roman" w:eastAsia="宋体"/>
      <w:szCs w:val="20"/>
    </w:rPr>
  </w:style>
  <w:style w:type="paragraph" w:styleId="5">
    <w:name w:val="Body Text"/>
    <w:basedOn w:val="1"/>
    <w:next w:val="1"/>
    <w:qFormat/>
    <w:uiPriority w:val="0"/>
    <w:pPr>
      <w:widowControl w:val="0"/>
      <w:spacing w:after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10">
    <w:name w:val="正文-未来城"/>
    <w:basedOn w:val="1"/>
    <w:qFormat/>
    <w:uiPriority w:val="0"/>
    <w:pPr>
      <w:spacing w:line="560" w:lineRule="exact"/>
      <w:ind w:firstLine="600" w:firstLineChars="200"/>
      <w:jc w:val="left"/>
    </w:pPr>
    <w:rPr>
      <w:rFonts w:hint="eastAsia" w:ascii="仿宋_GB2312" w:hAnsi="仿宋_GB2312" w:eastAsia="仿宋_GB2312" w:cs="仿宋_GB2312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2023-06-20T14:14:00Z</dcterms:created>
  <dc:creator>卢 晓霞</dc:creator>
  <cp:lastModifiedBy>黎红霞</cp:lastModifiedBy>
  <dcterms:modified xsi:type="dcterms:W3CDTF">2023-06-21T06:21:21Z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ABFB3495C8A741F8A2974DCE81A48B33</vt:lpwstr>
  </property>
</Properties>
</file>