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600" w:lineRule="exact"/>
        <w:jc w:val="center"/>
        <w:rPr>
          <w:rFonts w:hint="eastAsia" w:ascii="黑体" w:hAnsi="黑体" w:eastAsia="黑体" w:cs="黑体"/>
          <w:color w:val="000000" w:themeColor="text1"/>
          <w:sz w:val="44"/>
          <w:szCs w:val="44"/>
          <w:shd w:val="clear" w:color="auto" w:fill="FFFFFF"/>
          <w:lang w:eastAsia="zh-CN"/>
          <w14:textFill>
            <w14:solidFill>
              <w14:schemeClr w14:val="tx1"/>
            </w14:solidFill>
          </w14:textFill>
        </w:rPr>
      </w:pPr>
      <w:r>
        <w:rPr>
          <w:rFonts w:hint="eastAsia" w:ascii="黑体" w:hAnsi="黑体" w:eastAsia="黑体" w:cs="黑体"/>
          <w:color w:val="000000" w:themeColor="text1"/>
          <w:sz w:val="44"/>
          <w:szCs w:val="44"/>
          <w:shd w:val="clear" w:color="auto" w:fill="FFFFFF"/>
          <w:lang w:eastAsia="zh-CN"/>
          <w14:textFill>
            <w14:solidFill>
              <w14:schemeClr w14:val="tx1"/>
            </w14:solidFill>
          </w14:textFill>
        </w:rPr>
        <w:t>门头沟区</w:t>
      </w:r>
      <w:r>
        <w:rPr>
          <w:rFonts w:hint="eastAsia" w:ascii="黑体" w:hAnsi="黑体" w:eastAsia="黑体" w:cs="黑体"/>
          <w:color w:val="000000" w:themeColor="text1"/>
          <w:sz w:val="44"/>
          <w:szCs w:val="44"/>
          <w:shd w:val="clear" w:color="auto" w:fill="FFFFFF"/>
          <w14:textFill>
            <w14:solidFill>
              <w14:schemeClr w14:val="tx1"/>
            </w14:solidFill>
          </w14:textFill>
        </w:rPr>
        <w:t>国有企业违规经营投资</w:t>
      </w:r>
      <w:r>
        <w:rPr>
          <w:rFonts w:hint="eastAsia" w:ascii="黑体" w:hAnsi="黑体" w:eastAsia="黑体" w:cs="黑体"/>
          <w:color w:val="000000" w:themeColor="text1"/>
          <w:sz w:val="44"/>
          <w:szCs w:val="44"/>
          <w:shd w:val="clear" w:color="auto" w:fill="FFFFFF"/>
          <w:lang w:eastAsia="zh-CN"/>
          <w14:textFill>
            <w14:solidFill>
              <w14:schemeClr w14:val="tx1"/>
            </w14:solidFill>
          </w14:textFill>
        </w:rPr>
        <w:t>责</w:t>
      </w:r>
      <w:r>
        <w:rPr>
          <w:rFonts w:hint="eastAsia" w:ascii="黑体" w:hAnsi="黑体" w:eastAsia="黑体" w:cs="黑体"/>
          <w:color w:val="000000" w:themeColor="text1"/>
          <w:sz w:val="44"/>
          <w:szCs w:val="44"/>
          <w:shd w:val="clear" w:color="auto" w:fill="FFFFFF"/>
          <w14:textFill>
            <w14:solidFill>
              <w14:schemeClr w14:val="tx1"/>
            </w14:solidFill>
          </w14:textFill>
        </w:rPr>
        <w:t>任追究实施办法（试行）</w:t>
      </w:r>
      <w:r>
        <w:rPr>
          <w:rFonts w:hint="eastAsia" w:ascii="黑体" w:hAnsi="黑体" w:eastAsia="黑体" w:cs="黑体"/>
          <w:color w:val="000000" w:themeColor="text1"/>
          <w:sz w:val="44"/>
          <w:szCs w:val="44"/>
          <w:shd w:val="clear" w:color="auto" w:fill="FFFFFF"/>
          <w:lang w:eastAsia="zh-CN"/>
          <w14:textFill>
            <w14:solidFill>
              <w14:schemeClr w14:val="tx1"/>
            </w14:solidFill>
          </w14:textFill>
        </w:rPr>
        <w:t>起草说明</w:t>
      </w:r>
    </w:p>
    <w:p>
      <w:pPr>
        <w:pStyle w:val="3"/>
        <w:widowControl/>
        <w:shd w:val="clear" w:color="auto" w:fill="FFFFFF"/>
        <w:spacing w:beforeAutospacing="0" w:afterAutospacing="0" w:line="600" w:lineRule="exact"/>
        <w:jc w:val="center"/>
        <w:rPr>
          <w:rFonts w:hint="eastAsia" w:ascii="黑体" w:hAnsi="黑体" w:eastAsia="黑体" w:cs="黑体"/>
          <w:color w:val="000000" w:themeColor="text1"/>
          <w:sz w:val="44"/>
          <w:szCs w:val="44"/>
          <w:shd w:val="clear" w:color="auto" w:fill="FFFFFF"/>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为健全完善门头沟区区属企业违规经营投资责任追究制度，规范国有企业经营投资行为，防止国有资产流失，实现国有资本保值增值，在《门头沟区国有企业违规经营投资责任追究暂行办法》的基础上，修订本办法。</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黑体" w:hAnsi="黑体" w:eastAsia="黑体" w:cs="仿宋_GB2312"/>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仿宋_GB2312"/>
          <w:color w:val="000000" w:themeColor="text1"/>
          <w:sz w:val="32"/>
          <w:szCs w:val="32"/>
          <w:shd w:val="clear" w:color="auto" w:fill="FFFFFF"/>
          <w:lang w:val="en-US" w:eastAsia="zh-CN"/>
          <w14:textFill>
            <w14:solidFill>
              <w14:schemeClr w14:val="tx1"/>
            </w14:solidFill>
          </w14:textFill>
        </w:rPr>
        <w:t>修订依据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逐条对应《北京市国有企业违规经营投资责任追究实施办法（试行）》，并结合本区实际，修订本办法。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黑体" w:hAnsi="黑体" w:eastAsia="黑体" w:cs="仿宋_GB2312"/>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仿宋_GB2312"/>
          <w:color w:val="000000" w:themeColor="text1"/>
          <w:sz w:val="32"/>
          <w:szCs w:val="32"/>
          <w:shd w:val="clear" w:color="auto" w:fill="FFFFFF"/>
          <w:lang w:val="en-US" w:eastAsia="zh-CN"/>
          <w14:textFill>
            <w14:solidFill>
              <w14:schemeClr w14:val="tx1"/>
            </w14:solidFill>
          </w14:textFill>
        </w:rPr>
        <w:t>主要修订内容</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shd w:val="clear" w:color="auto" w:fill="FFFFFF"/>
          <w:lang w:val="zh-CN" w:eastAsia="zh-CN" w:bidi="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zh-CN" w:eastAsia="zh-CN" w:bidi="zh-CN"/>
          <w14:textFill>
            <w14:solidFill>
              <w14:schemeClr w14:val="tx1"/>
            </w14:solidFill>
          </w14:textFill>
        </w:rPr>
        <w:t>第一章总则</w:t>
      </w:r>
      <w:r>
        <w:rPr>
          <w:rFonts w:hint="eastAsia"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zh-CN" w:eastAsia="zh-CN" w:bidi="zh-CN"/>
          <w14:textFill>
            <w14:solidFill>
              <w14:schemeClr w14:val="tx1"/>
            </w14:solidFill>
          </w14:textFill>
        </w:rPr>
        <w:t>主要对制度依据、适用范围、工作原则进行了完善。补充了国务院国资委37号令、京政字【</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2022</w:t>
      </w:r>
      <w:r>
        <w:rPr>
          <w:rFonts w:hint="eastAsia" w:ascii="仿宋_GB2312" w:hAnsi="仿宋_GB2312" w:eastAsia="仿宋_GB2312" w:cs="仿宋_GB2312"/>
          <w:color w:val="000000" w:themeColor="text1"/>
          <w:sz w:val="32"/>
          <w:szCs w:val="32"/>
          <w:shd w:val="clear" w:color="auto" w:fill="FFFFFF"/>
          <w:lang w:val="zh-CN" w:eastAsia="zh-CN" w:bidi="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25号</w:t>
      </w:r>
      <w:r>
        <w:rPr>
          <w:rFonts w:hint="eastAsia" w:ascii="仿宋_GB2312" w:hAnsi="仿宋_GB2312" w:eastAsia="仿宋_GB2312" w:cs="仿宋_GB2312"/>
          <w:color w:val="000000" w:themeColor="text1"/>
          <w:sz w:val="32"/>
          <w:szCs w:val="32"/>
          <w:shd w:val="clear" w:color="auto" w:fill="FFFFFF"/>
          <w:lang w:val="zh-CN" w:eastAsia="zh-CN" w:bidi="zh-CN"/>
          <w14:textFill>
            <w14:solidFill>
              <w14:schemeClr w14:val="tx1"/>
            </w14:solidFill>
          </w14:textFill>
        </w:rPr>
        <w:t>作为上位法。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zh-CN"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zh-CN" w:eastAsia="zh-CN" w:bidi="zh-CN"/>
          <w14:textFill>
            <w14:solidFill>
              <w14:schemeClr w14:val="tx1"/>
            </w14:solidFill>
          </w14:textFill>
        </w:rPr>
        <w:t>明确了在责任追究工作过程中，发现涉嫌违反党纪或职务违法的问题和线索，应当移送相应的纪检监察组织查处；涉嫌犯罪的，应当移送监察机关或司法机关查处。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zh-CN" w:eastAsia="zh-CN" w:bidi="zh-CN"/>
          <w14:textFill>
            <w14:solidFill>
              <w14:schemeClr w14:val="tx1"/>
            </w14:solidFill>
          </w14:textFill>
        </w:rPr>
        <w:t>具体修订内容：</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《暂行条例》中的“区国资委”在本办法中全部替换为“履行出资人职责的机构”。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现第三条在“企业相关人员违反国家法律法规和企业内部管理规定”的基础上增加了“违反国有资产监管规章制度”。在“造成企业经营投资损失”后增加“或其他不良后果”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增加现第六条“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在责任追究工作过程中，发现涉嫌违反党纪</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职务违法</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或</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涉嫌犯罪的问题和线索，应当移送</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相关部门</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查处。</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zh-CN" w:eastAsia="zh-CN" w:bidi="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zh-CN" w:eastAsia="zh-CN" w:bidi="zh-CN"/>
          <w14:textFill>
            <w14:solidFill>
              <w14:schemeClr w14:val="tx1"/>
            </w14:solidFill>
          </w14:textFill>
        </w:rPr>
        <w:t>第二章责任追究范围</w:t>
      </w:r>
      <w:r>
        <w:rPr>
          <w:rFonts w:hint="eastAsia"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从原有的12类83种情形，修订为13类91种情形。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考虑近年监管重点，增加“京外、境外经营投资方面”一类情形，参照国务院国资委及北京市近几年监管制度要求，对其余情形进行了丰富，如：资金拆借、担保、实物资产管理、品牌管理等。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具体修订内容：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删除本章所有条目的兜底条款。并增加第二十条“其他违反规定，未履行或未正确履行职责造成损失或其他不良后果的责任追究情形。”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增加第十七条、十八条，明确京外、境外经营投资方面、实物资产管理方面的责任追究情形。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其余条目中对于集团管控方面、采购管理方面、销售管理方面、投资决策和管理方面、资金管理方面、改组改制退出方面、产权（股权）转让和资产处置方面、风险管理方面、保证、抵押、质押等担保活动方面、违规超发、薪酬福利廉洁从业方面中的情形做了补充、删改与完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 xml:space="preserve">第三章损失认定  </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在损失金额外，增加造成后果严重程度的划分依据。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具体修订内容：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一般损失对应造成一定不良后果；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较大损失对应造成较大不良后果；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重大损失对应造成严重不良后果。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 xml:space="preserve">第四章责任划分  </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在违反国家法律法规和企业内部管理规定的基础上增加了违反国有资产监管规章制度。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具体修订内容：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删除原第二十六条。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第五章</w:t>
      </w:r>
      <w:r>
        <w:rPr>
          <w:rFonts w:hint="default"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责任处理</w:t>
      </w:r>
      <w:r>
        <w:rPr>
          <w:rFonts w:hint="eastAsia"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对责任人的处理方式方面、扣减薪酬方面和责任人从轻减轻处理方面的情形进行了修订。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具体修订内容：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现第三十一条明确责任人的处理方式包括：批评教育、责令书面检查、通报批评、诫勉以及组织处理、扣减薪酬、禁入限制、党纪政务处分、移送监察机关或司法机关等。其中，组织处理包括：停职检查、调整职务、责令辞职、免职、降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现第三十二条在原基础上按照“一般损失”、“较大损失”、“重大损失”，分别给予相应的处理并扣减薪酬。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现第三十三条按照《中国共产党组织处理规定（试行）》，调整了组织处理方式；禁入限制方面增加“不得担任企业党组织负责人”。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现第三十五条将“从轻或免予处理”修订为“从轻或减轻”处理。增加两种可以从轻或减轻处理的情形。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删除原三十八、三十九条。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第六章</w:t>
      </w:r>
      <w:r>
        <w:rPr>
          <w:rFonts w:hint="default"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工作职责</w:t>
      </w:r>
      <w:r>
        <w:rPr>
          <w:rFonts w:hint="eastAsia"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明确各级主体工作职责。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由之前的按照干部管理权限组织开展责任追究工作，转变为按照干部管理权限和国有资本出资关系组织开展责任追究工作。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具体修订内容：原第六章“职责和程序”修订为现第六章“工作职责”现第七章“工作程序”。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 xml:space="preserve">第七章工作程序  </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对照国务院国资委37号令、</w:t>
      </w:r>
      <w:r>
        <w:rPr>
          <w:rFonts w:hint="eastAsia" w:ascii="仿宋_GB2312" w:hAnsi="仿宋_GB2312" w:eastAsia="仿宋_GB2312" w:cs="仿宋_GB2312"/>
          <w:color w:val="000000" w:themeColor="text1"/>
          <w:sz w:val="32"/>
          <w:szCs w:val="32"/>
          <w:shd w:val="clear" w:color="auto" w:fill="FFFFFF"/>
          <w:lang w:val="zh-CN" w:eastAsia="zh-CN" w:bidi="zh-CN"/>
          <w14:textFill>
            <w14:solidFill>
              <w14:schemeClr w14:val="tx1"/>
            </w14:solidFill>
          </w14:textFill>
        </w:rPr>
        <w:t>京政字【</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2022</w:t>
      </w:r>
      <w:r>
        <w:rPr>
          <w:rFonts w:hint="eastAsia" w:ascii="仿宋_GB2312" w:hAnsi="仿宋_GB2312" w:eastAsia="仿宋_GB2312" w:cs="仿宋_GB2312"/>
          <w:color w:val="000000" w:themeColor="text1"/>
          <w:sz w:val="32"/>
          <w:szCs w:val="32"/>
          <w:shd w:val="clear" w:color="auto" w:fill="FFFFFF"/>
          <w:lang w:val="zh-CN" w:eastAsia="zh-CN" w:bidi="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25号，将“受理、调查、处理、整改”4个程序，细化为“受理、初步核实、分类处置、核查、处理、整改”6个程序，提升可操作性。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具体修订内容：原第六章“职责和程序”修订为现第六章“工作职责”现第七章“工作程序”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第八章</w:t>
      </w:r>
      <w:r>
        <w:rPr>
          <w:rFonts w:hint="default"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附则</w:t>
      </w:r>
      <w:r>
        <w:rPr>
          <w:rFonts w:hint="eastAsia"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 xml:space="preserve">  </w:t>
      </w:r>
      <w:r>
        <w:rPr>
          <w:rFonts w:hint="default"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对</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区</w:t>
      </w:r>
      <w:r>
        <w:rPr>
          <w:rFonts w:hint="default"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属企业责任追究制度修订工作提出了要求</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w:t>
      </w:r>
      <w:r>
        <w:rPr>
          <w:rFonts w:hint="default"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对国有金融、文化企业、集体企业参照执行做出了规定</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。并明确</w:t>
      </w:r>
      <w:r>
        <w:rPr>
          <w:rFonts w:hint="default"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原《办法》</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门政办发【2020】43号</w:t>
      </w:r>
      <w:r>
        <w:rPr>
          <w:rFonts w:hint="default"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废止</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w:t>
      </w:r>
    </w:p>
    <w:sectPr>
      <w:footerReference r:id="rId3" w:type="default"/>
      <w:footerReference r:id="rId4" w:type="even"/>
      <w:pgSz w:w="11900" w:h="16840"/>
      <w:pgMar w:top="1440" w:right="1800" w:bottom="1440" w:left="1800"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Light">
    <w:altName w:val="宋体"/>
    <w:panose1 w:val="00000000000000000000"/>
    <w:charset w:val="86"/>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hd w:val="clear" w:color="auto" w:fill="FFFFFF"/>
      <w:spacing w:line="480" w:lineRule="atLeast"/>
      <w:jc w:val="center"/>
      <w:rPr>
        <w:rFonts w:ascii="黑体" w:hAnsi="黑体" w:eastAsia="黑体" w:cs="黑体"/>
        <w:color w:val="404040"/>
        <w:sz w:val="32"/>
        <w:szCs w:val="32"/>
        <w:shd w:val="clear" w:color="auto" w:fill="FFFFFF"/>
        <w:lang w:eastAsia="zh-CN"/>
      </w:rPr>
    </w:pPr>
    <w:r>
      <w:rPr>
        <w:rFonts w:ascii="黑体" w:hAnsi="黑体" w:eastAsia="黑体" w:cs="黑体"/>
        <w:color w:val="404040"/>
        <w:sz w:val="32"/>
        <w:szCs w:val="32"/>
        <w:shd w:val="clear" w:color="auto" w:fill="FFFFFF"/>
        <w:lang w:eastAsia="zh-CN"/>
      </w:rPr>
      <mc:AlternateContent>
        <mc:Choice Requires="wps">
          <w:drawing>
            <wp:anchor distT="0" distB="0" distL="114300" distR="114300" simplePos="0" relativeHeight="251659264" behindDoc="1" locked="0" layoutInCell="1" allowOverlap="1">
              <wp:simplePos x="0" y="0"/>
              <wp:positionH relativeFrom="page">
                <wp:posOffset>6145530</wp:posOffset>
              </wp:positionH>
              <wp:positionV relativeFrom="page">
                <wp:posOffset>10145395</wp:posOffset>
              </wp:positionV>
              <wp:extent cx="450850" cy="137160"/>
              <wp:effectExtent l="0" t="0" r="0" b="0"/>
              <wp:wrapNone/>
              <wp:docPr id="46" name="Shape 46"/>
              <wp:cNvGraphicFramePr/>
              <a:graphic xmlns:a="http://schemas.openxmlformats.org/drawingml/2006/main">
                <a:graphicData uri="http://schemas.microsoft.com/office/word/2010/wordprocessingShape">
                  <wps:wsp>
                    <wps:cNvSpPr txBox="1"/>
                    <wps:spPr>
                      <a:xfrm>
                        <a:off x="0" y="0"/>
                        <a:ext cx="450850" cy="137160"/>
                      </a:xfrm>
                      <a:prstGeom prst="rect">
                        <a:avLst/>
                      </a:prstGeom>
                      <a:noFill/>
                      <a:ln>
                        <a:noFill/>
                      </a:ln>
                      <a:effectLst/>
                    </wps:spPr>
                    <wps:txbx>
                      <w:txbxContent>
                        <w:p>
                          <w:pPr>
                            <w:pStyle w:val="9"/>
                            <w:shd w:val="clear" w:color="auto" w:fill="auto"/>
                            <w:rPr>
                              <w:sz w:val="24"/>
                              <w:szCs w:val="24"/>
                            </w:rPr>
                          </w:pPr>
                          <w:r>
                            <w:rPr>
                              <w:color w:val="232629"/>
                              <w:sz w:val="24"/>
                              <w:szCs w:val="24"/>
                            </w:rPr>
                            <w:t>-</w:t>
                          </w:r>
                          <w:r>
                            <w:fldChar w:fldCharType="begin"/>
                          </w:r>
                          <w:r>
                            <w:instrText xml:space="preserve"> PAGE \* MERGEFORMAT </w:instrText>
                          </w:r>
                          <w:r>
                            <w:fldChar w:fldCharType="separate"/>
                          </w:r>
                          <w:r>
                            <w:rPr>
                              <w:color w:val="232629"/>
                              <w:sz w:val="24"/>
                              <w:szCs w:val="24"/>
                            </w:rPr>
                            <w:t>24</w:t>
                          </w:r>
                          <w:r>
                            <w:rPr>
                              <w:color w:val="232629"/>
                              <w:sz w:val="24"/>
                              <w:szCs w:val="24"/>
                            </w:rPr>
                            <w:fldChar w:fldCharType="end"/>
                          </w:r>
                          <w:r>
                            <w:rPr>
                              <w:color w:val="232629"/>
                              <w:sz w:val="24"/>
                              <w:szCs w:val="24"/>
                            </w:rPr>
                            <w:t xml:space="preserve"> </w:t>
                          </w:r>
                          <w:r>
                            <w:rPr>
                              <w:color w:val="232629"/>
                              <w:sz w:val="24"/>
                              <w:szCs w:val="24"/>
                              <w:lang w:val="zh-CN" w:eastAsia="zh-CN" w:bidi="zh-CN"/>
                            </w:rPr>
                            <w:t>-</w:t>
                          </w:r>
                        </w:p>
                      </w:txbxContent>
                    </wps:txbx>
                    <wps:bodyPr wrap="none" lIns="0" tIns="0" rIns="0" bIns="0">
                      <a:spAutoFit/>
                    </wps:bodyPr>
                  </wps:wsp>
                </a:graphicData>
              </a:graphic>
            </wp:anchor>
          </w:drawing>
        </mc:Choice>
        <mc:Fallback>
          <w:pict>
            <v:shape id="Shape 46" o:spid="_x0000_s1026" o:spt="202" type="#_x0000_t202" style="position:absolute;left:0pt;margin-left:483.9pt;margin-top:798.85pt;height:10.8pt;width:35.5pt;mso-position-horizontal-relative:page;mso-position-vertical-relative:page;mso-wrap-style:none;z-index:-251657216;mso-width-relative:page;mso-height-relative:page;" filled="f" stroked="f" coordsize="21600,21600" o:gfxdata="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w04JtgAAAAOAQAADwAAAAAAAAABACAAAAAiAAAAZHJzL2Rvd25yZXYueG1sUEsB&#10;AhQAFAAAAAgAh07iQCPlQ128AQAAlwMAAA4AAAAAAAAAAQAgAAAAJwEAAGRycy9lMm9Eb2MueG1s&#10;UEsFBgAAAAAGAAYAWQEAAFUFAAAAAA==&#10;">
              <v:fill on="f" focussize="0,0"/>
              <v:stroke on="f"/>
              <v:imagedata o:title=""/>
              <o:lock v:ext="edit" aspectratio="f"/>
              <v:textbox inset="0mm,0mm,0mm,0mm" style="mso-fit-shape-to-text:t;">
                <w:txbxContent>
                  <w:p>
                    <w:pPr>
                      <w:pStyle w:val="9"/>
                      <w:shd w:val="clear" w:color="auto" w:fill="auto"/>
                      <w:rPr>
                        <w:sz w:val="24"/>
                        <w:szCs w:val="24"/>
                      </w:rPr>
                    </w:pPr>
                    <w:r>
                      <w:rPr>
                        <w:color w:val="232629"/>
                        <w:sz w:val="24"/>
                        <w:szCs w:val="24"/>
                      </w:rPr>
                      <w:t>-</w:t>
                    </w:r>
                    <w:r>
                      <w:fldChar w:fldCharType="begin"/>
                    </w:r>
                    <w:r>
                      <w:instrText xml:space="preserve"> PAGE \* MERGEFORMAT </w:instrText>
                    </w:r>
                    <w:r>
                      <w:fldChar w:fldCharType="separate"/>
                    </w:r>
                    <w:r>
                      <w:rPr>
                        <w:color w:val="232629"/>
                        <w:sz w:val="24"/>
                        <w:szCs w:val="24"/>
                      </w:rPr>
                      <w:t>24</w:t>
                    </w:r>
                    <w:r>
                      <w:rPr>
                        <w:color w:val="232629"/>
                        <w:sz w:val="24"/>
                        <w:szCs w:val="24"/>
                      </w:rPr>
                      <w:fldChar w:fldCharType="end"/>
                    </w:r>
                    <w:r>
                      <w:rPr>
                        <w:color w:val="232629"/>
                        <w:sz w:val="24"/>
                        <w:szCs w:val="24"/>
                      </w:rPr>
                      <w:t xml:space="preserve"> </w:t>
                    </w:r>
                    <w:r>
                      <w:rPr>
                        <w:color w:val="232629"/>
                        <w:sz w:val="24"/>
                        <w:szCs w:val="24"/>
                        <w:lang w:val="zh-CN" w:eastAsia="zh-CN" w:bidi="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1" locked="0" layoutInCell="1" allowOverlap="1">
              <wp:simplePos x="0" y="0"/>
              <wp:positionH relativeFrom="page">
                <wp:posOffset>1003300</wp:posOffset>
              </wp:positionH>
              <wp:positionV relativeFrom="page">
                <wp:posOffset>10075545</wp:posOffset>
              </wp:positionV>
              <wp:extent cx="454025" cy="130810"/>
              <wp:effectExtent l="0" t="0" r="0" b="0"/>
              <wp:wrapNone/>
              <wp:docPr id="48" name="Shape 48"/>
              <wp:cNvGraphicFramePr/>
              <a:graphic xmlns:a="http://schemas.openxmlformats.org/drawingml/2006/main">
                <a:graphicData uri="http://schemas.microsoft.com/office/word/2010/wordprocessingShape">
                  <wps:wsp>
                    <wps:cNvSpPr txBox="1"/>
                    <wps:spPr>
                      <a:xfrm>
                        <a:off x="0" y="0"/>
                        <a:ext cx="454025" cy="130810"/>
                      </a:xfrm>
                      <a:prstGeom prst="rect">
                        <a:avLst/>
                      </a:prstGeom>
                      <a:noFill/>
                      <a:ln>
                        <a:noFill/>
                      </a:ln>
                      <a:effectLst/>
                    </wps:spPr>
                    <wps:txbx>
                      <w:txbxContent>
                        <w:p>
                          <w:pPr>
                            <w:pStyle w:val="9"/>
                            <w:shd w:val="clear" w:color="auto" w:fill="auto"/>
                            <w:rPr>
                              <w:sz w:val="24"/>
                              <w:szCs w:val="24"/>
                            </w:rPr>
                          </w:pPr>
                          <w:r>
                            <w:rPr>
                              <w:color w:val="232629"/>
                              <w:sz w:val="24"/>
                              <w:szCs w:val="24"/>
                            </w:rPr>
                            <w:t>-</w:t>
                          </w:r>
                          <w:r>
                            <w:fldChar w:fldCharType="begin"/>
                          </w:r>
                          <w:r>
                            <w:instrText xml:space="preserve"> PAGE \* MERGEFORMAT </w:instrText>
                          </w:r>
                          <w:r>
                            <w:fldChar w:fldCharType="separate"/>
                          </w:r>
                          <w:r>
                            <w:rPr>
                              <w:color w:val="232629"/>
                              <w:sz w:val="24"/>
                              <w:szCs w:val="24"/>
                            </w:rPr>
                            <w:t>#</w:t>
                          </w:r>
                          <w:r>
                            <w:rPr>
                              <w:color w:val="232629"/>
                              <w:sz w:val="24"/>
                              <w:szCs w:val="24"/>
                            </w:rPr>
                            <w:fldChar w:fldCharType="end"/>
                          </w:r>
                          <w:r>
                            <w:rPr>
                              <w:color w:val="232629"/>
                              <w:sz w:val="24"/>
                              <w:szCs w:val="24"/>
                            </w:rPr>
                            <w:t xml:space="preserve"> </w:t>
                          </w:r>
                          <w:r>
                            <w:rPr>
                              <w:color w:val="5D5C62"/>
                              <w:sz w:val="24"/>
                              <w:szCs w:val="24"/>
                              <w:lang w:val="zh-CN" w:eastAsia="zh-CN" w:bidi="zh-CN"/>
                            </w:rPr>
                            <w:t>-</w:t>
                          </w:r>
                        </w:p>
                      </w:txbxContent>
                    </wps:txbx>
                    <wps:bodyPr wrap="none" lIns="0" tIns="0" rIns="0" bIns="0">
                      <a:spAutoFit/>
                    </wps:bodyPr>
                  </wps:wsp>
                </a:graphicData>
              </a:graphic>
            </wp:anchor>
          </w:drawing>
        </mc:Choice>
        <mc:Fallback>
          <w:pict>
            <v:shape id="Shape 48" o:spid="_x0000_s1026" o:spt="202" type="#_x0000_t202" style="position:absolute;left:0pt;margin-left:79pt;margin-top:793.35pt;height:10.3pt;width:35.75pt;mso-position-horizontal-relative:page;mso-position-vertical-relative:page;mso-wrap-style:none;z-index:-251656192;mso-width-relative:page;mso-height-relative:page;" filled="f" stroked="f" coordsize="21600,21600" o:gfxdata="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SJLqNgAAAANAQAADwAAAAAAAAABACAAAAAiAAAAZHJzL2Rvd25yZXYueG1sUEsB&#10;AhQAFAAAAAgAh07iQJUZzqW8AQAAlwMAAA4AAAAAAAAAAQAgAAAAJwEAAGRycy9lMm9Eb2MueG1s&#10;UEsFBgAAAAAGAAYAWQEAAFUFAAAAAA==&#10;">
              <v:fill on="f" focussize="0,0"/>
              <v:stroke on="f"/>
              <v:imagedata o:title=""/>
              <o:lock v:ext="edit" aspectratio="f"/>
              <v:textbox inset="0mm,0mm,0mm,0mm" style="mso-fit-shape-to-text:t;">
                <w:txbxContent>
                  <w:p>
                    <w:pPr>
                      <w:pStyle w:val="9"/>
                      <w:shd w:val="clear" w:color="auto" w:fill="auto"/>
                      <w:rPr>
                        <w:sz w:val="24"/>
                        <w:szCs w:val="24"/>
                      </w:rPr>
                    </w:pPr>
                    <w:r>
                      <w:rPr>
                        <w:color w:val="232629"/>
                        <w:sz w:val="24"/>
                        <w:szCs w:val="24"/>
                      </w:rPr>
                      <w:t>-</w:t>
                    </w:r>
                    <w:r>
                      <w:fldChar w:fldCharType="begin"/>
                    </w:r>
                    <w:r>
                      <w:instrText xml:space="preserve"> PAGE \* MERGEFORMAT </w:instrText>
                    </w:r>
                    <w:r>
                      <w:fldChar w:fldCharType="separate"/>
                    </w:r>
                    <w:r>
                      <w:rPr>
                        <w:color w:val="232629"/>
                        <w:sz w:val="24"/>
                        <w:szCs w:val="24"/>
                      </w:rPr>
                      <w:t>#</w:t>
                    </w:r>
                    <w:r>
                      <w:rPr>
                        <w:color w:val="232629"/>
                        <w:sz w:val="24"/>
                        <w:szCs w:val="24"/>
                      </w:rPr>
                      <w:fldChar w:fldCharType="end"/>
                    </w:r>
                    <w:r>
                      <w:rPr>
                        <w:color w:val="232629"/>
                        <w:sz w:val="24"/>
                        <w:szCs w:val="24"/>
                      </w:rPr>
                      <w:t xml:space="preserve"> </w:t>
                    </w:r>
                    <w:r>
                      <w:rPr>
                        <w:color w:val="5D5C62"/>
                        <w:sz w:val="24"/>
                        <w:szCs w:val="24"/>
                        <w:lang w:val="zh-CN" w:eastAsia="zh-CN" w:bidi="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462"/>
    <w:rsid w:val="000A03F0"/>
    <w:rsid w:val="000A21DA"/>
    <w:rsid w:val="000B0F1B"/>
    <w:rsid w:val="00172E20"/>
    <w:rsid w:val="00213E9B"/>
    <w:rsid w:val="003433F0"/>
    <w:rsid w:val="003757DC"/>
    <w:rsid w:val="00485611"/>
    <w:rsid w:val="00515E45"/>
    <w:rsid w:val="00594BD8"/>
    <w:rsid w:val="005F5462"/>
    <w:rsid w:val="008E6310"/>
    <w:rsid w:val="00B334CD"/>
    <w:rsid w:val="00BF7BFE"/>
    <w:rsid w:val="00C25D12"/>
    <w:rsid w:val="00CA055C"/>
    <w:rsid w:val="00D30313"/>
    <w:rsid w:val="00D816DA"/>
    <w:rsid w:val="00DC48D0"/>
    <w:rsid w:val="00E06842"/>
    <w:rsid w:val="00E75218"/>
    <w:rsid w:val="00E96E43"/>
    <w:rsid w:val="00FC45FC"/>
    <w:rsid w:val="08307FB5"/>
    <w:rsid w:val="0E5E6DE0"/>
    <w:rsid w:val="143751A8"/>
    <w:rsid w:val="1DEE3C58"/>
    <w:rsid w:val="1E243E79"/>
    <w:rsid w:val="21C36B8C"/>
    <w:rsid w:val="332C02E7"/>
    <w:rsid w:val="36F47F8B"/>
    <w:rsid w:val="4C2D4E45"/>
    <w:rsid w:val="5A727ED0"/>
    <w:rsid w:val="5E00320D"/>
    <w:rsid w:val="70056D5C"/>
    <w:rsid w:val="7BA01B24"/>
    <w:rsid w:val="7F930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
    <w:name w:val="Normal (Web)"/>
    <w:basedOn w:val="1"/>
    <w:qFormat/>
    <w:uiPriority w:val="0"/>
    <w:pPr>
      <w:spacing w:beforeAutospacing="1" w:afterAutospacing="1"/>
    </w:pPr>
    <w:rPr>
      <w:rFonts w:cs="Times New Roman"/>
      <w:lang w:eastAsia="zh-CN" w:bidi="ar-SA"/>
    </w:rPr>
  </w:style>
  <w:style w:type="paragraph" w:customStyle="1" w:styleId="6">
    <w:name w:val="标题 #2"/>
    <w:basedOn w:val="1"/>
    <w:qFormat/>
    <w:uiPriority w:val="0"/>
    <w:pPr>
      <w:shd w:val="clear" w:color="auto" w:fill="FFFFFF"/>
      <w:spacing w:after="430" w:line="710" w:lineRule="exact"/>
      <w:jc w:val="center"/>
      <w:outlineLvl w:val="1"/>
    </w:pPr>
    <w:rPr>
      <w:rFonts w:ascii="MingLiU" w:hAnsi="MingLiU" w:eastAsia="MingLiU" w:cs="MingLiU"/>
      <w:sz w:val="42"/>
      <w:szCs w:val="42"/>
      <w:lang w:val="zh-CN" w:eastAsia="zh-CN" w:bidi="zh-CN"/>
    </w:rPr>
  </w:style>
  <w:style w:type="paragraph" w:customStyle="1" w:styleId="7">
    <w:name w:val="标题 #3"/>
    <w:basedOn w:val="1"/>
    <w:qFormat/>
    <w:uiPriority w:val="0"/>
    <w:pPr>
      <w:shd w:val="clear" w:color="auto" w:fill="FFFFFF"/>
      <w:spacing w:line="568" w:lineRule="exact"/>
      <w:jc w:val="center"/>
      <w:outlineLvl w:val="2"/>
    </w:pPr>
    <w:rPr>
      <w:rFonts w:ascii="MingLiU" w:hAnsi="MingLiU" w:eastAsia="MingLiU" w:cs="MingLiU"/>
      <w:b/>
      <w:bCs/>
      <w:color w:val="101115"/>
      <w:sz w:val="28"/>
      <w:szCs w:val="28"/>
      <w:lang w:val="zh-CN" w:eastAsia="zh-CN" w:bidi="zh-CN"/>
    </w:rPr>
  </w:style>
  <w:style w:type="paragraph" w:customStyle="1" w:styleId="8">
    <w:name w:val="正文文本1"/>
    <w:basedOn w:val="1"/>
    <w:qFormat/>
    <w:uiPriority w:val="0"/>
    <w:pPr>
      <w:shd w:val="clear" w:color="auto" w:fill="FFFFFF"/>
      <w:spacing w:line="403" w:lineRule="auto"/>
      <w:ind w:firstLine="400"/>
    </w:pPr>
    <w:rPr>
      <w:rFonts w:ascii="MingLiU" w:hAnsi="MingLiU" w:eastAsia="MingLiU" w:cs="MingLiU"/>
      <w:color w:val="101115"/>
      <w:sz w:val="28"/>
      <w:szCs w:val="28"/>
      <w:lang w:val="zh-CN" w:eastAsia="zh-CN" w:bidi="zh-CN"/>
    </w:rPr>
  </w:style>
  <w:style w:type="paragraph" w:customStyle="1" w:styleId="9">
    <w:name w:val="页眉或页脚 (2)"/>
    <w:basedOn w:val="1"/>
    <w:qFormat/>
    <w:uiPriority w:val="0"/>
    <w:pPr>
      <w:shd w:val="clear" w:color="auto" w:fill="FFFFFF"/>
    </w:pPr>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http://bbs.buyitx.com</Company>
  <Pages>24</Pages>
  <Words>10638</Words>
  <Characters>528</Characters>
  <Lines>4</Lines>
  <Paragraphs>22</Paragraphs>
  <TotalTime>0</TotalTime>
  <ScaleCrop>false</ScaleCrop>
  <LinksUpToDate>false</LinksUpToDate>
  <CharactersWithSpaces>11144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john</cp:lastModifiedBy>
  <dcterms:modified xsi:type="dcterms:W3CDTF">2023-05-11T02:01:57Z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82F5FF520ADD4D1084CC96888237B22B</vt:lpwstr>
  </property>
</Properties>
</file>