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w:t>
      </w:r>
      <w:r>
        <w:rPr>
          <w:rFonts w:hint="eastAsia" w:ascii="方正小标宋简体" w:hAnsi="方正小标宋简体" w:eastAsia="方正小标宋简体" w:cs="方正小标宋简体"/>
          <w:b w:val="0"/>
          <w:bCs/>
          <w:sz w:val="44"/>
          <w:szCs w:val="44"/>
          <w:lang w:val="en-US" w:eastAsia="zh-CN"/>
        </w:rPr>
        <w:t>房山区推进北京国际科技创新中心建设2023年工作方案（征求意见稿）</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rPr>
        <w:t>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起草说明</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楷体_GB2312" w:hAnsi="仿宋_GB2312" w:eastAsia="楷体_GB2312" w:cs="仿宋_GB2312"/>
          <w:b w:val="0"/>
          <w:bCs w:val="0"/>
          <w:color w:val="auto"/>
          <w:sz w:val="32"/>
          <w:szCs w:val="32"/>
          <w:highlight w:val="none"/>
        </w:rPr>
      </w:pPr>
      <w:r>
        <w:rPr>
          <w:rFonts w:hint="eastAsia" w:ascii="黑体" w:hAnsi="黑体" w:eastAsia="黑体" w:cs="黑体"/>
          <w:b w:val="0"/>
          <w:bCs w:val="0"/>
          <w:color w:val="auto"/>
          <w:sz w:val="32"/>
          <w:szCs w:val="32"/>
          <w:highlight w:val="none"/>
        </w:rPr>
        <w:t>一、编制背景</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Cs/>
          <w:color w:val="FF0000"/>
          <w:sz w:val="32"/>
          <w:szCs w:val="32"/>
          <w:highlight w:val="none"/>
        </w:rPr>
      </w:pPr>
      <w:r>
        <w:rPr>
          <w:rFonts w:hint="eastAsia" w:ascii="仿宋_GB2312" w:hAnsi="宋体" w:eastAsia="仿宋_GB2312"/>
          <w:sz w:val="32"/>
          <w:szCs w:val="32"/>
          <w:lang w:val="en-US" w:eastAsia="zh-CN"/>
        </w:rPr>
        <w:t>为贯彻落实党的二十大精神和中央经济工作会议精神，落实北京国际科技创新中心战略部署，做好2023年我区推进北京国际科技创新中心建设工作，区科委牵头研究制定</w:t>
      </w:r>
      <w:r>
        <w:rPr>
          <w:rFonts w:hint="eastAsia" w:ascii="仿宋_GB2312" w:hAnsi="宋体" w:eastAsia="仿宋_GB2312"/>
          <w:sz w:val="32"/>
          <w:szCs w:val="32"/>
        </w:rPr>
        <w:t>了《</w:t>
      </w:r>
      <w:r>
        <w:rPr>
          <w:rFonts w:hint="eastAsia" w:ascii="仿宋_GB2312" w:hAnsi="宋体" w:eastAsia="仿宋_GB2312"/>
          <w:sz w:val="32"/>
          <w:szCs w:val="32"/>
          <w:lang w:val="en-US" w:eastAsia="zh-CN"/>
        </w:rPr>
        <w:t>房山区推进北京国际科技创新中心建设2023年工作方案（征求意见稿）</w:t>
      </w:r>
      <w:r>
        <w:rPr>
          <w:rFonts w:hint="eastAsia" w:ascii="仿宋_GB2312" w:hAnsi="宋体" w:eastAsia="仿宋_GB2312"/>
          <w:sz w:val="32"/>
          <w:szCs w:val="32"/>
        </w:rPr>
        <w:t>》，</w:t>
      </w:r>
      <w:r>
        <w:rPr>
          <w:rFonts w:hint="eastAsia" w:ascii="仿宋_GB2312" w:hAnsi="仿宋_GB2312" w:eastAsia="仿宋_GB2312" w:cs="仿宋_GB2312"/>
          <w:color w:val="auto"/>
          <w:sz w:val="32"/>
          <w:szCs w:val="32"/>
          <w:highlight w:val="none"/>
          <w:lang w:eastAsia="zh-CN"/>
        </w:rPr>
        <w:t>（以下简称《</w:t>
      </w:r>
      <w:r>
        <w:rPr>
          <w:rFonts w:hint="eastAsia" w:ascii="仿宋_GB2312" w:hAnsi="仿宋" w:eastAsia="仿宋_GB2312" w:cs="仿宋"/>
          <w:sz w:val="32"/>
          <w:szCs w:val="32"/>
          <w:highlight w:val="none"/>
          <w:lang w:val="en-US" w:eastAsia="zh-CN"/>
        </w:rPr>
        <w:t>工作方案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left"/>
        <w:textAlignment w:val="auto"/>
        <w:outlineLvl w:val="9"/>
        <w:rPr>
          <w:rFonts w:hint="default" w:ascii="楷体_GB2312" w:hAnsi="黑体" w:eastAsia="楷体_GB2312" w:cs="黑体"/>
          <w:b w:val="0"/>
          <w:bCs w:val="0"/>
          <w:color w:val="auto"/>
          <w:sz w:val="32"/>
          <w:szCs w:val="32"/>
          <w:highlight w:val="none"/>
          <w:lang w:val="en-US" w:eastAsia="zh-CN"/>
        </w:rPr>
      </w:pPr>
      <w:r>
        <w:rPr>
          <w:rFonts w:hint="eastAsia" w:ascii="楷体_GB2312" w:hAnsi="黑体" w:eastAsia="楷体_GB2312"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lang w:val="en-US" w:eastAsia="zh-CN"/>
        </w:rPr>
        <w:t>二、编制情况</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rPr>
      </w:pPr>
      <w:r>
        <w:rPr>
          <w:rFonts w:hint="eastAsia" w:ascii="仿宋_GB2312" w:hAnsi="宋体" w:eastAsia="仿宋_GB2312"/>
          <w:sz w:val="32"/>
          <w:szCs w:val="32"/>
          <w:lang w:val="en-US" w:eastAsia="zh-CN"/>
        </w:rPr>
        <w:t>根据《北京国际科技创新中心建设重点任务2023年工作方案》、《房山区“十四五”时期科技创新发展规划》、《2023年区政府重点工作任务清单》以及我区实际，按照“细化、量化、具体化、项目化”工作要求，区科委牵头制定了我区《工作方案》，将我区推进北京国际科技创新中心建设梳理形成5方面共计36项具体任务。</w:t>
      </w:r>
    </w:p>
    <w:p>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仿宋_GB2312"/>
          <w:b/>
          <w:bCs w:val="0"/>
          <w:color w:val="000000"/>
          <w:sz w:val="32"/>
          <w:szCs w:val="32"/>
          <w:highlight w:val="yellow"/>
        </w:rPr>
      </w:pPr>
      <w:r>
        <w:rPr>
          <w:rFonts w:hint="eastAsia" w:ascii="黑体" w:hAnsi="黑体" w:eastAsia="黑体" w:cs="黑体"/>
          <w:b w:val="0"/>
          <w:bCs w:val="0"/>
          <w:color w:val="auto"/>
          <w:kern w:val="2"/>
          <w:sz w:val="32"/>
          <w:szCs w:val="32"/>
          <w:highlight w:val="none"/>
          <w:lang w:val="en-US" w:eastAsia="zh-CN" w:bidi="ar-SA"/>
        </w:rPr>
        <w:t>三、主要内容</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lang w:eastAsia="zh-CN"/>
        </w:rPr>
        <w:t>第一，强化原始创新能力，打造良乡大学城科技创新引领区。</w:t>
      </w:r>
      <w:r>
        <w:rPr>
          <w:rFonts w:hint="eastAsia" w:ascii="仿宋_GB2312" w:hAnsi="仿宋_GB2312" w:eastAsia="仿宋_GB2312" w:cs="仿宋_GB2312"/>
          <w:color w:val="000000"/>
          <w:kern w:val="0"/>
          <w:sz w:val="32"/>
          <w:szCs w:val="32"/>
          <w:lang w:eastAsia="zh-CN"/>
        </w:rPr>
        <w:t>一是深度挖掘良乡大学城创新策源地资源。创新校地企科技成果转化体制机制，挖掘吸引培养优质高校科研成果就地转化，切实提高科研项目产出率。加强与其他高校和科研院所的对接，推进在相关领先研发领域开展合作，促进更多科研机构或高精尖创新中心落地良乡大学城。二是切实发挥良乡大学城创新源作用，构建“1”与“3+N”产业集群的畅通机制，形成共建共享共促的活力局面。构建房山区委、区政府与大学城高校间的深度对接协作机制，建立校地共建共商共享联动机制，推进产城融合、产教融合、产学研用发展和科技成果就地转化落地。</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lang w:eastAsia="zh-CN"/>
        </w:rPr>
        <w:t>第二，推进产业技术创新，打造四大产业集群创新高地。</w:t>
      </w:r>
      <w:r>
        <w:rPr>
          <w:rFonts w:hint="eastAsia" w:ascii="仿宋_GB2312" w:hAnsi="仿宋_GB2312" w:eastAsia="仿宋_GB2312" w:cs="仿宋_GB2312"/>
          <w:color w:val="000000"/>
          <w:kern w:val="0"/>
          <w:sz w:val="32"/>
          <w:szCs w:val="32"/>
          <w:lang w:eastAsia="zh-CN"/>
        </w:rPr>
        <w:t>发挥驻区央企、科研机构、众创孵化平台、房山园头部企业的创新力，持续激发企业创新活力。支持本区建设标杆孵化器，引导孵化器向专业化、国际化发展，更好承接成果转化和硬科技创业项目孵化，有效促进硬科技企业在我区落地集聚。积极发挥驻区央企和科研机构龙头科创作用，建立企地对接机制。加大对四大产业集群重点课题项目、重点企业产业升级、技术创新的财政支持；用好国家及本市科技创新企业金融支持政策和发挥本区产业引导基金，鼓励企业积极研发解决“卡脖子技术”。</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lang w:eastAsia="zh-CN"/>
        </w:rPr>
        <w:t>第三，切实发挥区域创新作用，积极对接“三城一区”主平台，构建“1+3+N”和“三城一区”协同创新共同体。</w:t>
      </w:r>
      <w:r>
        <w:rPr>
          <w:rFonts w:hint="eastAsia" w:ascii="仿宋_GB2312" w:hAnsi="仿宋_GB2312" w:eastAsia="仿宋_GB2312" w:cs="仿宋_GB2312"/>
          <w:color w:val="000000"/>
          <w:kern w:val="0"/>
          <w:sz w:val="32"/>
          <w:szCs w:val="32"/>
          <w:lang w:eastAsia="zh-CN"/>
        </w:rPr>
        <w:t>充分发挥中关村新兴产业前沿技术研究院平台作用，积极对接“三城一区”主平台，建立深入对接机制，发挥房山园产业功能定位优势，在半导体高端新材料、集成电路等方面积极承接“三城一区”外溢成果和项目落地，与北京经济开发区建立产业发展协同区。积极对接京津冀国家科技创新中心，构建对接协作机制，主动承接研发成果外溢转化。进一步深化推广中关村房山园“前店后厂”模式，增强区域科技研发与成果转化落地的效能，构建区域创新共同体。</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lang w:eastAsia="zh-CN"/>
        </w:rPr>
        <w:t>第四，优化科技创新生态，构筑开放创新环境。</w:t>
      </w:r>
      <w:r>
        <w:rPr>
          <w:rFonts w:hint="eastAsia" w:ascii="仿宋_GB2312" w:hAnsi="仿宋_GB2312" w:eastAsia="仿宋_GB2312" w:cs="仿宋_GB2312"/>
          <w:color w:val="000000"/>
          <w:kern w:val="0"/>
          <w:sz w:val="32"/>
          <w:szCs w:val="32"/>
          <w:lang w:eastAsia="zh-CN"/>
        </w:rPr>
        <w:t>一是聚合创新政策，构建具有本区特色的普惠性科技创新政策体系。积极争取中关村“1+5”科技创新财政资金支持政策，切实推动中关村先行先试政策在房山园“落地生根”。二是完善人才政策，切实解决重点企业、龙头企业关键用人，提升科技人才服务精准度。研究完善引进区外、海外等高层次人才和培育本区科技人才的政策体系。建立完善重大项目与人才引进联动机制，</w:t>
      </w:r>
      <w:bookmarkStart w:id="0" w:name="_GoBack"/>
      <w:bookmarkEnd w:id="0"/>
      <w:r>
        <w:rPr>
          <w:rFonts w:hint="eastAsia" w:ascii="仿宋_GB2312" w:hAnsi="仿宋_GB2312" w:eastAsia="仿宋_GB2312" w:cs="仿宋_GB2312"/>
          <w:color w:val="000000"/>
          <w:kern w:val="0"/>
          <w:sz w:val="32"/>
          <w:szCs w:val="32"/>
          <w:lang w:eastAsia="zh-CN"/>
        </w:rPr>
        <w:t>依托中关村房山园，通过产业导入有效吸引人才，积极承接市区外溢的优质人才和智力资源。深化校地联动人才培养机制，利用大学城高校资源，定向培养区域产业急需人才。三是构建科技服务体系，提升科技创新营商环境。创新良乡大学城校地深度对接融合机制，建立领导干部互挂机制、高层联席会议机制、日常联络机制。建立区科技成果转化工作专班，负责推动科技成果在本区落地转化。进一步优化营商环境，落实“一网通办”，持续推动政务服务向企业聚集度高的良乡大学城、中关村房山园区延伸下沉，坚决打通政策落地“最后一公里”。充分发挥“北京房山”APP平台，做好科技创新“政策+服务”一体化支撑。</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lang w:eastAsia="zh-CN"/>
        </w:rPr>
        <w:t>第五，提升科技对社会发展的贡献，着力推动科技造福社会、惠及民生。强化科技惠民，提升人民群众科技获得感。</w:t>
      </w:r>
      <w:r>
        <w:rPr>
          <w:rFonts w:hint="eastAsia" w:ascii="仿宋_GB2312" w:hAnsi="仿宋_GB2312" w:eastAsia="仿宋_GB2312" w:cs="仿宋_GB2312"/>
          <w:color w:val="000000"/>
          <w:kern w:val="0"/>
          <w:sz w:val="32"/>
          <w:szCs w:val="32"/>
          <w:lang w:eastAsia="zh-CN"/>
        </w:rPr>
        <w:t>以数字化赋能经济发展，推进数字经济标杆城市建设，统筹推进数字化、智能化在交通出行、教育医疗、城市治理、产业升级、农业农村等领域的场景应用，融合数字经济发展，构建城市治理数据底座和智慧房山体系，搭建基于经济运行领域应用场景。</w:t>
      </w:r>
    </w:p>
    <w:p>
      <w:pPr>
        <w:pStyle w:val="4"/>
        <w:keepNext w:val="0"/>
        <w:keepLines w:val="0"/>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工作方案</w:t>
      </w:r>
      <w:r>
        <w:rPr>
          <w:rFonts w:hint="eastAsia" w:ascii="仿宋_GB2312" w:hAnsi="仿宋_GB2312" w:eastAsia="仿宋_GB2312" w:cs="仿宋_GB2312"/>
          <w:color w:val="000000"/>
          <w:kern w:val="0"/>
          <w:sz w:val="32"/>
          <w:szCs w:val="32"/>
          <w:lang w:eastAsia="zh-CN"/>
        </w:rPr>
        <w:t>》最后还明确了保障措施，包括：加强组织领导、加强资源保障、加强信息沟通和跟踪督导、加强宣传引导和科学普及等内容。</w:t>
      </w:r>
    </w:p>
    <w:p>
      <w:pPr>
        <w:rPr>
          <w:rFonts w:hint="eastAsia" w:ascii="仿宋_GB2312" w:hAnsi="仿宋_GB2312" w:eastAsia="仿宋_GB2312" w:cs="仿宋_GB2312"/>
          <w:color w:val="000000"/>
          <w:kern w:val="0"/>
          <w:sz w:val="32"/>
          <w:szCs w:val="32"/>
          <w:lang w:eastAsia="zh-CN"/>
        </w:rPr>
      </w:pPr>
    </w:p>
    <w:p>
      <w:pPr>
        <w:pStyle w:val="2"/>
        <w:rPr>
          <w:rFonts w:hint="eastAsia" w:ascii="仿宋_GB2312" w:hAnsi="仿宋_GB2312" w:eastAsia="仿宋_GB2312" w:cs="仿宋_GB2312"/>
          <w:color w:val="000000"/>
          <w:kern w:val="0"/>
          <w:sz w:val="32"/>
          <w:szCs w:val="32"/>
          <w:lang w:eastAsia="zh-CN"/>
        </w:rPr>
      </w:pPr>
    </w:p>
    <w:p>
      <w:pPr>
        <w:pStyle w:val="3"/>
        <w:rPr>
          <w:rFonts w:hint="eastAsia"/>
          <w:lang w:eastAsia="zh-CN"/>
        </w:rPr>
      </w:pPr>
    </w:p>
    <w:p>
      <w:pPr>
        <w:pStyle w:val="3"/>
        <w:keepNext w:val="0"/>
        <w:keepLines w:val="0"/>
        <w:pageBreakBefore w:val="0"/>
        <w:widowControl w:val="0"/>
        <w:kinsoku/>
        <w:wordWrap/>
        <w:overflowPunct/>
        <w:topLinePunct w:val="0"/>
        <w:autoSpaceDE/>
        <w:autoSpaceDN/>
        <w:bidi w:val="0"/>
        <w:adjustRightInd/>
        <w:spacing w:line="600" w:lineRule="exact"/>
        <w:ind w:firstLine="1920" w:firstLineChars="600"/>
        <w:textAlignment w:val="auto"/>
        <w:rPr>
          <w:rFonts w:hint="eastAsia" w:ascii="仿宋_GB2312" w:eastAsia="仿宋_GB2312" w:cs="仿宋_GB2312"/>
          <w:bCs/>
          <w:color w:val="000000"/>
          <w:sz w:val="32"/>
          <w:szCs w:val="32"/>
          <w:lang w:val="en-US" w:eastAsia="zh-CN"/>
        </w:rPr>
      </w:pPr>
    </w:p>
    <w:p>
      <w:pPr>
        <w:pStyle w:val="3"/>
        <w:keepNext w:val="0"/>
        <w:keepLines w:val="0"/>
        <w:pageBreakBefore w:val="0"/>
        <w:widowControl w:val="0"/>
        <w:kinsoku/>
        <w:wordWrap/>
        <w:overflowPunct/>
        <w:topLinePunct w:val="0"/>
        <w:autoSpaceDE/>
        <w:autoSpaceDN/>
        <w:bidi w:val="0"/>
        <w:adjustRightInd/>
        <w:spacing w:line="600" w:lineRule="exact"/>
        <w:ind w:firstLine="2560" w:firstLineChars="800"/>
        <w:textAlignment w:val="auto"/>
        <w:rPr>
          <w:rFonts w:hint="eastAsia" w:ascii="仿宋_GB2312" w:eastAsia="仿宋_GB2312" w:cs="仿宋_GB2312"/>
          <w:bCs/>
          <w:color w:val="000000"/>
          <w:sz w:val="32"/>
          <w:szCs w:val="32"/>
          <w:lang w:val="en-US" w:eastAsia="zh-CN"/>
        </w:rPr>
      </w:pPr>
      <w:r>
        <w:rPr>
          <w:rFonts w:hint="eastAsia" w:ascii="仿宋_GB2312" w:eastAsia="仿宋_GB2312" w:cs="仿宋_GB2312"/>
          <w:bCs/>
          <w:color w:val="000000"/>
          <w:sz w:val="32"/>
          <w:szCs w:val="32"/>
          <w:lang w:val="en-US" w:eastAsia="zh-CN"/>
        </w:rPr>
        <w:t>房山区科委</w:t>
      </w:r>
    </w:p>
    <w:p>
      <w:pPr>
        <w:keepNext w:val="0"/>
        <w:keepLines w:val="0"/>
        <w:pageBreakBefore w:val="0"/>
        <w:widowControl w:val="0"/>
        <w:kinsoku/>
        <w:wordWrap/>
        <w:overflowPunct/>
        <w:topLinePunct w:val="0"/>
        <w:autoSpaceDE/>
        <w:autoSpaceDN/>
        <w:bidi w:val="0"/>
        <w:adjustRightInd/>
        <w:spacing w:line="600" w:lineRule="exact"/>
        <w:ind w:firstLine="5440" w:firstLineChars="1700"/>
        <w:textAlignment w:val="auto"/>
        <w:rPr>
          <w:rFonts w:hint="default"/>
          <w:lang w:val="en-US" w:eastAsia="zh-CN"/>
        </w:rPr>
      </w:pPr>
      <w:r>
        <w:rPr>
          <w:rFonts w:hint="eastAsia" w:ascii="仿宋_GB2312" w:eastAsia="仿宋_GB2312" w:cs="仿宋_GB2312"/>
          <w:bCs/>
          <w:color w:val="000000"/>
          <w:sz w:val="32"/>
          <w:szCs w:val="32"/>
          <w:lang w:val="en-US" w:eastAsia="zh-CN"/>
        </w:rPr>
        <w:t>2023年3月6日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script"/>
    <w:pitch w:val="default"/>
    <w:sig w:usb0="00000000" w:usb1="00000000" w:usb2="00000000" w:usb3="00000000" w:csb0="00040000" w:csb1="00000000"/>
  </w:font>
  <w:font w:name="方正宋体S-超大字符集">
    <w:altName w:val="宋体"/>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zZDU5OTAyODBlMWI3Y2U5Y2VlZGE5MWM4N2EzZDEifQ=="/>
  </w:docVars>
  <w:rsids>
    <w:rsidRoot w:val="00000000"/>
    <w:rsid w:val="00CA02FB"/>
    <w:rsid w:val="00F10618"/>
    <w:rsid w:val="02555ED9"/>
    <w:rsid w:val="028F7330"/>
    <w:rsid w:val="030E077B"/>
    <w:rsid w:val="032633D2"/>
    <w:rsid w:val="032F672A"/>
    <w:rsid w:val="05160E8D"/>
    <w:rsid w:val="05AA02EA"/>
    <w:rsid w:val="064761C9"/>
    <w:rsid w:val="084F4173"/>
    <w:rsid w:val="094E3682"/>
    <w:rsid w:val="0B5807E8"/>
    <w:rsid w:val="0D6F756B"/>
    <w:rsid w:val="0E185E71"/>
    <w:rsid w:val="0E845CED"/>
    <w:rsid w:val="0F29708F"/>
    <w:rsid w:val="0F96441E"/>
    <w:rsid w:val="10234523"/>
    <w:rsid w:val="10475067"/>
    <w:rsid w:val="11064BD8"/>
    <w:rsid w:val="12700646"/>
    <w:rsid w:val="12BE07C8"/>
    <w:rsid w:val="144F74BB"/>
    <w:rsid w:val="145D0B4E"/>
    <w:rsid w:val="14611D90"/>
    <w:rsid w:val="19717795"/>
    <w:rsid w:val="19D454DE"/>
    <w:rsid w:val="1A18363D"/>
    <w:rsid w:val="1A383C28"/>
    <w:rsid w:val="1BA37980"/>
    <w:rsid w:val="1EFF0946"/>
    <w:rsid w:val="202A1EDC"/>
    <w:rsid w:val="21D05231"/>
    <w:rsid w:val="22B569E9"/>
    <w:rsid w:val="23E50309"/>
    <w:rsid w:val="255E4E12"/>
    <w:rsid w:val="271F76D1"/>
    <w:rsid w:val="27802F17"/>
    <w:rsid w:val="283C3ADB"/>
    <w:rsid w:val="28837113"/>
    <w:rsid w:val="29951BE3"/>
    <w:rsid w:val="2B111D50"/>
    <w:rsid w:val="2B205D80"/>
    <w:rsid w:val="2D1566F1"/>
    <w:rsid w:val="2D9428EE"/>
    <w:rsid w:val="2F4D7C74"/>
    <w:rsid w:val="33B10912"/>
    <w:rsid w:val="33D95AF1"/>
    <w:rsid w:val="35324D37"/>
    <w:rsid w:val="354E4778"/>
    <w:rsid w:val="35F067C3"/>
    <w:rsid w:val="36C47FB2"/>
    <w:rsid w:val="36CB2CF1"/>
    <w:rsid w:val="37B3277F"/>
    <w:rsid w:val="3A5C0EAC"/>
    <w:rsid w:val="3B994239"/>
    <w:rsid w:val="3CD1792F"/>
    <w:rsid w:val="3CD5623D"/>
    <w:rsid w:val="3E7C147D"/>
    <w:rsid w:val="3F261EF7"/>
    <w:rsid w:val="3F6076C0"/>
    <w:rsid w:val="42546BE9"/>
    <w:rsid w:val="42C470F3"/>
    <w:rsid w:val="42CA4B3F"/>
    <w:rsid w:val="442B6AA1"/>
    <w:rsid w:val="4654512D"/>
    <w:rsid w:val="466C6EEB"/>
    <w:rsid w:val="47262F6D"/>
    <w:rsid w:val="477C6DFB"/>
    <w:rsid w:val="498A2725"/>
    <w:rsid w:val="49B814A6"/>
    <w:rsid w:val="49CA7298"/>
    <w:rsid w:val="4D542EF2"/>
    <w:rsid w:val="4D68492B"/>
    <w:rsid w:val="4D747043"/>
    <w:rsid w:val="4DD352D2"/>
    <w:rsid w:val="4E481B4E"/>
    <w:rsid w:val="4FD7116E"/>
    <w:rsid w:val="505E2CCF"/>
    <w:rsid w:val="513242BC"/>
    <w:rsid w:val="534821DA"/>
    <w:rsid w:val="53A46E7E"/>
    <w:rsid w:val="53EA2396"/>
    <w:rsid w:val="55B55D4B"/>
    <w:rsid w:val="55F12991"/>
    <w:rsid w:val="56CD0D0F"/>
    <w:rsid w:val="5783012A"/>
    <w:rsid w:val="57C6377C"/>
    <w:rsid w:val="590C6EA8"/>
    <w:rsid w:val="59831B59"/>
    <w:rsid w:val="5AB623F8"/>
    <w:rsid w:val="5C8C6591"/>
    <w:rsid w:val="5E3149F6"/>
    <w:rsid w:val="5E457254"/>
    <w:rsid w:val="5FE1243E"/>
    <w:rsid w:val="5FFB5C94"/>
    <w:rsid w:val="602A5357"/>
    <w:rsid w:val="604E2FBF"/>
    <w:rsid w:val="60DF7FBD"/>
    <w:rsid w:val="60FD48E7"/>
    <w:rsid w:val="61795A8C"/>
    <w:rsid w:val="61825D34"/>
    <w:rsid w:val="61B70C1F"/>
    <w:rsid w:val="61FE0776"/>
    <w:rsid w:val="63524831"/>
    <w:rsid w:val="636831B2"/>
    <w:rsid w:val="639E4E9B"/>
    <w:rsid w:val="645F6ACF"/>
    <w:rsid w:val="64CD637E"/>
    <w:rsid w:val="65B40423"/>
    <w:rsid w:val="674319E7"/>
    <w:rsid w:val="67882D3A"/>
    <w:rsid w:val="6C2063E9"/>
    <w:rsid w:val="6CEB3F30"/>
    <w:rsid w:val="6E7D2BC3"/>
    <w:rsid w:val="6FA028AE"/>
    <w:rsid w:val="70A703CB"/>
    <w:rsid w:val="75131E18"/>
    <w:rsid w:val="774A6156"/>
    <w:rsid w:val="7A3C1FE1"/>
    <w:rsid w:val="7B121005"/>
    <w:rsid w:val="7BCD4B65"/>
    <w:rsid w:val="7C602892"/>
    <w:rsid w:val="7D7E2356"/>
    <w:rsid w:val="7E0C56F1"/>
    <w:rsid w:val="7EBF4783"/>
    <w:rsid w:val="7F7A3332"/>
    <w:rsid w:val="7FF86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next w:val="3"/>
    <w:qFormat/>
    <w:uiPriority w:val="0"/>
    <w:rPr>
      <w:rFonts w:ascii="宋体" w:hAnsi="Courier New" w:cs="Courier New"/>
      <w:szCs w:val="21"/>
    </w:rPr>
  </w:style>
  <w:style w:type="paragraph" w:styleId="3">
    <w:name w:val="index 9"/>
    <w:basedOn w:val="1"/>
    <w:next w:val="1"/>
    <w:unhideWhenUsed/>
    <w:qFormat/>
    <w:uiPriority w:val="99"/>
    <w:pPr>
      <w:suppressAutoHyphens w:val="0"/>
      <w:ind w:left="1600" w:leftChars="1600"/>
    </w:pPr>
    <w:rPr>
      <w:rFonts w:cs="Calibri"/>
      <w:szCs w:val="21"/>
    </w:rPr>
  </w:style>
  <w:style w:type="paragraph" w:styleId="4">
    <w:name w:val="table of authorities"/>
    <w:basedOn w:val="1"/>
    <w:next w:val="1"/>
    <w:qFormat/>
    <w:uiPriority w:val="0"/>
    <w:pPr>
      <w:spacing w:line="360" w:lineRule="auto"/>
      <w:ind w:left="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1451</Words>
  <Characters>1505</Characters>
  <Lines>0</Lines>
  <Paragraphs>0</Paragraphs>
  <TotalTime>0</TotalTime>
  <ScaleCrop>false</ScaleCrop>
  <LinksUpToDate>false</LinksUpToDate>
  <CharactersWithSpaces>1509</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环境管理_任</dc:creator>
  <cp:lastModifiedBy>KW</cp:lastModifiedBy>
  <dcterms:modified xsi:type="dcterms:W3CDTF">2023-03-03T01:54:08Z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29D6FB4AF3154F4882ECFE001B6581FD</vt:lpwstr>
  </property>
</Properties>
</file>