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pacing w:val="6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spacing w:val="6"/>
          <w:sz w:val="44"/>
          <w:szCs w:val="44"/>
          <w:lang w:bidi="ar"/>
        </w:rPr>
        <w:t>关于《房山区</w:t>
      </w:r>
      <w:r>
        <w:rPr>
          <w:rFonts w:hint="eastAsia" w:ascii="方正小标宋简体" w:hAnsi="方正小标宋简体" w:eastAsia="方正小标宋简体" w:cs="方正小标宋简体"/>
          <w:spacing w:val="6"/>
          <w:sz w:val="44"/>
          <w:szCs w:val="44"/>
          <w:lang w:eastAsia="zh-CN" w:bidi="ar"/>
        </w:rPr>
        <w:t>史家营</w:t>
      </w:r>
      <w:r>
        <w:rPr>
          <w:rFonts w:hint="eastAsia" w:ascii="方正小标宋简体" w:hAnsi="方正小标宋简体" w:eastAsia="方正小标宋简体" w:cs="方正小标宋简体"/>
          <w:spacing w:val="6"/>
          <w:sz w:val="44"/>
          <w:szCs w:val="44"/>
          <w:lang w:bidi="ar"/>
        </w:rPr>
        <w:t>乡国土空间规划（20</w:t>
      </w:r>
      <w:r>
        <w:rPr>
          <w:rFonts w:hint="eastAsia" w:ascii="方正小标宋简体" w:hAnsi="方正小标宋简体" w:eastAsia="方正小标宋简体" w:cs="方正小标宋简体"/>
          <w:spacing w:val="6"/>
          <w:sz w:val="44"/>
          <w:szCs w:val="44"/>
          <w:lang w:bidi="ar"/>
        </w:rPr>
        <w:t>20</w:t>
      </w:r>
      <w:r>
        <w:rPr>
          <w:rFonts w:hint="eastAsia" w:ascii="方正小标宋简体" w:hAnsi="方正小标宋简体" w:eastAsia="方正小标宋简体" w:cs="方正小标宋简体"/>
          <w:spacing w:val="6"/>
          <w:sz w:val="44"/>
          <w:szCs w:val="44"/>
          <w:lang w:bidi="ar"/>
        </w:rPr>
        <w:t>年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—</w:t>
      </w:r>
      <w:r>
        <w:rPr>
          <w:rFonts w:hint="eastAsia" w:ascii="方正小标宋简体" w:hAnsi="方正小标宋简体" w:eastAsia="方正小标宋简体" w:cs="方正小标宋简体"/>
          <w:spacing w:val="6"/>
          <w:sz w:val="44"/>
          <w:szCs w:val="44"/>
          <w:lang w:bidi="ar"/>
        </w:rPr>
        <w:t>20</w:t>
      </w:r>
      <w:r>
        <w:rPr>
          <w:rFonts w:hint="eastAsia" w:ascii="方正小标宋简体" w:hAnsi="方正小标宋简体" w:eastAsia="方正小标宋简体" w:cs="方正小标宋简体"/>
          <w:spacing w:val="6"/>
          <w:sz w:val="44"/>
          <w:szCs w:val="44"/>
          <w:lang w:bidi="ar"/>
        </w:rPr>
        <w:t>35</w:t>
      </w:r>
      <w:r>
        <w:rPr>
          <w:rFonts w:hint="eastAsia" w:ascii="方正小标宋简体" w:hAnsi="方正小标宋简体" w:eastAsia="方正小标宋简体" w:cs="方正小标宋简体"/>
          <w:spacing w:val="6"/>
          <w:sz w:val="44"/>
          <w:szCs w:val="44"/>
          <w:lang w:bidi="ar"/>
        </w:rPr>
        <w:t>年）（草案）》的起草说明</w:t>
      </w:r>
    </w:p>
    <w:p>
      <w:pPr>
        <w:pStyle w:val="9"/>
        <w:snapToGrid w:val="0"/>
        <w:spacing w:line="540" w:lineRule="exact"/>
        <w:ind w:firstLine="640" w:firstLineChars="200"/>
        <w:jc w:val="both"/>
        <w:rPr>
          <w:rFonts w:ascii="黑体" w:hAnsi="黑体" w:eastAsia="黑体" w:cs="黑体"/>
          <w:color w:val="auto"/>
          <w:kern w:val="2"/>
          <w:sz w:val="32"/>
          <w:szCs w:val="32"/>
        </w:rPr>
      </w:pPr>
    </w:p>
    <w:p>
      <w:pPr>
        <w:pStyle w:val="9"/>
        <w:snapToGrid w:val="0"/>
        <w:spacing w:line="540" w:lineRule="exact"/>
        <w:ind w:firstLine="640" w:firstLineChars="200"/>
        <w:jc w:val="both"/>
        <w:rPr>
          <w:rFonts w:ascii="黑体" w:hAnsi="黑体" w:eastAsia="黑体" w:cs="黑体"/>
          <w:color w:val="auto"/>
          <w:kern w:val="2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</w:rPr>
        <w:t>一、制定背景</w:t>
      </w:r>
    </w:p>
    <w:p>
      <w:pPr>
        <w:pStyle w:val="9"/>
        <w:snapToGrid w:val="0"/>
        <w:spacing w:line="540" w:lineRule="exact"/>
        <w:ind w:firstLine="640" w:firstLineChars="200"/>
        <w:jc w:val="both"/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坚持新发展理念，</w:t>
      </w:r>
      <w:r>
        <w:rPr>
          <w:rFonts w:hAnsi="仿宋"/>
          <w:sz w:val="32"/>
          <w:szCs w:val="32"/>
        </w:rPr>
        <w:t>推进乡村振兴战略，加强生态文明建设，按照构建国土空间全域管控体系的要求，响应自然资源部工作部署，加强对非建设空间各类自然资源管控，推动实现全域、全要素的国土空间规划。全面实施《北京城市总体规划（2016年</w:t>
      </w:r>
      <w:r>
        <w:rPr>
          <w:rFonts w:hint="eastAsia" w:hAnsi="仿宋"/>
          <w:sz w:val="32"/>
          <w:szCs w:val="32"/>
        </w:rPr>
        <w:t>—</w:t>
      </w:r>
      <w:r>
        <w:rPr>
          <w:rFonts w:hAnsi="仿宋"/>
          <w:sz w:val="32"/>
          <w:szCs w:val="32"/>
        </w:rPr>
        <w:t>2035年）》城市战略定位、空间管控、建设用地减量等目标要求，细化落实《房山分区规划（国土空间规划）（2017年</w:t>
      </w:r>
      <w:r>
        <w:rPr>
          <w:rFonts w:hint="eastAsia" w:hAnsi="仿宋"/>
          <w:sz w:val="32"/>
          <w:szCs w:val="32"/>
        </w:rPr>
        <w:t>—</w:t>
      </w:r>
      <w:r>
        <w:rPr>
          <w:rFonts w:hAnsi="仿宋"/>
          <w:sz w:val="32"/>
          <w:szCs w:val="32"/>
        </w:rPr>
        <w:t>2035年）》各项指标要求，在乡镇域层面实现“一张蓝图绘到底”。</w:t>
      </w:r>
    </w:p>
    <w:p>
      <w:pPr>
        <w:pStyle w:val="9"/>
        <w:snapToGrid w:val="0"/>
        <w:spacing w:line="540" w:lineRule="exact"/>
        <w:ind w:firstLine="664" w:firstLineChars="200"/>
        <w:jc w:val="both"/>
        <w:rPr>
          <w:rFonts w:ascii="黑体" w:hAnsi="黑体" w:eastAsia="黑体" w:cs="黑体"/>
          <w:color w:val="auto"/>
          <w:spacing w:val="6"/>
          <w:kern w:val="2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6"/>
          <w:kern w:val="2"/>
          <w:sz w:val="32"/>
          <w:szCs w:val="32"/>
        </w:rPr>
        <w:t>二、编制情况</w:t>
      </w:r>
    </w:p>
    <w:p>
      <w:pPr>
        <w:pStyle w:val="9"/>
        <w:snapToGrid w:val="0"/>
        <w:spacing w:line="540" w:lineRule="exact"/>
        <w:ind w:firstLine="640" w:firstLineChars="200"/>
        <w:jc w:val="both"/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按照《北京市乡镇国土空间规划编制导则</w:t>
      </w:r>
      <w:r>
        <w:rPr>
          <w:rFonts w:hAnsi="仿宋"/>
          <w:sz w:val="32"/>
          <w:szCs w:val="32"/>
        </w:rPr>
        <w:t>》</w:t>
      </w:r>
      <w:r>
        <w:rPr>
          <w:rFonts w:hint="eastAsia" w:hAnsi="仿宋"/>
          <w:sz w:val="32"/>
          <w:szCs w:val="32"/>
        </w:rPr>
        <w:t>（2</w:t>
      </w:r>
      <w:r>
        <w:rPr>
          <w:rFonts w:hAnsi="仿宋"/>
          <w:sz w:val="32"/>
          <w:szCs w:val="32"/>
        </w:rPr>
        <w:t>021</w:t>
      </w:r>
      <w:r>
        <w:rPr>
          <w:rFonts w:hint="eastAsia" w:hAnsi="仿宋"/>
          <w:sz w:val="32"/>
          <w:szCs w:val="32"/>
        </w:rPr>
        <w:t>年8月修订版）中相关要求，规划期限为20</w:t>
      </w:r>
      <w:r>
        <w:rPr>
          <w:rFonts w:hAnsi="仿宋"/>
          <w:sz w:val="32"/>
          <w:szCs w:val="32"/>
        </w:rPr>
        <w:t>20</w:t>
      </w:r>
      <w:r>
        <w:rPr>
          <w:rFonts w:hint="eastAsia" w:hAnsi="仿宋"/>
          <w:sz w:val="32"/>
          <w:szCs w:val="32"/>
        </w:rPr>
        <w:t>年—203</w:t>
      </w:r>
      <w:r>
        <w:rPr>
          <w:rFonts w:hAnsi="仿宋"/>
          <w:sz w:val="32"/>
          <w:szCs w:val="32"/>
        </w:rPr>
        <w:t>5</w:t>
      </w:r>
      <w:r>
        <w:rPr>
          <w:rFonts w:hint="eastAsia" w:hAnsi="仿宋"/>
          <w:sz w:val="32"/>
          <w:szCs w:val="32"/>
        </w:rPr>
        <w:t>年，近期规划年限为2025年。</w:t>
      </w:r>
    </w:p>
    <w:p>
      <w:pPr>
        <w:pStyle w:val="9"/>
        <w:snapToGrid w:val="0"/>
        <w:spacing w:line="540" w:lineRule="exact"/>
        <w:ind w:firstLine="643" w:firstLineChars="200"/>
        <w:jc w:val="both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（一）前期准备阶段</w:t>
      </w:r>
    </w:p>
    <w:p>
      <w:pPr>
        <w:pStyle w:val="9"/>
        <w:snapToGrid w:val="0"/>
        <w:spacing w:line="540" w:lineRule="exact"/>
        <w:ind w:firstLine="640" w:firstLineChars="200"/>
        <w:jc w:val="both"/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为确保如期完成编制报审工作，</w:t>
      </w:r>
      <w:r>
        <w:rPr>
          <w:rFonts w:hint="eastAsia" w:hAnsi="仿宋"/>
          <w:sz w:val="32"/>
          <w:szCs w:val="32"/>
          <w:lang w:eastAsia="zh-CN"/>
        </w:rPr>
        <w:t>史家营</w:t>
      </w:r>
      <w:r>
        <w:rPr>
          <w:rFonts w:hint="eastAsia" w:hAnsi="仿宋"/>
          <w:sz w:val="32"/>
          <w:szCs w:val="32"/>
        </w:rPr>
        <w:t>乡人民政府聘请专业团队编制</w:t>
      </w:r>
      <w:r>
        <w:rPr>
          <w:rFonts w:hint="eastAsia" w:hAnsi="仿宋"/>
          <w:sz w:val="32"/>
          <w:szCs w:val="32"/>
          <w:lang w:eastAsia="zh-CN"/>
        </w:rPr>
        <w:t>《</w:t>
      </w:r>
      <w:r>
        <w:rPr>
          <w:rFonts w:hint="eastAsia" w:hAnsi="仿宋"/>
          <w:sz w:val="32"/>
          <w:szCs w:val="32"/>
          <w:lang w:val="en-US" w:eastAsia="zh-CN"/>
        </w:rPr>
        <w:t>房山区史家营乡国土空间规划（2020年—2035年）》</w:t>
      </w:r>
      <w:r>
        <w:rPr>
          <w:rFonts w:hint="eastAsia" w:hAnsi="仿宋"/>
          <w:sz w:val="32"/>
          <w:szCs w:val="32"/>
          <w:lang w:eastAsia="zh-CN"/>
        </w:rPr>
        <w:t>（</w:t>
      </w:r>
      <w:r>
        <w:rPr>
          <w:rFonts w:hint="eastAsia" w:hAnsi="仿宋"/>
          <w:sz w:val="32"/>
          <w:szCs w:val="32"/>
          <w:lang w:val="en-US" w:eastAsia="zh-CN"/>
        </w:rPr>
        <w:t>以下简称</w:t>
      </w:r>
      <w:r>
        <w:rPr>
          <w:rFonts w:hint="eastAsia" w:hAnsi="仿宋"/>
          <w:sz w:val="32"/>
          <w:szCs w:val="32"/>
        </w:rPr>
        <w:t>《规划》</w:t>
      </w:r>
      <w:r>
        <w:rPr>
          <w:rFonts w:hint="eastAsia" w:hAnsi="仿宋"/>
          <w:sz w:val="32"/>
          <w:szCs w:val="32"/>
          <w:lang w:eastAsia="zh-CN"/>
        </w:rPr>
        <w:t>）</w:t>
      </w:r>
      <w:r>
        <w:rPr>
          <w:rFonts w:hint="eastAsia" w:hAnsi="仿宋"/>
          <w:sz w:val="32"/>
          <w:szCs w:val="32"/>
        </w:rPr>
        <w:t>。</w:t>
      </w:r>
    </w:p>
    <w:p>
      <w:pPr>
        <w:pStyle w:val="9"/>
        <w:snapToGrid w:val="0"/>
        <w:spacing w:line="540" w:lineRule="exact"/>
        <w:ind w:firstLine="643" w:firstLineChars="200"/>
        <w:jc w:val="both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（二）规划起草阶段</w:t>
      </w:r>
    </w:p>
    <w:p>
      <w:pPr>
        <w:pStyle w:val="9"/>
        <w:snapToGrid w:val="0"/>
        <w:spacing w:line="54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spacing w:val="6"/>
          <w:sz w:val="32"/>
          <w:szCs w:val="32"/>
        </w:rPr>
      </w:pPr>
      <w:r>
        <w:rPr>
          <w:rFonts w:hint="eastAsia" w:hAnsi="仿宋"/>
          <w:sz w:val="32"/>
          <w:szCs w:val="32"/>
        </w:rPr>
        <w:t>按照《北京市乡镇国土空间规划编制导则</w:t>
      </w:r>
      <w:r>
        <w:rPr>
          <w:rFonts w:hAnsi="仿宋"/>
          <w:sz w:val="32"/>
          <w:szCs w:val="32"/>
        </w:rPr>
        <w:t>》</w:t>
      </w:r>
      <w:r>
        <w:rPr>
          <w:rFonts w:hint="eastAsia" w:hAnsi="仿宋"/>
          <w:sz w:val="32"/>
          <w:szCs w:val="32"/>
        </w:rPr>
        <w:t>（2</w:t>
      </w:r>
      <w:r>
        <w:rPr>
          <w:rFonts w:hAnsi="仿宋"/>
          <w:sz w:val="32"/>
          <w:szCs w:val="32"/>
        </w:rPr>
        <w:t>021</w:t>
      </w:r>
      <w:r>
        <w:rPr>
          <w:rFonts w:hint="eastAsia" w:hAnsi="仿宋"/>
          <w:sz w:val="32"/>
          <w:szCs w:val="32"/>
        </w:rPr>
        <w:t>年8月修订版）编制要求，专业团队在《规划》编制过程中，充分落实上位规划、衔接相关专项规划，通过召开座谈会、实地调研、收集资料等形式</w:t>
      </w:r>
      <w:r>
        <w:rPr>
          <w:rFonts w:hint="eastAsia" w:hAnsi="仿宋"/>
          <w:sz w:val="32"/>
          <w:szCs w:val="32"/>
          <w:lang w:val="en-US" w:eastAsia="zh-CN"/>
        </w:rPr>
        <w:t>了解现状及乡村诉求</w:t>
      </w:r>
      <w:r>
        <w:rPr>
          <w:rFonts w:hint="eastAsia" w:hAnsi="仿宋"/>
          <w:sz w:val="32"/>
          <w:szCs w:val="32"/>
        </w:rPr>
        <w:t>，完成《规划》初稿编制。</w:t>
      </w:r>
    </w:p>
    <w:p>
      <w:pPr>
        <w:pStyle w:val="9"/>
        <w:snapToGrid w:val="0"/>
        <w:spacing w:line="540" w:lineRule="exact"/>
        <w:ind w:firstLine="643" w:firstLineChars="200"/>
        <w:jc w:val="both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bookmarkStart w:id="0" w:name="_GoBack"/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（三）修改衔接阶段</w:t>
      </w:r>
    </w:p>
    <w:bookmarkEnd w:id="0"/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管理机构依据各相关部门反馈意见对《规划》进行了修正，专业团队对《规划》进行了完善。</w:t>
      </w:r>
    </w:p>
    <w:p>
      <w:pPr>
        <w:adjustRightInd w:val="0"/>
        <w:snapToGrid w:val="0"/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三、《规划》</w:t>
      </w:r>
      <w:r>
        <w:rPr>
          <w:rFonts w:hint="eastAsia" w:hAnsi="黑体" w:eastAsia="黑体"/>
          <w:sz w:val="32"/>
          <w:szCs w:val="32"/>
        </w:rPr>
        <w:t>简要内容</w:t>
      </w:r>
    </w:p>
    <w:p>
      <w:pPr>
        <w:pStyle w:val="9"/>
        <w:snapToGrid w:val="0"/>
        <w:spacing w:line="540" w:lineRule="exact"/>
        <w:ind w:firstLine="640" w:firstLineChars="200"/>
        <w:jc w:val="both"/>
        <w:rPr>
          <w:rFonts w:hint="eastAsia"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房山区</w:t>
      </w:r>
      <w:r>
        <w:rPr>
          <w:rFonts w:hint="eastAsia" w:hAnsi="仿宋"/>
          <w:sz w:val="32"/>
          <w:szCs w:val="32"/>
          <w:lang w:eastAsia="zh-CN"/>
        </w:rPr>
        <w:t>史家营</w:t>
      </w:r>
      <w:r>
        <w:rPr>
          <w:rFonts w:hint="eastAsia" w:hAnsi="仿宋"/>
          <w:sz w:val="32"/>
          <w:szCs w:val="32"/>
        </w:rPr>
        <w:t>乡位于房山区西北部深山区，</w:t>
      </w:r>
      <w:r>
        <w:rPr>
          <w:rFonts w:hint="eastAsia" w:hAnsi="仿宋"/>
          <w:sz w:val="32"/>
          <w:szCs w:val="32"/>
          <w:lang w:val="en-US" w:eastAsia="zh-CN"/>
        </w:rPr>
        <w:t>是</w:t>
      </w:r>
      <w:r>
        <w:rPr>
          <w:rFonts w:hint="eastAsia" w:hAnsi="仿宋"/>
          <w:sz w:val="32"/>
          <w:szCs w:val="32"/>
        </w:rPr>
        <w:t>北京市生态涵养区，文化上位于西山永定河文化带环绕的西山生态本底区。史家营乡</w:t>
      </w:r>
      <w:r>
        <w:rPr>
          <w:rFonts w:hint="eastAsia" w:hAnsi="仿宋"/>
          <w:sz w:val="32"/>
          <w:szCs w:val="32"/>
          <w:lang w:val="en-US" w:eastAsia="zh-CN"/>
        </w:rPr>
        <w:t>下辖12个行政村，</w:t>
      </w:r>
      <w:r>
        <w:rPr>
          <w:rFonts w:hint="eastAsia" w:hAnsi="仿宋"/>
          <w:sz w:val="32"/>
          <w:szCs w:val="32"/>
        </w:rPr>
        <w:t>生态资源突出，历史底蕴深厚，拥有3大A级景区百花山、圣莲山</w:t>
      </w:r>
      <w:r>
        <w:rPr>
          <w:rFonts w:hint="eastAsia" w:hAnsi="仿宋"/>
          <w:sz w:val="32"/>
          <w:szCs w:val="32"/>
          <w:lang w:val="en-US" w:eastAsia="zh-CN"/>
        </w:rPr>
        <w:t>和</w:t>
      </w:r>
      <w:r>
        <w:rPr>
          <w:rFonts w:hint="eastAsia" w:hAnsi="仿宋"/>
          <w:sz w:val="32"/>
          <w:szCs w:val="32"/>
        </w:rPr>
        <w:t>百瑞谷</w:t>
      </w:r>
      <w:r>
        <w:rPr>
          <w:rFonts w:hint="eastAsia" w:hAnsi="仿宋"/>
          <w:sz w:val="32"/>
          <w:szCs w:val="32"/>
          <w:lang w:eastAsia="zh-CN"/>
        </w:rPr>
        <w:t>，</w:t>
      </w:r>
      <w:r>
        <w:rPr>
          <w:rFonts w:hint="eastAsia" w:hAnsi="仿宋"/>
          <w:sz w:val="32"/>
          <w:szCs w:val="32"/>
        </w:rPr>
        <w:t>2处房山世界地质公园，1处中国传统村落和4处红色旅游景区。本次规划以</w:t>
      </w:r>
      <w:r>
        <w:rPr>
          <w:rFonts w:hint="eastAsia" w:hAnsi="仿宋"/>
          <w:sz w:val="32"/>
          <w:szCs w:val="32"/>
          <w:lang w:val="en-US" w:eastAsia="zh-CN"/>
        </w:rPr>
        <w:t>史家营乡</w:t>
      </w:r>
      <w:r>
        <w:rPr>
          <w:rFonts w:hint="eastAsia" w:hAnsi="仿宋"/>
          <w:sz w:val="32"/>
          <w:szCs w:val="32"/>
        </w:rPr>
        <w:t>行政辖区范围为规划范围，规划面积</w:t>
      </w:r>
      <w:r>
        <w:rPr>
          <w:rFonts w:hint="eastAsia" w:hAnsi="仿宋"/>
          <w:sz w:val="32"/>
          <w:szCs w:val="32"/>
          <w:lang w:val="en-US" w:eastAsia="zh-CN"/>
        </w:rPr>
        <w:t>108.44</w:t>
      </w:r>
      <w:r>
        <w:rPr>
          <w:rFonts w:hint="eastAsia" w:hAnsi="仿宋"/>
          <w:sz w:val="32"/>
          <w:szCs w:val="32"/>
        </w:rPr>
        <w:t>平方公里。</w:t>
      </w:r>
    </w:p>
    <w:p>
      <w:pPr>
        <w:pStyle w:val="9"/>
        <w:snapToGrid w:val="0"/>
        <w:spacing w:line="540" w:lineRule="exact"/>
        <w:ind w:firstLine="640" w:firstLineChars="200"/>
        <w:jc w:val="both"/>
        <w:rPr>
          <w:rFonts w:hint="default" w:hAnsi="仿宋" w:eastAsia="仿宋"/>
          <w:sz w:val="32"/>
          <w:szCs w:val="32"/>
          <w:lang w:val="en-US" w:eastAsia="zh-CN"/>
        </w:rPr>
      </w:pPr>
      <w:r>
        <w:rPr>
          <w:rFonts w:hAnsi="仿宋"/>
          <w:sz w:val="32"/>
          <w:szCs w:val="32"/>
        </w:rPr>
        <w:t>本次规划</w:t>
      </w:r>
      <w:r>
        <w:rPr>
          <w:rFonts w:hint="eastAsia" w:hAnsi="仿宋"/>
          <w:sz w:val="32"/>
          <w:szCs w:val="32"/>
        </w:rPr>
        <w:t>充分把握</w:t>
      </w:r>
      <w:r>
        <w:rPr>
          <w:rFonts w:hint="eastAsia" w:hAnsi="仿宋"/>
          <w:sz w:val="32"/>
          <w:szCs w:val="32"/>
          <w:lang w:eastAsia="zh-CN"/>
        </w:rPr>
        <w:t>史家营</w:t>
      </w:r>
      <w:r>
        <w:rPr>
          <w:rFonts w:hint="eastAsia" w:hAnsi="仿宋"/>
          <w:sz w:val="32"/>
          <w:szCs w:val="32"/>
        </w:rPr>
        <w:t>乡资源禀赋</w:t>
      </w:r>
      <w:r>
        <w:rPr>
          <w:rFonts w:hAnsi="仿宋"/>
          <w:sz w:val="32"/>
          <w:szCs w:val="32"/>
        </w:rPr>
        <w:t>，</w:t>
      </w:r>
      <w:r>
        <w:rPr>
          <w:rFonts w:hint="eastAsia" w:hAnsi="仿宋"/>
          <w:sz w:val="32"/>
          <w:szCs w:val="32"/>
        </w:rPr>
        <w:t>以相关政策法规和技术标准为依据，落实上位规划控制要求和发展引导，明确</w:t>
      </w:r>
      <w:r>
        <w:rPr>
          <w:rFonts w:hint="eastAsia" w:hAnsi="仿宋"/>
          <w:sz w:val="32"/>
          <w:szCs w:val="32"/>
          <w:lang w:eastAsia="zh-CN"/>
        </w:rPr>
        <w:t>史家营</w:t>
      </w:r>
      <w:r>
        <w:rPr>
          <w:rFonts w:hint="eastAsia" w:hAnsi="仿宋"/>
          <w:sz w:val="32"/>
          <w:szCs w:val="32"/>
        </w:rPr>
        <w:t>乡发展定位为“自然地质和山水景观为特色的深山生态文旅乡”。</w:t>
      </w:r>
      <w:r>
        <w:rPr>
          <w:rFonts w:hint="eastAsia" w:hAnsi="仿宋"/>
          <w:sz w:val="32"/>
          <w:szCs w:val="32"/>
          <w:lang w:eastAsia="zh-CN"/>
        </w:rPr>
        <w:t>坚持生态优先、可持续发展原则，在资源环境承载能力和国土空间开发适宜性评价的基础上，科学有序统筹布局生态、农业、</w:t>
      </w:r>
      <w:r>
        <w:rPr>
          <w:rFonts w:hint="eastAsia" w:hAnsi="仿宋"/>
          <w:sz w:val="32"/>
          <w:szCs w:val="32"/>
          <w:lang w:val="en-US" w:eastAsia="zh-CN"/>
        </w:rPr>
        <w:t>村庄建设</w:t>
      </w:r>
      <w:r>
        <w:rPr>
          <w:rFonts w:hint="eastAsia" w:hAnsi="仿宋"/>
          <w:sz w:val="32"/>
          <w:szCs w:val="32"/>
          <w:lang w:eastAsia="zh-CN"/>
        </w:rPr>
        <w:t>等功能空间。强化自然资源统筹合理利用，以用途管控为主导，实现覆盖全</w:t>
      </w:r>
      <w:r>
        <w:rPr>
          <w:rFonts w:hint="eastAsia" w:hAnsi="仿宋"/>
          <w:sz w:val="32"/>
          <w:szCs w:val="32"/>
          <w:lang w:val="en-US" w:eastAsia="zh-CN"/>
        </w:rPr>
        <w:t>乡</w:t>
      </w:r>
      <w:r>
        <w:rPr>
          <w:rFonts w:hint="eastAsia" w:hAnsi="仿宋"/>
          <w:sz w:val="32"/>
          <w:szCs w:val="32"/>
          <w:lang w:eastAsia="zh-CN"/>
        </w:rPr>
        <w:t>的自然资源要素统一管控。坚持集中集约利用土地，优化土地利用结构，提高土地利用效率与质量，促进产业培育和发展。</w:t>
      </w:r>
      <w:r>
        <w:rPr>
          <w:rFonts w:hint="eastAsia" w:hAnsi="仿宋"/>
          <w:sz w:val="32"/>
          <w:szCs w:val="32"/>
          <w:lang w:val="en-US" w:eastAsia="zh-CN"/>
        </w:rPr>
        <w:t>构建产业体系明确产业发展方向，提出产业实施路径，完善产业体系配套相关要求。优化史家营乡生态、生产、生活空间，引导村庄建设发展，推动</w:t>
      </w:r>
      <w:r>
        <w:rPr>
          <w:rFonts w:hint="eastAsia" w:hAnsi="仿宋"/>
          <w:sz w:val="32"/>
          <w:szCs w:val="32"/>
        </w:rPr>
        <w:t>城乡统筹。</w:t>
      </w:r>
      <w:r>
        <w:rPr>
          <w:rFonts w:hAnsi="仿宋"/>
          <w:sz w:val="32"/>
          <w:szCs w:val="32"/>
        </w:rPr>
        <w:t>加强公共服务设施建设、基础设施建设</w:t>
      </w:r>
      <w:r>
        <w:rPr>
          <w:rFonts w:hint="eastAsia" w:hAnsi="仿宋"/>
          <w:sz w:val="32"/>
          <w:szCs w:val="32"/>
          <w:lang w:val="en-US" w:eastAsia="zh-CN"/>
        </w:rPr>
        <w:t>和</w:t>
      </w:r>
      <w:r>
        <w:rPr>
          <w:rFonts w:hAnsi="仿宋"/>
          <w:sz w:val="32"/>
          <w:szCs w:val="32"/>
        </w:rPr>
        <w:t>社会治理，</w:t>
      </w:r>
      <w:r>
        <w:rPr>
          <w:rFonts w:hint="eastAsia" w:hAnsi="仿宋"/>
          <w:sz w:val="32"/>
          <w:szCs w:val="32"/>
          <w:lang w:val="en-US" w:eastAsia="zh-CN"/>
        </w:rPr>
        <w:t>明确分期建设工作重点，提出近期建设计划与实施路径。</w:t>
      </w:r>
      <w:r>
        <w:rPr>
          <w:rFonts w:hAnsi="仿宋"/>
          <w:sz w:val="32"/>
          <w:szCs w:val="32"/>
        </w:rPr>
        <w:t>延续历史文脉，加强风貌管控，突出</w:t>
      </w:r>
      <w:r>
        <w:rPr>
          <w:rFonts w:hint="eastAsia" w:hAnsi="仿宋"/>
          <w:sz w:val="32"/>
          <w:szCs w:val="32"/>
          <w:lang w:eastAsia="zh-CN"/>
        </w:rPr>
        <w:t>史家营</w:t>
      </w:r>
      <w:r>
        <w:rPr>
          <w:rFonts w:hint="eastAsia" w:hAnsi="仿宋"/>
          <w:sz w:val="32"/>
          <w:szCs w:val="32"/>
        </w:rPr>
        <w:t>乡</w:t>
      </w:r>
      <w:r>
        <w:rPr>
          <w:rFonts w:hint="eastAsia" w:hAnsi="仿宋"/>
          <w:sz w:val="32"/>
          <w:szCs w:val="32"/>
          <w:lang w:val="en-US" w:eastAsia="zh-CN"/>
        </w:rPr>
        <w:t>生态环境、地质、红色和民俗</w:t>
      </w:r>
      <w:r>
        <w:rPr>
          <w:rFonts w:hint="eastAsia" w:hAnsi="仿宋"/>
          <w:sz w:val="32"/>
          <w:szCs w:val="32"/>
        </w:rPr>
        <w:t>有机融合的</w:t>
      </w:r>
      <w:r>
        <w:rPr>
          <w:rFonts w:hAnsi="仿宋"/>
          <w:sz w:val="32"/>
          <w:szCs w:val="32"/>
        </w:rPr>
        <w:t>地域特色。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gzY2RhMWMwNGRmYTgwOTVjYjJhNDhlMjBlYjU4Y2EifQ=="/>
  </w:docVars>
  <w:rsids>
    <w:rsidRoot w:val="60232C0D"/>
    <w:rsid w:val="000112C3"/>
    <w:rsid w:val="000B6636"/>
    <w:rsid w:val="00110606"/>
    <w:rsid w:val="0015131E"/>
    <w:rsid w:val="001553A0"/>
    <w:rsid w:val="00157B48"/>
    <w:rsid w:val="00245113"/>
    <w:rsid w:val="00265A5A"/>
    <w:rsid w:val="002D2C84"/>
    <w:rsid w:val="00367F07"/>
    <w:rsid w:val="003C1925"/>
    <w:rsid w:val="003D72ED"/>
    <w:rsid w:val="0045137E"/>
    <w:rsid w:val="0058722B"/>
    <w:rsid w:val="005C0A38"/>
    <w:rsid w:val="00603B16"/>
    <w:rsid w:val="006566BA"/>
    <w:rsid w:val="007649FF"/>
    <w:rsid w:val="007A7E12"/>
    <w:rsid w:val="00852044"/>
    <w:rsid w:val="008C1220"/>
    <w:rsid w:val="00966EA5"/>
    <w:rsid w:val="009977DA"/>
    <w:rsid w:val="009F718D"/>
    <w:rsid w:val="00AC1AFB"/>
    <w:rsid w:val="00B95876"/>
    <w:rsid w:val="00BE01EF"/>
    <w:rsid w:val="00C106B9"/>
    <w:rsid w:val="00C23375"/>
    <w:rsid w:val="00C27267"/>
    <w:rsid w:val="00C82877"/>
    <w:rsid w:val="00CE5E78"/>
    <w:rsid w:val="00D76552"/>
    <w:rsid w:val="00DB34BD"/>
    <w:rsid w:val="00DD661B"/>
    <w:rsid w:val="00DE4F70"/>
    <w:rsid w:val="00EF7EC1"/>
    <w:rsid w:val="00FE6163"/>
    <w:rsid w:val="057378BD"/>
    <w:rsid w:val="07863D24"/>
    <w:rsid w:val="0851117A"/>
    <w:rsid w:val="09B246E4"/>
    <w:rsid w:val="0C1849DB"/>
    <w:rsid w:val="0C3D1EB8"/>
    <w:rsid w:val="10B65D95"/>
    <w:rsid w:val="137F010A"/>
    <w:rsid w:val="141652CB"/>
    <w:rsid w:val="16612AE7"/>
    <w:rsid w:val="17CD32CF"/>
    <w:rsid w:val="1A2F5D8B"/>
    <w:rsid w:val="1BA32FD4"/>
    <w:rsid w:val="1BF118B0"/>
    <w:rsid w:val="20FC2382"/>
    <w:rsid w:val="21027150"/>
    <w:rsid w:val="2F5A217D"/>
    <w:rsid w:val="38E10FDE"/>
    <w:rsid w:val="3979665B"/>
    <w:rsid w:val="39AE6230"/>
    <w:rsid w:val="3CBC3DC5"/>
    <w:rsid w:val="3FF13BE9"/>
    <w:rsid w:val="440A0005"/>
    <w:rsid w:val="450C32F7"/>
    <w:rsid w:val="476F66C2"/>
    <w:rsid w:val="4E927B8C"/>
    <w:rsid w:val="534645A0"/>
    <w:rsid w:val="53EB3D73"/>
    <w:rsid w:val="578761A0"/>
    <w:rsid w:val="57E75C5F"/>
    <w:rsid w:val="5C3A1B2A"/>
    <w:rsid w:val="5E3A169C"/>
    <w:rsid w:val="5F814D8D"/>
    <w:rsid w:val="60232C0D"/>
    <w:rsid w:val="625164A1"/>
    <w:rsid w:val="64400BD1"/>
    <w:rsid w:val="67F971AD"/>
    <w:rsid w:val="68C1485B"/>
    <w:rsid w:val="76C6008B"/>
    <w:rsid w:val="7A0C53F5"/>
    <w:rsid w:val="7FB8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Indent"/>
    <w:basedOn w:val="1"/>
    <w:qFormat/>
    <w:uiPriority w:val="0"/>
    <w:pPr>
      <w:ind w:firstLine="420"/>
    </w:pPr>
    <w:rPr>
      <w:rFonts w:ascii="Times New Roman" w:hAnsi="Times New Roman"/>
      <w:szCs w:val="20"/>
    </w:rPr>
  </w:style>
  <w:style w:type="paragraph" w:styleId="4">
    <w:name w:val="Body Text"/>
    <w:basedOn w:val="1"/>
    <w:next w:val="1"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Times New Roman" w:eastAsia="仿宋" w:cs="仿宋"/>
      <w:color w:val="000000"/>
      <w:sz w:val="24"/>
      <w:szCs w:val="24"/>
      <w:lang w:val="en-US" w:eastAsia="zh-CN" w:bidi="ar-SA"/>
    </w:rPr>
  </w:style>
  <w:style w:type="character" w:customStyle="1" w:styleId="10">
    <w:name w:val="页眉 字符"/>
    <w:basedOn w:val="8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1111</Words>
  <Characters>1156</Characters>
  <Lines>6</Lines>
  <Paragraphs>1</Paragraphs>
  <TotalTime>199</TotalTime>
  <ScaleCrop>false</ScaleCrop>
  <LinksUpToDate>false</LinksUpToDate>
  <CharactersWithSpaces>1156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2022-11-25T13:52:00Z</dcterms:created>
  <dc:creator>biu～</dc:creator>
  <cp:lastModifiedBy>lenovo</cp:lastModifiedBy>
  <cp:lastPrinted>2019-04-22T01:32:00Z</cp:lastPrinted>
  <dcterms:modified xsi:type="dcterms:W3CDTF">2022-11-28T06:54:39Z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29A70B5091894208BC7228100D161541</vt:lpwstr>
  </property>
</Properties>
</file>