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12DE4" w14:textId="77777777" w:rsidR="005C0D59" w:rsidRDefault="0013089F">
      <w:pPr>
        <w:snapToGrid w:val="0"/>
        <w:spacing w:line="560" w:lineRule="exact"/>
        <w:rPr>
          <w:rFonts w:eastAsia="黑体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06EA4F5C" w14:textId="77777777" w:rsidR="005C0D59" w:rsidRDefault="005C0D5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65F3337E" w14:textId="77777777" w:rsidR="005C0D59" w:rsidRDefault="0013089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《北京市延庆区</w:t>
      </w:r>
      <w:r w:rsidR="00FF3F2E">
        <w:rPr>
          <w:rFonts w:ascii="方正小标宋简体" w:eastAsia="方正小标宋简体" w:hAnsi="方正小标宋简体" w:cs="方正小标宋简体" w:hint="eastAsia"/>
          <w:sz w:val="44"/>
          <w:szCs w:val="44"/>
        </w:rPr>
        <w:t>刘斌堡乡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国土空间规划》</w:t>
      </w:r>
    </w:p>
    <w:p w14:paraId="3E0B5605" w14:textId="77777777" w:rsidR="005C0D59" w:rsidRDefault="0013089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公示说明</w:t>
      </w:r>
    </w:p>
    <w:p w14:paraId="53EFD136" w14:textId="77777777" w:rsidR="005C0D59" w:rsidRDefault="0013089F">
      <w:pPr>
        <w:spacing w:line="560" w:lineRule="exact"/>
        <w:ind w:firstLineChars="200" w:firstLine="643"/>
        <w:rPr>
          <w:rFonts w:ascii="仿宋_GB2312" w:eastAsia="仿宋_GB2312" w:hAnsi="Calibri" w:cs="黑体"/>
          <w:b/>
          <w:bCs/>
          <w:sz w:val="32"/>
          <w:szCs w:val="32"/>
        </w:rPr>
      </w:pPr>
      <w:r>
        <w:rPr>
          <w:rFonts w:ascii="仿宋_GB2312" w:eastAsia="仿宋_GB2312" w:hAnsi="Calibri" w:cs="黑体" w:hint="eastAsia"/>
          <w:b/>
          <w:bCs/>
          <w:sz w:val="32"/>
          <w:szCs w:val="32"/>
        </w:rPr>
        <w:t>一、总述</w:t>
      </w:r>
    </w:p>
    <w:p w14:paraId="3239E4D4" w14:textId="2ADBC915" w:rsidR="005C0D59" w:rsidRDefault="0013089F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24"/>
        </w:rPr>
      </w:pPr>
      <w:r>
        <w:rPr>
          <w:rFonts w:ascii="仿宋_GB2312" w:eastAsia="仿宋_GB2312" w:hAnsi="仿宋" w:cs="Times New Roman" w:hint="eastAsia"/>
          <w:sz w:val="32"/>
          <w:szCs w:val="24"/>
        </w:rPr>
        <w:t>1、规划范围：</w:t>
      </w:r>
      <w:r w:rsidR="00FF3F2E">
        <w:rPr>
          <w:rFonts w:ascii="仿宋_GB2312" w:eastAsia="仿宋_GB2312" w:hAnsi="仿宋" w:cs="Times New Roman" w:hint="eastAsia"/>
          <w:sz w:val="32"/>
          <w:szCs w:val="24"/>
        </w:rPr>
        <w:t>刘斌堡乡</w:t>
      </w:r>
      <w:r>
        <w:rPr>
          <w:rFonts w:ascii="仿宋_GB2312" w:eastAsia="仿宋_GB2312" w:hAnsi="仿宋" w:cs="Times New Roman" w:hint="eastAsia"/>
          <w:sz w:val="32"/>
          <w:szCs w:val="24"/>
        </w:rPr>
        <w:t>行政辖区范围，</w:t>
      </w:r>
      <w:r w:rsidR="00FF3F2E">
        <w:rPr>
          <w:rFonts w:ascii="仿宋_GB2312" w:eastAsia="仿宋_GB2312" w:hAnsi="仿宋" w:cs="Times New Roman" w:hint="eastAsia"/>
          <w:sz w:val="32"/>
          <w:szCs w:val="24"/>
        </w:rPr>
        <w:t>乡域</w:t>
      </w:r>
      <w:r>
        <w:rPr>
          <w:rFonts w:ascii="仿宋_GB2312" w:eastAsia="仿宋_GB2312" w:hAnsi="仿宋" w:cs="Times New Roman" w:hint="eastAsia"/>
          <w:sz w:val="32"/>
          <w:szCs w:val="24"/>
        </w:rPr>
        <w:t>总用地面积约</w:t>
      </w:r>
      <w:r w:rsidR="00391D87">
        <w:rPr>
          <w:rFonts w:ascii="仿宋_GB2312" w:eastAsia="仿宋_GB2312" w:hAnsi="仿宋" w:cs="Times New Roman" w:hint="eastAsia"/>
          <w:sz w:val="32"/>
          <w:szCs w:val="24"/>
        </w:rPr>
        <w:t>122.0</w:t>
      </w:r>
      <w:r w:rsidR="002D33DB">
        <w:rPr>
          <w:rFonts w:ascii="仿宋_GB2312" w:eastAsia="仿宋_GB2312" w:hAnsi="仿宋" w:cs="Times New Roman"/>
          <w:sz w:val="32"/>
          <w:szCs w:val="24"/>
        </w:rPr>
        <w:t>1</w:t>
      </w:r>
      <w:r>
        <w:rPr>
          <w:rFonts w:ascii="仿宋_GB2312" w:eastAsia="仿宋_GB2312" w:hAnsi="仿宋" w:cs="Times New Roman" w:hint="eastAsia"/>
          <w:sz w:val="32"/>
          <w:szCs w:val="24"/>
        </w:rPr>
        <w:t>平方公里。</w:t>
      </w:r>
    </w:p>
    <w:p w14:paraId="720C552E" w14:textId="77777777" w:rsidR="005C0D59" w:rsidRDefault="0013089F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24"/>
        </w:rPr>
      </w:pPr>
      <w:r>
        <w:rPr>
          <w:rFonts w:ascii="仿宋_GB2312" w:eastAsia="仿宋_GB2312" w:hAnsi="仿宋" w:cs="Times New Roman" w:hint="eastAsia"/>
          <w:sz w:val="32"/>
          <w:szCs w:val="24"/>
        </w:rPr>
        <w:t>2、规划期限：202</w:t>
      </w:r>
      <w:r w:rsidR="00391D87">
        <w:rPr>
          <w:rFonts w:ascii="仿宋_GB2312" w:eastAsia="仿宋_GB2312" w:hAnsi="仿宋" w:cs="Times New Roman" w:hint="eastAsia"/>
          <w:sz w:val="32"/>
          <w:szCs w:val="24"/>
        </w:rPr>
        <w:t>0</w:t>
      </w:r>
      <w:r>
        <w:rPr>
          <w:rFonts w:ascii="仿宋_GB2312" w:eastAsia="仿宋_GB2312" w:hAnsi="仿宋" w:cs="Times New Roman" w:hint="eastAsia"/>
          <w:sz w:val="32"/>
          <w:szCs w:val="24"/>
        </w:rPr>
        <w:t>年-2035年，其中近期规划年限为2025年。</w:t>
      </w:r>
    </w:p>
    <w:p w14:paraId="5E2CC071" w14:textId="292FDCE4" w:rsidR="005C0D59" w:rsidRDefault="0013089F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24"/>
        </w:rPr>
      </w:pPr>
      <w:r>
        <w:rPr>
          <w:rFonts w:ascii="仿宋_GB2312" w:eastAsia="仿宋_GB2312" w:hAnsi="仿宋" w:cs="Times New Roman" w:hint="eastAsia"/>
          <w:sz w:val="32"/>
          <w:szCs w:val="24"/>
        </w:rPr>
        <w:t>3、发展定位：</w:t>
      </w:r>
      <w:r w:rsidR="007F6786" w:rsidRPr="007F6786">
        <w:rPr>
          <w:rFonts w:ascii="仿宋_GB2312" w:eastAsia="仿宋_GB2312" w:hAnsi="仿宋" w:cs="Times New Roman" w:hint="eastAsia"/>
          <w:sz w:val="32"/>
          <w:szCs w:val="24"/>
        </w:rPr>
        <w:t>深化分区规划“四区”建设中“首都西北部重要生态保育及区域生态治理协作区”的功能定位，细化刘斌堡乡的功能定位为</w:t>
      </w:r>
      <w:r w:rsidR="000C3528">
        <w:rPr>
          <w:rFonts w:ascii="仿宋_GB2312" w:eastAsia="仿宋_GB2312" w:hAnsi="仿宋" w:cs="Times New Roman" w:hint="eastAsia"/>
          <w:sz w:val="32"/>
          <w:szCs w:val="24"/>
        </w:rPr>
        <w:t>“</w:t>
      </w:r>
      <w:r w:rsidR="007F6786" w:rsidRPr="007F6786">
        <w:rPr>
          <w:rFonts w:ascii="仿宋_GB2312" w:eastAsia="仿宋_GB2312" w:hAnsi="仿宋" w:cs="Times New Roman" w:hint="eastAsia"/>
          <w:sz w:val="32"/>
          <w:szCs w:val="24"/>
        </w:rPr>
        <w:t>生态田园休闲名乡</w:t>
      </w:r>
      <w:r w:rsidR="000C3528">
        <w:rPr>
          <w:rFonts w:ascii="仿宋_GB2312" w:eastAsia="仿宋_GB2312" w:hAnsi="仿宋" w:cs="Times New Roman" w:hint="eastAsia"/>
          <w:sz w:val="32"/>
          <w:szCs w:val="24"/>
        </w:rPr>
        <w:t>”</w:t>
      </w:r>
      <w:r>
        <w:rPr>
          <w:rFonts w:ascii="仿宋_GB2312" w:eastAsia="仿宋_GB2312" w:hAnsi="仿宋" w:cs="Times New Roman" w:hint="eastAsia"/>
          <w:sz w:val="32"/>
          <w:szCs w:val="24"/>
        </w:rPr>
        <w:t>。</w:t>
      </w:r>
    </w:p>
    <w:p w14:paraId="75DF9D44" w14:textId="77777777" w:rsidR="005C0D59" w:rsidRDefault="0013089F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24"/>
        </w:rPr>
      </w:pPr>
      <w:r>
        <w:rPr>
          <w:rFonts w:ascii="仿宋_GB2312" w:eastAsia="仿宋_GB2312" w:hAnsi="仿宋" w:cs="Times New Roman" w:hint="eastAsia"/>
          <w:sz w:val="32"/>
          <w:szCs w:val="24"/>
        </w:rPr>
        <w:t>4、人口规模：到2035年，</w:t>
      </w:r>
      <w:r w:rsidR="00FF3F2E">
        <w:rPr>
          <w:rFonts w:ascii="仿宋_GB2312" w:eastAsia="仿宋_GB2312" w:hAnsi="仿宋" w:cs="Times New Roman" w:hint="eastAsia"/>
          <w:sz w:val="32"/>
          <w:szCs w:val="24"/>
        </w:rPr>
        <w:t>刘斌堡乡</w:t>
      </w:r>
      <w:r>
        <w:rPr>
          <w:rFonts w:ascii="仿宋_GB2312" w:eastAsia="仿宋_GB2312" w:hAnsi="仿宋" w:cs="Times New Roman" w:hint="eastAsia"/>
          <w:sz w:val="32"/>
          <w:szCs w:val="24"/>
        </w:rPr>
        <w:t>人口规模控制在</w:t>
      </w:r>
      <w:r w:rsidR="008D2B4B">
        <w:rPr>
          <w:rFonts w:ascii="仿宋_GB2312" w:eastAsia="仿宋_GB2312" w:hAnsi="仿宋" w:cs="Times New Roman" w:hint="eastAsia"/>
          <w:sz w:val="32"/>
          <w:szCs w:val="24"/>
        </w:rPr>
        <w:t>0.59</w:t>
      </w:r>
      <w:r>
        <w:rPr>
          <w:rFonts w:ascii="仿宋_GB2312" w:eastAsia="仿宋_GB2312" w:hAnsi="仿宋" w:cs="Times New Roman" w:hint="eastAsia"/>
          <w:sz w:val="32"/>
          <w:szCs w:val="24"/>
        </w:rPr>
        <w:t>万人。</w:t>
      </w:r>
    </w:p>
    <w:p w14:paraId="1EA14153" w14:textId="77777777" w:rsidR="005C0D59" w:rsidRDefault="0013089F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24"/>
        </w:rPr>
      </w:pPr>
      <w:r>
        <w:rPr>
          <w:rFonts w:ascii="仿宋_GB2312" w:eastAsia="仿宋_GB2312" w:hAnsi="仿宋" w:cs="Times New Roman" w:hint="eastAsia"/>
          <w:sz w:val="32"/>
          <w:szCs w:val="24"/>
        </w:rPr>
        <w:t>5、城乡建设用地规模：到2035年，</w:t>
      </w:r>
      <w:r w:rsidR="00FF3F2E">
        <w:rPr>
          <w:rFonts w:ascii="仿宋_GB2312" w:eastAsia="仿宋_GB2312" w:hAnsi="仿宋" w:cs="Times New Roman" w:hint="eastAsia"/>
          <w:sz w:val="32"/>
          <w:szCs w:val="24"/>
        </w:rPr>
        <w:t>刘斌堡乡</w:t>
      </w:r>
      <w:r>
        <w:rPr>
          <w:rFonts w:ascii="仿宋_GB2312" w:eastAsia="仿宋_GB2312" w:hAnsi="仿宋" w:cs="Times New Roman" w:hint="eastAsia"/>
          <w:sz w:val="32"/>
          <w:szCs w:val="24"/>
        </w:rPr>
        <w:t>城乡建设用地规模控</w:t>
      </w:r>
      <w:r w:rsidRPr="007E0EF7">
        <w:rPr>
          <w:rFonts w:ascii="仿宋_GB2312" w:eastAsia="仿宋_GB2312" w:hAnsi="仿宋" w:cs="Times New Roman" w:hint="eastAsia"/>
          <w:sz w:val="32"/>
          <w:szCs w:val="24"/>
        </w:rPr>
        <w:t>制在</w:t>
      </w:r>
      <w:r w:rsidR="008D2B4B" w:rsidRPr="007E0EF7">
        <w:rPr>
          <w:rFonts w:ascii="仿宋_GB2312" w:eastAsia="仿宋_GB2312" w:hAnsi="仿宋" w:cs="Times New Roman" w:hint="eastAsia"/>
          <w:sz w:val="32"/>
          <w:szCs w:val="24"/>
        </w:rPr>
        <w:t>1.4</w:t>
      </w:r>
      <w:r w:rsidR="007E0EF7" w:rsidRPr="007E0EF7">
        <w:rPr>
          <w:rFonts w:ascii="仿宋_GB2312" w:eastAsia="仿宋_GB2312" w:hAnsi="仿宋" w:cs="Times New Roman"/>
          <w:sz w:val="32"/>
          <w:szCs w:val="24"/>
        </w:rPr>
        <w:t>9</w:t>
      </w:r>
      <w:r w:rsidRPr="007E0EF7">
        <w:rPr>
          <w:rFonts w:ascii="仿宋_GB2312" w:eastAsia="仿宋_GB2312" w:hAnsi="仿宋" w:cs="Times New Roman" w:hint="eastAsia"/>
          <w:sz w:val="32"/>
          <w:szCs w:val="24"/>
        </w:rPr>
        <w:t>平</w:t>
      </w:r>
      <w:r>
        <w:rPr>
          <w:rFonts w:ascii="仿宋_GB2312" w:eastAsia="仿宋_GB2312" w:hAnsi="仿宋" w:cs="Times New Roman" w:hint="eastAsia"/>
          <w:sz w:val="32"/>
          <w:szCs w:val="24"/>
        </w:rPr>
        <w:t>方公里。</w:t>
      </w:r>
    </w:p>
    <w:p w14:paraId="2B53DE4D" w14:textId="130594F8" w:rsidR="005C0D59" w:rsidRDefault="0013089F">
      <w:pPr>
        <w:spacing w:line="560" w:lineRule="exact"/>
        <w:ind w:firstLineChars="200" w:firstLine="643"/>
        <w:rPr>
          <w:rFonts w:ascii="仿宋_GB2312" w:eastAsia="仿宋_GB2312" w:hAnsi="Calibri" w:cs="黑体"/>
          <w:b/>
          <w:bCs/>
          <w:sz w:val="32"/>
          <w:szCs w:val="32"/>
        </w:rPr>
      </w:pPr>
      <w:r>
        <w:rPr>
          <w:rFonts w:ascii="仿宋_GB2312" w:eastAsia="仿宋_GB2312" w:hAnsi="Calibri" w:cs="黑体" w:hint="eastAsia"/>
          <w:b/>
          <w:bCs/>
          <w:sz w:val="32"/>
          <w:szCs w:val="32"/>
        </w:rPr>
        <w:t>二、生态安全与生态要素</w:t>
      </w:r>
    </w:p>
    <w:p w14:paraId="168CE3E7" w14:textId="566D00F5" w:rsidR="007E61E0" w:rsidRPr="007E61E0" w:rsidRDefault="007E61E0" w:rsidP="007E61E0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24"/>
        </w:rPr>
      </w:pPr>
      <w:r w:rsidRPr="007E61E0">
        <w:rPr>
          <w:rFonts w:ascii="仿宋_GB2312" w:eastAsia="仿宋_GB2312" w:hAnsi="仿宋" w:cs="Times New Roman"/>
          <w:sz w:val="32"/>
          <w:szCs w:val="24"/>
        </w:rPr>
        <w:t>1、</w:t>
      </w:r>
      <w:r w:rsidR="00945DB4">
        <w:rPr>
          <w:rFonts w:ascii="仿宋_GB2312" w:eastAsia="仿宋_GB2312" w:hAnsi="仿宋" w:cs="Times New Roman" w:hint="eastAsia"/>
          <w:sz w:val="32"/>
          <w:szCs w:val="24"/>
        </w:rPr>
        <w:t>乡域</w:t>
      </w:r>
      <w:r w:rsidRPr="007E61E0">
        <w:rPr>
          <w:rFonts w:ascii="仿宋_GB2312" w:eastAsia="仿宋_GB2312" w:hAnsi="仿宋" w:cs="Times New Roman"/>
          <w:sz w:val="32"/>
          <w:szCs w:val="24"/>
        </w:rPr>
        <w:t>生态安全格局</w:t>
      </w:r>
    </w:p>
    <w:p w14:paraId="360FC134" w14:textId="10563647" w:rsidR="007E61E0" w:rsidRPr="007E61E0" w:rsidRDefault="007E61E0" w:rsidP="007E61E0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24"/>
        </w:rPr>
      </w:pPr>
      <w:r w:rsidRPr="007E61E0">
        <w:rPr>
          <w:rFonts w:ascii="仿宋_GB2312" w:eastAsia="仿宋_GB2312" w:hAnsi="仿宋" w:cs="Times New Roman" w:hint="eastAsia"/>
          <w:sz w:val="32"/>
          <w:szCs w:val="24"/>
        </w:rPr>
        <w:t>聚焦非建设用地管控，以重要的区域性绿色生态空间为重点，构建乡</w:t>
      </w:r>
      <w:r w:rsidR="00945DB4">
        <w:rPr>
          <w:rFonts w:ascii="仿宋_GB2312" w:eastAsia="仿宋_GB2312" w:hAnsi="仿宋" w:cs="Times New Roman" w:hint="eastAsia"/>
          <w:sz w:val="32"/>
          <w:szCs w:val="24"/>
        </w:rPr>
        <w:t>域</w:t>
      </w:r>
      <w:r w:rsidRPr="007E61E0">
        <w:rPr>
          <w:rFonts w:ascii="仿宋_GB2312" w:eastAsia="仿宋_GB2312" w:hAnsi="仿宋" w:cs="Times New Roman" w:hint="eastAsia"/>
          <w:sz w:val="32"/>
          <w:szCs w:val="24"/>
        </w:rPr>
        <w:t>国土生态安全格局。落实上位资源环境承载能力与国土空间开发适宜性评价的相关要求，科学有序布局生态、农业、城镇等功能空间，强化底线约束，为可持续发展预留空间。</w:t>
      </w:r>
    </w:p>
    <w:p w14:paraId="1573A8C8" w14:textId="7CAD1976" w:rsidR="007E61E0" w:rsidRPr="007E61E0" w:rsidRDefault="007E61E0" w:rsidP="007E61E0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24"/>
        </w:rPr>
      </w:pPr>
      <w:r w:rsidRPr="007E61E0">
        <w:rPr>
          <w:rFonts w:ascii="仿宋_GB2312" w:eastAsia="仿宋_GB2312" w:hAnsi="仿宋" w:cs="Times New Roman" w:hint="eastAsia"/>
          <w:sz w:val="32"/>
          <w:szCs w:val="24"/>
        </w:rPr>
        <w:t>从水安全格局、地质灾害安全格局、农田适宜性、林地</w:t>
      </w:r>
      <w:r w:rsidRPr="007E61E0">
        <w:rPr>
          <w:rFonts w:ascii="仿宋_GB2312" w:eastAsia="仿宋_GB2312" w:hAnsi="仿宋" w:cs="Times New Roman" w:hint="eastAsia"/>
          <w:sz w:val="32"/>
          <w:szCs w:val="24"/>
        </w:rPr>
        <w:lastRenderedPageBreak/>
        <w:t>适宜性、生物安全格局、游憩安全格局以及文化遗产安全格局</w:t>
      </w:r>
      <w:r w:rsidRPr="007E61E0">
        <w:rPr>
          <w:rFonts w:ascii="仿宋_GB2312" w:eastAsia="仿宋_GB2312" w:hAnsi="仿宋" w:cs="Times New Roman"/>
          <w:sz w:val="32"/>
          <w:szCs w:val="24"/>
        </w:rPr>
        <w:t>7个方面，对乡镇国土生态安全格局进行综合评价，构建</w:t>
      </w:r>
      <w:r w:rsidRPr="007E61E0">
        <w:rPr>
          <w:rFonts w:ascii="仿宋_GB2312" w:eastAsia="仿宋_GB2312" w:hAnsi="仿宋" w:cs="Times New Roman"/>
          <w:sz w:val="32"/>
          <w:szCs w:val="24"/>
        </w:rPr>
        <w:t>“</w:t>
      </w:r>
      <w:r w:rsidRPr="007E61E0">
        <w:rPr>
          <w:rFonts w:ascii="仿宋_GB2312" w:eastAsia="仿宋_GB2312" w:hAnsi="仿宋" w:cs="Times New Roman"/>
          <w:sz w:val="32"/>
          <w:szCs w:val="24"/>
        </w:rPr>
        <w:t>两廊三区三点</w:t>
      </w:r>
      <w:r w:rsidRPr="007E61E0">
        <w:rPr>
          <w:rFonts w:ascii="仿宋_GB2312" w:eastAsia="仿宋_GB2312" w:hAnsi="仿宋" w:cs="Times New Roman"/>
          <w:sz w:val="32"/>
          <w:szCs w:val="24"/>
        </w:rPr>
        <w:t>”</w:t>
      </w:r>
      <w:r w:rsidRPr="007E61E0">
        <w:rPr>
          <w:rFonts w:ascii="仿宋_GB2312" w:eastAsia="仿宋_GB2312" w:hAnsi="仿宋" w:cs="Times New Roman"/>
          <w:sz w:val="32"/>
          <w:szCs w:val="24"/>
        </w:rPr>
        <w:t>的生态安全格局，划定生态</w:t>
      </w:r>
      <w:r w:rsidR="000C3528">
        <w:rPr>
          <w:rFonts w:ascii="仿宋_GB2312" w:eastAsia="仿宋_GB2312" w:hAnsi="仿宋" w:cs="Times New Roman" w:hint="eastAsia"/>
          <w:sz w:val="32"/>
          <w:szCs w:val="24"/>
        </w:rPr>
        <w:t>片区</w:t>
      </w:r>
      <w:r w:rsidRPr="007E61E0">
        <w:rPr>
          <w:rFonts w:ascii="仿宋_GB2312" w:eastAsia="仿宋_GB2312" w:hAnsi="仿宋" w:cs="Times New Roman"/>
          <w:sz w:val="32"/>
          <w:szCs w:val="24"/>
        </w:rPr>
        <w:t>、农业</w:t>
      </w:r>
      <w:r w:rsidR="000C3528">
        <w:rPr>
          <w:rFonts w:ascii="仿宋_GB2312" w:eastAsia="仿宋_GB2312" w:hAnsi="仿宋" w:cs="Times New Roman" w:hint="eastAsia"/>
          <w:sz w:val="32"/>
          <w:szCs w:val="24"/>
        </w:rPr>
        <w:t>片区</w:t>
      </w:r>
      <w:r w:rsidRPr="007E61E0">
        <w:rPr>
          <w:rFonts w:ascii="仿宋_GB2312" w:eastAsia="仿宋_GB2312" w:hAnsi="仿宋" w:cs="Times New Roman"/>
          <w:sz w:val="32"/>
          <w:szCs w:val="24"/>
        </w:rPr>
        <w:t>、休闲游憩片区，强化片区内部核心生态要素集聚与主导功能提升。</w:t>
      </w:r>
    </w:p>
    <w:p w14:paraId="111EBFAD" w14:textId="77777777" w:rsidR="007E61E0" w:rsidRPr="007E61E0" w:rsidRDefault="007E61E0" w:rsidP="007E61E0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24"/>
        </w:rPr>
      </w:pPr>
      <w:r w:rsidRPr="007E61E0">
        <w:rPr>
          <w:rFonts w:ascii="仿宋_GB2312" w:eastAsia="仿宋_GB2312" w:hAnsi="仿宋" w:cs="Times New Roman"/>
          <w:sz w:val="32"/>
          <w:szCs w:val="24"/>
        </w:rPr>
        <w:t>2、生态要素规划引导与管控</w:t>
      </w:r>
    </w:p>
    <w:p w14:paraId="3741E549" w14:textId="57B4F707" w:rsidR="005C0D59" w:rsidRDefault="007E61E0" w:rsidP="007E61E0">
      <w:pPr>
        <w:spacing w:line="560" w:lineRule="exact"/>
        <w:ind w:firstLineChars="200" w:firstLine="640"/>
        <w:rPr>
          <w:rFonts w:ascii="仿宋_GB2312" w:eastAsia="仿宋_GB2312" w:hAnsi="Calibri" w:cs="黑体"/>
          <w:b/>
          <w:bCs/>
          <w:sz w:val="32"/>
          <w:szCs w:val="32"/>
        </w:rPr>
      </w:pPr>
      <w:r w:rsidRPr="007E61E0">
        <w:rPr>
          <w:rFonts w:ascii="仿宋_GB2312" w:eastAsia="仿宋_GB2312" w:hAnsi="仿宋" w:cs="Times New Roman" w:hint="eastAsia"/>
          <w:sz w:val="32"/>
          <w:szCs w:val="24"/>
        </w:rPr>
        <w:t>统筹山水林田湖草生态要素的规划管理，分类梳理生态要素</w:t>
      </w:r>
      <w:r w:rsidRPr="007E61E0">
        <w:rPr>
          <w:rFonts w:ascii="仿宋_GB2312" w:eastAsia="仿宋_GB2312" w:hAnsi="仿宋" w:cs="Times New Roman"/>
          <w:sz w:val="32"/>
          <w:szCs w:val="24"/>
        </w:rPr>
        <w:t>的现状情况，协调水务、园林绿化、农业农村等部门的资源要素管理边界，明确规划导向，提出规划要点，形成互为依托、良性循环的自然生态关系。结合刘斌堡乡自然要素特征，深化细化分区规划中的生态混合区，进一步做好山体和水体要素的综合保护，对林地和农田提出空间布局引导。</w:t>
      </w:r>
      <w:r w:rsidR="0013089F">
        <w:rPr>
          <w:rFonts w:ascii="仿宋_GB2312" w:eastAsia="仿宋_GB2312" w:hAnsi="Calibri" w:cs="黑体" w:hint="eastAsia"/>
          <w:b/>
          <w:bCs/>
          <w:sz w:val="32"/>
          <w:szCs w:val="32"/>
        </w:rPr>
        <w:t>三、全域全要素空间管控体系</w:t>
      </w:r>
    </w:p>
    <w:p w14:paraId="7605E6E6" w14:textId="3F056269" w:rsidR="005C0D59" w:rsidRDefault="0013089F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24"/>
        </w:rPr>
      </w:pPr>
      <w:r>
        <w:rPr>
          <w:rFonts w:ascii="仿宋_GB2312" w:eastAsia="仿宋_GB2312" w:hAnsi="仿宋" w:cs="Times New Roman" w:hint="eastAsia"/>
          <w:sz w:val="32"/>
          <w:szCs w:val="24"/>
        </w:rPr>
        <w:t>1、国土空间规划分区</w:t>
      </w:r>
    </w:p>
    <w:p w14:paraId="5B780D66" w14:textId="2DC5D2B3" w:rsidR="005C0D59" w:rsidRDefault="0013089F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24"/>
        </w:rPr>
      </w:pPr>
      <w:r>
        <w:rPr>
          <w:rFonts w:ascii="仿宋_GB2312" w:eastAsia="仿宋_GB2312" w:hAnsi="仿宋" w:cs="Times New Roman" w:hint="eastAsia"/>
          <w:sz w:val="32"/>
          <w:szCs w:val="24"/>
        </w:rPr>
        <w:t>全</w:t>
      </w:r>
      <w:r w:rsidR="00FF3F2E">
        <w:rPr>
          <w:rFonts w:ascii="仿宋_GB2312" w:eastAsia="仿宋_GB2312" w:hAnsi="仿宋" w:cs="Times New Roman" w:hint="eastAsia"/>
          <w:sz w:val="32"/>
          <w:szCs w:val="24"/>
        </w:rPr>
        <w:t>乡域</w:t>
      </w:r>
      <w:r>
        <w:rPr>
          <w:rFonts w:ascii="仿宋_GB2312" w:eastAsia="仿宋_GB2312" w:hAnsi="仿宋" w:cs="Times New Roman" w:hint="eastAsia"/>
          <w:sz w:val="32"/>
          <w:szCs w:val="24"/>
        </w:rPr>
        <w:t>共划定城乡建设用地</w:t>
      </w:r>
      <w:r w:rsidR="00095890">
        <w:rPr>
          <w:rFonts w:ascii="仿宋_GB2312" w:eastAsia="仿宋_GB2312" w:hAnsi="仿宋" w:cs="Times New Roman"/>
          <w:sz w:val="32"/>
          <w:szCs w:val="24"/>
        </w:rPr>
        <w:t>1.49</w:t>
      </w:r>
      <w:r>
        <w:rPr>
          <w:rFonts w:ascii="仿宋_GB2312" w:eastAsia="仿宋_GB2312" w:hAnsi="仿宋" w:cs="Times New Roman" w:hint="eastAsia"/>
          <w:sz w:val="32"/>
          <w:szCs w:val="24"/>
        </w:rPr>
        <w:t>平方公里，特交水用</w:t>
      </w:r>
      <w:r w:rsidR="00095890" w:rsidRPr="00095890">
        <w:rPr>
          <w:rFonts w:ascii="仿宋_GB2312" w:eastAsia="仿宋_GB2312" w:hAnsi="仿宋" w:cs="Times New Roman"/>
          <w:sz w:val="32"/>
          <w:szCs w:val="24"/>
        </w:rPr>
        <w:t>1.64</w:t>
      </w:r>
      <w:r>
        <w:rPr>
          <w:rFonts w:ascii="仿宋_GB2312" w:eastAsia="仿宋_GB2312" w:hAnsi="仿宋" w:cs="Times New Roman" w:hint="eastAsia"/>
          <w:sz w:val="32"/>
          <w:szCs w:val="24"/>
        </w:rPr>
        <w:t>平方公里，非建设空间</w:t>
      </w:r>
      <w:r w:rsidR="00095890" w:rsidRPr="00095890">
        <w:rPr>
          <w:rFonts w:ascii="仿宋_GB2312" w:eastAsia="仿宋_GB2312" w:hAnsi="仿宋" w:cs="Times New Roman"/>
          <w:sz w:val="32"/>
          <w:szCs w:val="24"/>
        </w:rPr>
        <w:t>118.88</w:t>
      </w:r>
      <w:r w:rsidR="00095890">
        <w:rPr>
          <w:rFonts w:ascii="仿宋_GB2312" w:eastAsia="仿宋_GB2312" w:hAnsi="仿宋" w:cs="Times New Roman" w:hint="eastAsia"/>
          <w:sz w:val="32"/>
          <w:szCs w:val="24"/>
        </w:rPr>
        <w:t>平方公里</w:t>
      </w:r>
      <w:r>
        <w:rPr>
          <w:rFonts w:ascii="仿宋_GB2312" w:eastAsia="仿宋_GB2312" w:hAnsi="仿宋" w:cs="Times New Roman" w:hint="eastAsia"/>
          <w:sz w:val="32"/>
          <w:szCs w:val="24"/>
        </w:rPr>
        <w:t>。</w:t>
      </w:r>
    </w:p>
    <w:p w14:paraId="27A6E809" w14:textId="6277000A" w:rsidR="005C0D59" w:rsidRDefault="0013089F">
      <w:pPr>
        <w:spacing w:line="560" w:lineRule="exact"/>
        <w:ind w:firstLineChars="200" w:firstLine="640"/>
        <w:rPr>
          <w:rFonts w:ascii="仿宋_GB2312" w:eastAsia="仿宋_GB2312" w:hAnsi="Calibri" w:cs="黑体"/>
          <w:b/>
          <w:bCs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24"/>
        </w:rPr>
        <w:t>2、全域空间结构</w:t>
      </w:r>
    </w:p>
    <w:p w14:paraId="6D53A1B3" w14:textId="2629D356" w:rsidR="00721D3C" w:rsidRPr="00721D3C" w:rsidRDefault="00721D3C" w:rsidP="00721D3C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24"/>
        </w:rPr>
      </w:pPr>
      <w:r w:rsidRPr="00721D3C">
        <w:rPr>
          <w:rFonts w:ascii="仿宋_GB2312" w:eastAsia="仿宋_GB2312" w:hAnsi="仿宋" w:cs="Times New Roman" w:hint="eastAsia"/>
          <w:sz w:val="32"/>
          <w:szCs w:val="24"/>
        </w:rPr>
        <w:t>依据产业发展进程以及城镇空间演变</w:t>
      </w:r>
      <w:r w:rsidR="00945760">
        <w:rPr>
          <w:rFonts w:ascii="仿宋_GB2312" w:eastAsia="仿宋_GB2312" w:hAnsi="仿宋" w:cs="Times New Roman" w:hint="eastAsia"/>
          <w:sz w:val="32"/>
          <w:szCs w:val="24"/>
        </w:rPr>
        <w:t>特征</w:t>
      </w:r>
      <w:r w:rsidRPr="00721D3C">
        <w:rPr>
          <w:rFonts w:ascii="仿宋_GB2312" w:eastAsia="仿宋_GB2312" w:hAnsi="仿宋" w:cs="Times New Roman" w:hint="eastAsia"/>
          <w:sz w:val="32"/>
          <w:szCs w:val="24"/>
        </w:rPr>
        <w:t>，构建“一心一园，一带</w:t>
      </w:r>
      <w:r w:rsidR="00945760">
        <w:rPr>
          <w:rFonts w:ascii="仿宋_GB2312" w:eastAsia="仿宋_GB2312" w:hAnsi="仿宋" w:cs="Times New Roman" w:hint="eastAsia"/>
          <w:sz w:val="32"/>
          <w:szCs w:val="24"/>
        </w:rPr>
        <w:t>两环</w:t>
      </w:r>
      <w:r w:rsidRPr="00721D3C">
        <w:rPr>
          <w:rFonts w:ascii="仿宋_GB2312" w:eastAsia="仿宋_GB2312" w:hAnsi="仿宋" w:cs="Times New Roman" w:hint="eastAsia"/>
          <w:sz w:val="32"/>
          <w:szCs w:val="24"/>
        </w:rPr>
        <w:t>，三区多点”的</w:t>
      </w:r>
      <w:r w:rsidR="00945760">
        <w:rPr>
          <w:rFonts w:ascii="仿宋_GB2312" w:eastAsia="仿宋_GB2312" w:hAnsi="仿宋" w:cs="Times New Roman" w:hint="eastAsia"/>
          <w:sz w:val="32"/>
          <w:szCs w:val="24"/>
        </w:rPr>
        <w:t>空间结构体系</w:t>
      </w:r>
      <w:r w:rsidRPr="00721D3C">
        <w:rPr>
          <w:rFonts w:ascii="仿宋_GB2312" w:eastAsia="仿宋_GB2312" w:hAnsi="仿宋" w:cs="Times New Roman" w:hint="eastAsia"/>
          <w:sz w:val="32"/>
          <w:szCs w:val="24"/>
        </w:rPr>
        <w:t>。</w:t>
      </w:r>
    </w:p>
    <w:p w14:paraId="1423C7AB" w14:textId="0526CDD3" w:rsidR="00721D3C" w:rsidRPr="00721D3C" w:rsidRDefault="00721D3C" w:rsidP="00721D3C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24"/>
        </w:rPr>
      </w:pPr>
      <w:r w:rsidRPr="00721D3C">
        <w:rPr>
          <w:rFonts w:ascii="仿宋_GB2312" w:eastAsia="仿宋_GB2312" w:hAnsi="仿宋" w:cs="Times New Roman" w:hint="eastAsia"/>
          <w:sz w:val="32"/>
          <w:szCs w:val="24"/>
        </w:rPr>
        <w:t>一心：即</w:t>
      </w:r>
      <w:r w:rsidR="00945DB4">
        <w:rPr>
          <w:rFonts w:ascii="仿宋_GB2312" w:eastAsia="仿宋_GB2312" w:hAnsi="仿宋" w:cs="Times New Roman" w:hint="eastAsia"/>
          <w:sz w:val="32"/>
          <w:szCs w:val="24"/>
        </w:rPr>
        <w:t>刘斌堡</w:t>
      </w:r>
      <w:r w:rsidRPr="00721D3C">
        <w:rPr>
          <w:rFonts w:ascii="仿宋_GB2312" w:eastAsia="仿宋_GB2312" w:hAnsi="仿宋" w:cs="Times New Roman" w:hint="eastAsia"/>
          <w:sz w:val="32"/>
          <w:szCs w:val="24"/>
        </w:rPr>
        <w:t>乡中心区和休闲服务中心，形成优质的民生设施服务体系，打造辐射周边的高质量度假集群。</w:t>
      </w:r>
    </w:p>
    <w:p w14:paraId="3BAFA651" w14:textId="77777777" w:rsidR="00721D3C" w:rsidRPr="00721D3C" w:rsidRDefault="00721D3C" w:rsidP="00721D3C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24"/>
        </w:rPr>
      </w:pPr>
      <w:r w:rsidRPr="00721D3C">
        <w:rPr>
          <w:rFonts w:ascii="仿宋_GB2312" w:eastAsia="仿宋_GB2312" w:hAnsi="仿宋" w:cs="Times New Roman" w:hint="eastAsia"/>
          <w:sz w:val="32"/>
          <w:szCs w:val="24"/>
        </w:rPr>
        <w:t>一园：沿延琉路建设万亩森林公园，形成四季花海、田园农耕、彩色森林的景观绿廊。</w:t>
      </w:r>
    </w:p>
    <w:p w14:paraId="0A4AA2BF" w14:textId="58C1606F" w:rsidR="00721D3C" w:rsidRPr="00721D3C" w:rsidRDefault="00721D3C" w:rsidP="00721D3C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24"/>
        </w:rPr>
      </w:pPr>
      <w:r w:rsidRPr="00721D3C">
        <w:rPr>
          <w:rFonts w:ascii="仿宋_GB2312" w:eastAsia="仿宋_GB2312" w:hAnsi="仿宋" w:cs="Times New Roman" w:hint="eastAsia"/>
          <w:sz w:val="32"/>
          <w:szCs w:val="24"/>
        </w:rPr>
        <w:t>一带：延琉路共生田园发展带，沿路布局农旅融合产业</w:t>
      </w:r>
      <w:r w:rsidRPr="00721D3C">
        <w:rPr>
          <w:rFonts w:ascii="仿宋_GB2312" w:eastAsia="仿宋_GB2312" w:hAnsi="仿宋" w:cs="Times New Roman" w:hint="eastAsia"/>
          <w:sz w:val="32"/>
          <w:szCs w:val="24"/>
        </w:rPr>
        <w:lastRenderedPageBreak/>
        <w:t>项目，打造“京城最美山路”。</w:t>
      </w:r>
    </w:p>
    <w:p w14:paraId="6C522179" w14:textId="77777777" w:rsidR="00721D3C" w:rsidRPr="00721D3C" w:rsidRDefault="00721D3C" w:rsidP="00721D3C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24"/>
        </w:rPr>
      </w:pPr>
      <w:r w:rsidRPr="00721D3C">
        <w:rPr>
          <w:rFonts w:ascii="仿宋_GB2312" w:eastAsia="仿宋_GB2312" w:hAnsi="仿宋" w:cs="Times New Roman" w:hint="eastAsia"/>
          <w:sz w:val="32"/>
          <w:szCs w:val="24"/>
        </w:rPr>
        <w:t>两环：乡宿度假环为体验环，</w:t>
      </w:r>
      <w:r w:rsidRPr="00063080">
        <w:rPr>
          <w:rFonts w:ascii="仿宋_GB2312" w:eastAsia="仿宋_GB2312" w:hAnsi="仿宋" w:cs="Times New Roman" w:hint="eastAsia"/>
          <w:sz w:val="32"/>
          <w:szCs w:val="24"/>
        </w:rPr>
        <w:t>古韵民俗游憩环</w:t>
      </w:r>
      <w:r w:rsidRPr="00721D3C">
        <w:rPr>
          <w:rFonts w:ascii="仿宋_GB2312" w:eastAsia="仿宋_GB2312" w:hAnsi="仿宋" w:cs="Times New Roman" w:hint="eastAsia"/>
          <w:sz w:val="32"/>
          <w:szCs w:val="24"/>
        </w:rPr>
        <w:t>为游憩环，带动镇域发展。</w:t>
      </w:r>
    </w:p>
    <w:p w14:paraId="5D8D1029" w14:textId="04B082A3" w:rsidR="00721D3C" w:rsidRPr="00063080" w:rsidRDefault="00721D3C" w:rsidP="00721D3C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24"/>
        </w:rPr>
      </w:pPr>
      <w:r w:rsidRPr="00721D3C">
        <w:rPr>
          <w:rFonts w:ascii="仿宋_GB2312" w:eastAsia="仿宋_GB2312" w:hAnsi="仿宋" w:cs="Times New Roman" w:hint="eastAsia"/>
          <w:sz w:val="32"/>
          <w:szCs w:val="24"/>
        </w:rPr>
        <w:t>三区：</w:t>
      </w:r>
      <w:r w:rsidRPr="00063080">
        <w:rPr>
          <w:rFonts w:ascii="仿宋_GB2312" w:eastAsia="仿宋_GB2312" w:hAnsi="仿宋" w:cs="Times New Roman" w:hint="eastAsia"/>
          <w:sz w:val="32"/>
          <w:szCs w:val="24"/>
        </w:rPr>
        <w:t>林海氧吧生态区</w:t>
      </w:r>
      <w:r>
        <w:rPr>
          <w:rFonts w:ascii="仿宋_GB2312" w:eastAsia="仿宋_GB2312" w:hAnsi="仿宋" w:cs="Times New Roman" w:hint="eastAsia"/>
          <w:sz w:val="32"/>
          <w:szCs w:val="24"/>
        </w:rPr>
        <w:t>、</w:t>
      </w:r>
      <w:r w:rsidRPr="00063080">
        <w:rPr>
          <w:rFonts w:ascii="仿宋_GB2312" w:eastAsia="仿宋_GB2312" w:hAnsi="仿宋" w:cs="Times New Roman" w:hint="eastAsia"/>
          <w:sz w:val="32"/>
          <w:szCs w:val="24"/>
        </w:rPr>
        <w:t>农旅融合体验区</w:t>
      </w:r>
      <w:r>
        <w:rPr>
          <w:rFonts w:ascii="仿宋_GB2312" w:eastAsia="仿宋_GB2312" w:hAnsi="仿宋" w:cs="Times New Roman" w:hint="eastAsia"/>
          <w:sz w:val="32"/>
          <w:szCs w:val="24"/>
        </w:rPr>
        <w:t>和</w:t>
      </w:r>
      <w:r w:rsidRPr="00063080">
        <w:rPr>
          <w:rFonts w:ascii="仿宋_GB2312" w:eastAsia="仿宋_GB2312" w:hAnsi="仿宋" w:cs="Times New Roman" w:hint="eastAsia"/>
          <w:sz w:val="32"/>
          <w:szCs w:val="24"/>
        </w:rPr>
        <w:t>花海田园休闲区</w:t>
      </w:r>
      <w:r>
        <w:rPr>
          <w:rFonts w:ascii="仿宋_GB2312" w:eastAsia="仿宋_GB2312" w:hAnsi="仿宋" w:cs="Times New Roman" w:hint="eastAsia"/>
          <w:sz w:val="32"/>
          <w:szCs w:val="24"/>
        </w:rPr>
        <w:t>。</w:t>
      </w:r>
    </w:p>
    <w:p w14:paraId="07B1E4D7" w14:textId="77777777" w:rsidR="00721D3C" w:rsidRPr="00721D3C" w:rsidRDefault="00721D3C" w:rsidP="00721D3C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24"/>
        </w:rPr>
      </w:pPr>
      <w:r w:rsidRPr="00721D3C">
        <w:rPr>
          <w:rFonts w:ascii="仿宋_GB2312" w:eastAsia="仿宋_GB2312" w:hAnsi="仿宋" w:cs="Times New Roman" w:hint="eastAsia"/>
          <w:sz w:val="32"/>
          <w:szCs w:val="24"/>
        </w:rPr>
        <w:t>多点：以村庄为发展点，聚集在发展带周边，形成以小吉祥、大观头、下虎叫等村为代表的农旅融合共生单元，协同发展。</w:t>
      </w:r>
    </w:p>
    <w:p w14:paraId="236ADC8A" w14:textId="77777777" w:rsidR="00C4521A" w:rsidRPr="00721D3C" w:rsidRDefault="00C4521A" w:rsidP="00C4521A">
      <w:pPr>
        <w:pStyle w:val="a0"/>
      </w:pPr>
    </w:p>
    <w:p w14:paraId="176FFE6A" w14:textId="029050CE" w:rsidR="005C0D59" w:rsidRDefault="0013089F">
      <w:pPr>
        <w:spacing w:line="560" w:lineRule="exact"/>
        <w:ind w:firstLineChars="200" w:firstLine="643"/>
        <w:rPr>
          <w:rFonts w:ascii="仿宋_GB2312" w:eastAsia="仿宋_GB2312" w:hAnsi="Calibri" w:cs="黑体"/>
          <w:b/>
          <w:bCs/>
          <w:sz w:val="32"/>
          <w:szCs w:val="32"/>
        </w:rPr>
      </w:pPr>
      <w:r>
        <w:rPr>
          <w:rFonts w:ascii="仿宋_GB2312" w:eastAsia="仿宋_GB2312" w:hAnsi="Calibri" w:cs="黑体" w:hint="eastAsia"/>
          <w:b/>
          <w:bCs/>
          <w:sz w:val="32"/>
          <w:szCs w:val="32"/>
        </w:rPr>
        <w:t>四、国土空间土地用途管制</w:t>
      </w:r>
    </w:p>
    <w:p w14:paraId="3E7FF024" w14:textId="35189EAA" w:rsidR="005C0D59" w:rsidRDefault="0013089F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24"/>
        </w:rPr>
      </w:pPr>
      <w:r>
        <w:rPr>
          <w:rFonts w:ascii="仿宋_GB2312" w:eastAsia="仿宋_GB2312" w:hAnsi="仿宋" w:cs="Times New Roman" w:hint="eastAsia"/>
          <w:sz w:val="32"/>
          <w:szCs w:val="24"/>
        </w:rPr>
        <w:t>根据</w:t>
      </w:r>
      <w:r w:rsidR="00FF3F2E">
        <w:rPr>
          <w:rFonts w:ascii="仿宋_GB2312" w:eastAsia="仿宋_GB2312" w:hAnsi="仿宋" w:cs="Times New Roman" w:hint="eastAsia"/>
          <w:sz w:val="32"/>
          <w:szCs w:val="24"/>
        </w:rPr>
        <w:t>刘斌堡乡</w:t>
      </w:r>
      <w:r>
        <w:rPr>
          <w:rFonts w:ascii="仿宋_GB2312" w:eastAsia="仿宋_GB2312" w:hAnsi="仿宋" w:cs="Times New Roman" w:hint="eastAsia"/>
          <w:sz w:val="32"/>
          <w:szCs w:val="24"/>
        </w:rPr>
        <w:t>的区位情况、发展定位、产业方向，落实分区规划确定的城乡建设用地指标，对分区规划提出的城市开发边界进行细化、落实。保障</w:t>
      </w:r>
      <w:r w:rsidR="00945760">
        <w:rPr>
          <w:rFonts w:ascii="仿宋_GB2312" w:eastAsia="仿宋_GB2312" w:hAnsi="仿宋" w:cs="Times New Roman" w:hint="eastAsia"/>
          <w:sz w:val="32"/>
          <w:szCs w:val="24"/>
        </w:rPr>
        <w:t>全</w:t>
      </w:r>
      <w:r w:rsidR="00FF3F2E">
        <w:rPr>
          <w:rFonts w:ascii="仿宋_GB2312" w:eastAsia="仿宋_GB2312" w:hAnsi="仿宋" w:cs="Times New Roman" w:hint="eastAsia"/>
          <w:sz w:val="32"/>
          <w:szCs w:val="24"/>
        </w:rPr>
        <w:t>乡</w:t>
      </w:r>
      <w:r>
        <w:rPr>
          <w:rFonts w:ascii="仿宋_GB2312" w:eastAsia="仿宋_GB2312" w:hAnsi="仿宋" w:cs="Times New Roman" w:hint="eastAsia"/>
          <w:sz w:val="32"/>
          <w:szCs w:val="24"/>
        </w:rPr>
        <w:t>居民和农民的生产</w:t>
      </w:r>
      <w:r w:rsidR="00945760">
        <w:rPr>
          <w:rFonts w:ascii="仿宋_GB2312" w:eastAsia="仿宋_GB2312" w:hAnsi="仿宋" w:cs="Times New Roman" w:hint="eastAsia"/>
          <w:sz w:val="32"/>
          <w:szCs w:val="24"/>
        </w:rPr>
        <w:t>、</w:t>
      </w:r>
      <w:r>
        <w:rPr>
          <w:rFonts w:ascii="仿宋_GB2312" w:eastAsia="仿宋_GB2312" w:hAnsi="仿宋" w:cs="Times New Roman" w:hint="eastAsia"/>
          <w:sz w:val="32"/>
          <w:szCs w:val="24"/>
        </w:rPr>
        <w:t>生活空间需求，从空间上明确集中建设区内外的城乡建设用地边界和位置。</w:t>
      </w:r>
    </w:p>
    <w:p w14:paraId="4D2C616E" w14:textId="77777777" w:rsidR="005C0D59" w:rsidRDefault="0013089F">
      <w:pPr>
        <w:spacing w:line="560" w:lineRule="exact"/>
        <w:ind w:firstLineChars="200" w:firstLine="643"/>
        <w:rPr>
          <w:rFonts w:ascii="仿宋_GB2312" w:eastAsia="仿宋_GB2312" w:hAnsi="Calibri" w:cs="黑体"/>
          <w:b/>
          <w:bCs/>
          <w:sz w:val="32"/>
          <w:szCs w:val="32"/>
        </w:rPr>
      </w:pPr>
      <w:r>
        <w:rPr>
          <w:rFonts w:ascii="仿宋_GB2312" w:eastAsia="仿宋_GB2312" w:hAnsi="Calibri" w:cs="黑体" w:hint="eastAsia"/>
          <w:b/>
          <w:bCs/>
          <w:sz w:val="32"/>
          <w:szCs w:val="32"/>
        </w:rPr>
        <w:t>五、城乡统筹发展</w:t>
      </w:r>
    </w:p>
    <w:p w14:paraId="40050282" w14:textId="4E7E67ED" w:rsidR="00E2227E" w:rsidRPr="00E2227E" w:rsidRDefault="001F5AB5" w:rsidP="00E2227E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24"/>
        </w:rPr>
      </w:pPr>
      <w:r w:rsidRPr="001F5AB5">
        <w:rPr>
          <w:rFonts w:ascii="仿宋_GB2312" w:eastAsia="仿宋_GB2312" w:hAnsi="仿宋" w:cs="Times New Roman" w:hint="eastAsia"/>
          <w:sz w:val="32"/>
          <w:szCs w:val="24"/>
        </w:rPr>
        <w:t>逐步构建</w:t>
      </w:r>
      <w:r w:rsidR="00E2227E">
        <w:rPr>
          <w:rFonts w:ascii="仿宋_GB2312" w:eastAsia="仿宋_GB2312" w:hAnsi="仿宋" w:cs="Times New Roman" w:hint="eastAsia"/>
          <w:sz w:val="32"/>
          <w:szCs w:val="24"/>
        </w:rPr>
        <w:t>1个</w:t>
      </w:r>
      <w:r w:rsidRPr="001F5AB5">
        <w:rPr>
          <w:rFonts w:ascii="仿宋_GB2312" w:eastAsia="仿宋_GB2312" w:hAnsi="仿宋" w:cs="Times New Roman" w:hint="eastAsia"/>
          <w:sz w:val="32"/>
          <w:szCs w:val="24"/>
        </w:rPr>
        <w:t>乡中心区</w:t>
      </w:r>
      <w:r w:rsidR="00E2227E">
        <w:rPr>
          <w:rFonts w:ascii="仿宋_GB2312" w:eastAsia="仿宋_GB2312" w:hAnsi="仿宋" w:cs="Times New Roman" w:hint="eastAsia"/>
          <w:sz w:val="32"/>
          <w:szCs w:val="24"/>
        </w:rPr>
        <w:t>和多个</w:t>
      </w:r>
      <w:r w:rsidRPr="001F5AB5">
        <w:rPr>
          <w:rFonts w:ascii="仿宋_GB2312" w:eastAsia="仿宋_GB2312" w:hAnsi="仿宋" w:cs="Times New Roman" w:hint="eastAsia"/>
          <w:sz w:val="32"/>
          <w:szCs w:val="24"/>
        </w:rPr>
        <w:t>新型农村社区的镇村体系新格局</w:t>
      </w:r>
      <w:r w:rsidR="00E2227E">
        <w:rPr>
          <w:rFonts w:ascii="仿宋_GB2312" w:eastAsia="仿宋_GB2312" w:hAnsi="仿宋" w:cs="Times New Roman" w:hint="eastAsia"/>
          <w:sz w:val="32"/>
          <w:szCs w:val="24"/>
        </w:rPr>
        <w:t>，</w:t>
      </w:r>
      <w:r w:rsidR="00E2227E" w:rsidRPr="00E2227E">
        <w:rPr>
          <w:rFonts w:ascii="仿宋_GB2312" w:eastAsia="仿宋_GB2312" w:hAnsi="仿宋" w:cs="Times New Roman" w:hint="eastAsia"/>
          <w:sz w:val="32"/>
          <w:szCs w:val="24"/>
        </w:rPr>
        <w:t>发挥乡镇政府在统筹村庄资源配置、加强公共服务方面的重要作用，进一步优化刘斌堡乡的生态、生活、生产空间，推动城乡一体化发展。</w:t>
      </w:r>
    </w:p>
    <w:p w14:paraId="38B7ACB8" w14:textId="07F1CB48" w:rsidR="001F5AB5" w:rsidRDefault="00173032" w:rsidP="001F5AB5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24"/>
        </w:rPr>
      </w:pPr>
      <w:r w:rsidRPr="00173032">
        <w:rPr>
          <w:rFonts w:ascii="仿宋_GB2312" w:eastAsia="仿宋_GB2312" w:hAnsi="仿宋" w:cs="Times New Roman" w:hint="eastAsia"/>
          <w:sz w:val="32"/>
          <w:szCs w:val="24"/>
        </w:rPr>
        <w:t>以行政村为单元，衔接分区规划、村庄发展规划，根据发展现状、区位条件、资源禀赋、产业基础、历史文化等，划分城镇集建型村庄和整治完善型村庄，对不同类型提供相应的发展指引</w:t>
      </w:r>
      <w:r w:rsidR="001F5AB5" w:rsidRPr="001F5AB5">
        <w:rPr>
          <w:rFonts w:ascii="仿宋_GB2312" w:eastAsia="仿宋_GB2312" w:hAnsi="仿宋" w:cs="Times New Roman"/>
          <w:sz w:val="32"/>
          <w:szCs w:val="24"/>
        </w:rPr>
        <w:t>。</w:t>
      </w:r>
    </w:p>
    <w:p w14:paraId="2CBB99B2" w14:textId="1BFC4A36" w:rsidR="005C0D59" w:rsidRDefault="0013089F" w:rsidP="001F5AB5">
      <w:pPr>
        <w:spacing w:line="560" w:lineRule="exact"/>
        <w:ind w:firstLineChars="200" w:firstLine="643"/>
        <w:rPr>
          <w:rFonts w:ascii="仿宋_GB2312" w:eastAsia="仿宋_GB2312" w:hAnsi="Calibri" w:cs="黑体"/>
          <w:b/>
          <w:bCs/>
          <w:sz w:val="32"/>
          <w:szCs w:val="32"/>
        </w:rPr>
      </w:pPr>
      <w:r>
        <w:rPr>
          <w:rFonts w:ascii="仿宋_GB2312" w:eastAsia="仿宋_GB2312" w:hAnsi="Calibri" w:cs="黑体" w:hint="eastAsia"/>
          <w:b/>
          <w:bCs/>
          <w:sz w:val="32"/>
          <w:szCs w:val="32"/>
        </w:rPr>
        <w:t>六、基础保障</w:t>
      </w:r>
    </w:p>
    <w:p w14:paraId="3403FB23" w14:textId="77777777" w:rsidR="005C0D59" w:rsidRDefault="0013089F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24"/>
        </w:rPr>
      </w:pPr>
      <w:r>
        <w:rPr>
          <w:rFonts w:ascii="仿宋_GB2312" w:eastAsia="仿宋_GB2312" w:hAnsi="仿宋" w:cs="Times New Roman" w:hint="eastAsia"/>
          <w:sz w:val="32"/>
          <w:szCs w:val="24"/>
        </w:rPr>
        <w:lastRenderedPageBreak/>
        <w:t>加强</w:t>
      </w:r>
      <w:r w:rsidR="00FF3F2E">
        <w:rPr>
          <w:rFonts w:ascii="仿宋_GB2312" w:eastAsia="仿宋_GB2312" w:hAnsi="仿宋" w:cs="Times New Roman" w:hint="eastAsia"/>
          <w:sz w:val="32"/>
          <w:szCs w:val="24"/>
        </w:rPr>
        <w:t>刘斌堡乡</w:t>
      </w:r>
      <w:r>
        <w:rPr>
          <w:rFonts w:ascii="仿宋_GB2312" w:eastAsia="仿宋_GB2312" w:hAnsi="仿宋" w:cs="Times New Roman" w:hint="eastAsia"/>
          <w:sz w:val="32"/>
          <w:szCs w:val="24"/>
        </w:rPr>
        <w:t>三大设施的规划落实，严格按照国家标准和城乡规划进行各项公共服务设施、交通市政基础设施、安全设施和生态绿化的规划建设。</w:t>
      </w:r>
    </w:p>
    <w:p w14:paraId="17C62D68" w14:textId="5875E6FF" w:rsidR="005C0D59" w:rsidRDefault="0013089F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24"/>
        </w:rPr>
      </w:pPr>
      <w:r>
        <w:rPr>
          <w:rFonts w:ascii="仿宋_GB2312" w:eastAsia="仿宋_GB2312" w:hAnsi="仿宋" w:cs="Times New Roman" w:hint="eastAsia"/>
          <w:sz w:val="32"/>
          <w:szCs w:val="24"/>
        </w:rPr>
        <w:t>落实分区规划对外交通体系，细化路网级别；建设“区-</w:t>
      </w:r>
      <w:r w:rsidR="008B775A">
        <w:rPr>
          <w:rFonts w:ascii="仿宋_GB2312" w:eastAsia="仿宋_GB2312" w:hAnsi="仿宋" w:cs="Times New Roman" w:hint="eastAsia"/>
          <w:sz w:val="32"/>
          <w:szCs w:val="24"/>
        </w:rPr>
        <w:t>乡</w:t>
      </w:r>
      <w:r>
        <w:rPr>
          <w:rFonts w:ascii="仿宋_GB2312" w:eastAsia="仿宋_GB2312" w:hAnsi="仿宋" w:cs="Times New Roman" w:hint="eastAsia"/>
          <w:sz w:val="32"/>
          <w:szCs w:val="24"/>
        </w:rPr>
        <w:t>-村”三级设施保障体系，从行政办公、文化、教育、体育、医疗、社会福利和公共绿地7个方面对现状公共服务设施进行优化；市政基础设施落实并细化分区规划及延庆区市政专项规划。</w:t>
      </w:r>
    </w:p>
    <w:p w14:paraId="28C8B165" w14:textId="2EE0D548" w:rsidR="005C0D59" w:rsidRDefault="0013089F">
      <w:pPr>
        <w:spacing w:line="560" w:lineRule="exact"/>
        <w:ind w:firstLineChars="200" w:firstLine="643"/>
        <w:rPr>
          <w:rFonts w:ascii="仿宋_GB2312" w:eastAsia="仿宋_GB2312" w:hAnsi="Calibri" w:cs="黑体"/>
          <w:b/>
          <w:bCs/>
          <w:sz w:val="32"/>
          <w:szCs w:val="32"/>
        </w:rPr>
      </w:pPr>
      <w:r>
        <w:rPr>
          <w:rFonts w:ascii="仿宋_GB2312" w:eastAsia="仿宋_GB2312" w:hAnsi="Calibri" w:cs="黑体" w:hint="eastAsia"/>
          <w:b/>
          <w:bCs/>
          <w:sz w:val="32"/>
          <w:szCs w:val="32"/>
        </w:rPr>
        <w:t>七、历史文化与风貌特色</w:t>
      </w:r>
    </w:p>
    <w:p w14:paraId="7514BF75" w14:textId="77777777" w:rsidR="008B75D2" w:rsidRPr="008B75D2" w:rsidRDefault="008B75D2" w:rsidP="008B75D2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24"/>
        </w:rPr>
      </w:pPr>
      <w:r w:rsidRPr="008B75D2">
        <w:rPr>
          <w:rFonts w:ascii="仿宋_GB2312" w:eastAsia="仿宋_GB2312" w:hAnsi="仿宋" w:cs="Times New Roman" w:hint="eastAsia"/>
          <w:sz w:val="32"/>
          <w:szCs w:val="24"/>
        </w:rPr>
        <w:t>挖掘刘斌堡乡历史文化资源，打造历史文化线路、建设文化展示中心，针对重要文保单位及历史遗迹应保尽保，并提出分类管控措施。</w:t>
      </w:r>
    </w:p>
    <w:p w14:paraId="44D39FDC" w14:textId="77777777" w:rsidR="008B75D2" w:rsidRDefault="008B75D2" w:rsidP="008B75D2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24"/>
        </w:rPr>
      </w:pPr>
      <w:r w:rsidRPr="008B75D2">
        <w:rPr>
          <w:rFonts w:ascii="仿宋_GB2312" w:eastAsia="仿宋_GB2312" w:hAnsi="仿宋" w:cs="Times New Roman" w:hint="eastAsia"/>
          <w:sz w:val="32"/>
          <w:szCs w:val="24"/>
        </w:rPr>
        <w:t>全域塑造“山水相映、林田交织、多元融合、本土乡居”的风貌。按区域功能及环境划分为山林景观风貌区、多彩田园风貌区、休闲游憩风貌区</w:t>
      </w:r>
      <w:r w:rsidRPr="008B75D2">
        <w:rPr>
          <w:rFonts w:ascii="仿宋_GB2312" w:eastAsia="仿宋_GB2312" w:hAnsi="仿宋" w:cs="Times New Roman"/>
          <w:sz w:val="32"/>
          <w:szCs w:val="24"/>
        </w:rPr>
        <w:t>3个片区，并进行风貌引导。</w:t>
      </w:r>
    </w:p>
    <w:p w14:paraId="4F793FD9" w14:textId="4A51F292" w:rsidR="005C0D59" w:rsidRDefault="0013089F" w:rsidP="008B75D2">
      <w:pPr>
        <w:spacing w:line="560" w:lineRule="exact"/>
        <w:ind w:firstLineChars="200" w:firstLine="643"/>
        <w:rPr>
          <w:rFonts w:ascii="仿宋_GB2312" w:eastAsia="仿宋_GB2312" w:hAnsi="Calibri" w:cs="黑体"/>
          <w:b/>
          <w:bCs/>
          <w:sz w:val="32"/>
          <w:szCs w:val="32"/>
        </w:rPr>
      </w:pPr>
      <w:r>
        <w:rPr>
          <w:rFonts w:ascii="仿宋_GB2312" w:eastAsia="仿宋_GB2312" w:hAnsi="Calibri" w:cs="黑体" w:hint="eastAsia"/>
          <w:b/>
          <w:bCs/>
          <w:sz w:val="32"/>
          <w:szCs w:val="32"/>
        </w:rPr>
        <w:t>八、规划管控与引导</w:t>
      </w:r>
    </w:p>
    <w:p w14:paraId="7993451D" w14:textId="01FD3D52" w:rsidR="005C0D59" w:rsidRDefault="0013089F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24"/>
        </w:rPr>
      </w:pPr>
      <w:r w:rsidRPr="00721D3C">
        <w:rPr>
          <w:rFonts w:ascii="仿宋_GB2312" w:eastAsia="仿宋_GB2312" w:hAnsi="仿宋" w:cs="Times New Roman" w:hint="eastAsia"/>
          <w:sz w:val="32"/>
          <w:szCs w:val="24"/>
        </w:rPr>
        <w:t>划定管理复区，包括</w:t>
      </w:r>
      <w:r w:rsidR="008122D0">
        <w:rPr>
          <w:rFonts w:ascii="仿宋_GB2312" w:eastAsia="仿宋_GB2312" w:hAnsi="仿宋" w:cs="Times New Roman"/>
          <w:sz w:val="32"/>
          <w:szCs w:val="24"/>
        </w:rPr>
        <w:t>10</w:t>
      </w:r>
      <w:r w:rsidRPr="00721D3C">
        <w:rPr>
          <w:rFonts w:ascii="仿宋_GB2312" w:eastAsia="仿宋_GB2312" w:hAnsi="仿宋" w:cs="Times New Roman" w:hint="eastAsia"/>
          <w:sz w:val="32"/>
          <w:szCs w:val="24"/>
        </w:rPr>
        <w:t>种。</w:t>
      </w:r>
      <w:r w:rsidR="008122D0">
        <w:rPr>
          <w:rFonts w:ascii="仿宋_GB2312" w:eastAsia="仿宋_GB2312" w:hAnsi="仿宋" w:cs="Times New Roman" w:hint="eastAsia"/>
          <w:sz w:val="32"/>
          <w:szCs w:val="24"/>
        </w:rPr>
        <w:t>分别为</w:t>
      </w:r>
      <w:r w:rsidRPr="00721D3C">
        <w:rPr>
          <w:rFonts w:ascii="仿宋_GB2312" w:eastAsia="仿宋_GB2312" w:hAnsi="仿宋" w:cs="Times New Roman" w:hint="eastAsia"/>
          <w:sz w:val="32"/>
          <w:szCs w:val="24"/>
        </w:rPr>
        <w:t>生态保护红线、自然保护区</w:t>
      </w:r>
      <w:r w:rsidR="00626BFA">
        <w:rPr>
          <w:rFonts w:ascii="仿宋_GB2312" w:eastAsia="仿宋_GB2312" w:hAnsi="仿宋" w:cs="Times New Roman" w:hint="eastAsia"/>
          <w:sz w:val="32"/>
          <w:szCs w:val="24"/>
        </w:rPr>
        <w:t>、</w:t>
      </w:r>
      <w:r w:rsidRPr="00721D3C">
        <w:rPr>
          <w:rFonts w:ascii="仿宋_GB2312" w:eastAsia="仿宋_GB2312" w:hAnsi="仿宋" w:cs="Times New Roman" w:hint="eastAsia"/>
          <w:sz w:val="32"/>
          <w:szCs w:val="24"/>
        </w:rPr>
        <w:t>水源保护地、水域管理线、交通廊道控制线、市政廊道控制线、历史文化保护控制线、耕地保有量储备区、各类公园、村庄居民点。</w:t>
      </w:r>
    </w:p>
    <w:p w14:paraId="21CF6F36" w14:textId="10F43550" w:rsidR="005C0D59" w:rsidRDefault="0013089F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24"/>
        </w:rPr>
      </w:pPr>
      <w:r>
        <w:rPr>
          <w:rFonts w:ascii="仿宋_GB2312" w:eastAsia="仿宋_GB2312" w:hAnsi="仿宋" w:cs="Times New Roman" w:hint="eastAsia"/>
          <w:sz w:val="32"/>
          <w:szCs w:val="24"/>
        </w:rPr>
        <w:t>集中建设区内划分</w:t>
      </w:r>
      <w:r w:rsidR="002A3FEE">
        <w:rPr>
          <w:rFonts w:ascii="仿宋_GB2312" w:eastAsia="仿宋_GB2312" w:hAnsi="仿宋" w:cs="Times New Roman" w:hint="eastAsia"/>
          <w:sz w:val="32"/>
          <w:szCs w:val="24"/>
        </w:rPr>
        <w:t>1</w:t>
      </w:r>
      <w:r>
        <w:rPr>
          <w:rFonts w:ascii="仿宋_GB2312" w:eastAsia="仿宋_GB2312" w:hAnsi="仿宋" w:cs="Times New Roman" w:hint="eastAsia"/>
          <w:sz w:val="32"/>
          <w:szCs w:val="24"/>
        </w:rPr>
        <w:t>个街区进行管控</w:t>
      </w:r>
      <w:r w:rsidR="002E5998">
        <w:rPr>
          <w:rFonts w:ascii="仿宋_GB2312" w:eastAsia="仿宋_GB2312" w:hAnsi="仿宋" w:cs="Times New Roman" w:hint="eastAsia"/>
          <w:sz w:val="32"/>
          <w:szCs w:val="24"/>
        </w:rPr>
        <w:t>，</w:t>
      </w:r>
      <w:r>
        <w:rPr>
          <w:rFonts w:ascii="仿宋_GB2312" w:eastAsia="仿宋_GB2312" w:hAnsi="仿宋" w:cs="Times New Roman" w:hint="eastAsia"/>
          <w:sz w:val="32"/>
          <w:szCs w:val="24"/>
        </w:rPr>
        <w:t>集中建设区外划分生态片区、农业片区与休闲游憩片区进行管控。</w:t>
      </w:r>
    </w:p>
    <w:p w14:paraId="2DEA1FE5" w14:textId="77777777" w:rsidR="005C0D59" w:rsidRDefault="0013089F">
      <w:pPr>
        <w:spacing w:line="560" w:lineRule="exact"/>
        <w:ind w:firstLineChars="200" w:firstLine="643"/>
        <w:rPr>
          <w:rFonts w:ascii="仿宋_GB2312" w:eastAsia="仿宋_GB2312" w:hAnsi="Calibri" w:cs="黑体"/>
          <w:b/>
          <w:bCs/>
          <w:sz w:val="32"/>
          <w:szCs w:val="32"/>
        </w:rPr>
      </w:pPr>
      <w:r>
        <w:rPr>
          <w:rFonts w:ascii="仿宋_GB2312" w:eastAsia="仿宋_GB2312" w:hAnsi="Calibri" w:cs="黑体" w:hint="eastAsia"/>
          <w:b/>
          <w:bCs/>
          <w:sz w:val="32"/>
          <w:szCs w:val="32"/>
        </w:rPr>
        <w:t>九、规划实施</w:t>
      </w:r>
    </w:p>
    <w:p w14:paraId="09D64D4A" w14:textId="77777777" w:rsidR="009F5FF5" w:rsidRPr="009F5FF5" w:rsidRDefault="009F5FF5" w:rsidP="009F5FF5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24"/>
        </w:rPr>
      </w:pPr>
      <w:r w:rsidRPr="009F5FF5">
        <w:rPr>
          <w:rFonts w:ascii="仿宋_GB2312" w:eastAsia="仿宋_GB2312" w:hAnsi="仿宋" w:cs="Times New Roman" w:hint="eastAsia"/>
          <w:sz w:val="32"/>
          <w:szCs w:val="24"/>
        </w:rPr>
        <w:t>从本乡全域全要素国土空间综合整治为契入点，以建设</w:t>
      </w:r>
      <w:r w:rsidRPr="009F5FF5">
        <w:rPr>
          <w:rFonts w:ascii="仿宋_GB2312" w:eastAsia="仿宋_GB2312" w:hAnsi="仿宋" w:cs="Times New Roman" w:hint="eastAsia"/>
          <w:sz w:val="32"/>
          <w:szCs w:val="24"/>
        </w:rPr>
        <w:lastRenderedPageBreak/>
        <w:t>用地减量提质、生态保护与修复等项目为抓手，合理安排规划实施时序，通过制定规划实施保障措施、实施问责等机制体制创新，打通国土空间规划传导落实路径。</w:t>
      </w:r>
    </w:p>
    <w:sectPr w:rsidR="009F5FF5" w:rsidRPr="009F5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546D8" w14:textId="77777777" w:rsidR="00E4379D" w:rsidRDefault="00E4379D" w:rsidP="00721D3C">
      <w:r>
        <w:separator/>
      </w:r>
    </w:p>
  </w:endnote>
  <w:endnote w:type="continuationSeparator" w:id="0">
    <w:p w14:paraId="77C94C4C" w14:textId="77777777" w:rsidR="00E4379D" w:rsidRDefault="00E4379D" w:rsidP="0072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CB34A" w14:textId="77777777" w:rsidR="00E4379D" w:rsidRDefault="00E4379D" w:rsidP="00721D3C">
      <w:r>
        <w:separator/>
      </w:r>
    </w:p>
  </w:footnote>
  <w:footnote w:type="continuationSeparator" w:id="0">
    <w:p w14:paraId="3195BF36" w14:textId="77777777" w:rsidR="00E4379D" w:rsidRDefault="00E4379D" w:rsidP="00721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D59"/>
    <w:rsid w:val="00083027"/>
    <w:rsid w:val="00086A18"/>
    <w:rsid w:val="00095890"/>
    <w:rsid w:val="000C3528"/>
    <w:rsid w:val="0013089F"/>
    <w:rsid w:val="00173032"/>
    <w:rsid w:val="001F5AB5"/>
    <w:rsid w:val="002676C0"/>
    <w:rsid w:val="002A3FEE"/>
    <w:rsid w:val="002D33DB"/>
    <w:rsid w:val="002E5998"/>
    <w:rsid w:val="0031418A"/>
    <w:rsid w:val="00391D87"/>
    <w:rsid w:val="003E3401"/>
    <w:rsid w:val="00406D15"/>
    <w:rsid w:val="004D4676"/>
    <w:rsid w:val="004E16EB"/>
    <w:rsid w:val="00536578"/>
    <w:rsid w:val="005C0D59"/>
    <w:rsid w:val="00602D49"/>
    <w:rsid w:val="00626BFA"/>
    <w:rsid w:val="006F702E"/>
    <w:rsid w:val="007016BB"/>
    <w:rsid w:val="00721D3C"/>
    <w:rsid w:val="007A29B3"/>
    <w:rsid w:val="007E0EF7"/>
    <w:rsid w:val="007E616F"/>
    <w:rsid w:val="007E61E0"/>
    <w:rsid w:val="007F6786"/>
    <w:rsid w:val="008122D0"/>
    <w:rsid w:val="008B75D2"/>
    <w:rsid w:val="008B775A"/>
    <w:rsid w:val="008D019A"/>
    <w:rsid w:val="008D2B4B"/>
    <w:rsid w:val="00945760"/>
    <w:rsid w:val="00945DB4"/>
    <w:rsid w:val="00990CC6"/>
    <w:rsid w:val="009D0DE8"/>
    <w:rsid w:val="009F5FF5"/>
    <w:rsid w:val="00AC43E7"/>
    <w:rsid w:val="00BA54D5"/>
    <w:rsid w:val="00C4521A"/>
    <w:rsid w:val="00CB1304"/>
    <w:rsid w:val="00CE4C0E"/>
    <w:rsid w:val="00D167FC"/>
    <w:rsid w:val="00D806BD"/>
    <w:rsid w:val="00D87B14"/>
    <w:rsid w:val="00DC608C"/>
    <w:rsid w:val="00DC7A40"/>
    <w:rsid w:val="00E2227E"/>
    <w:rsid w:val="00E4379D"/>
    <w:rsid w:val="00E60EFD"/>
    <w:rsid w:val="00EF0D19"/>
    <w:rsid w:val="00FB462A"/>
    <w:rsid w:val="00FE0163"/>
    <w:rsid w:val="00FF3F2E"/>
    <w:rsid w:val="5BB6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216EF"/>
  <w15:docId w15:val="{066C347F-A90B-4780-A460-2D4D9B63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customStyle="1" w:styleId="a6">
    <w:name w:val="页眉 字符"/>
    <w:basedOn w:val="a1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1"/>
    <w:link w:val="a0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yongqiang</dc:creator>
  <cp:lastModifiedBy>o2poppy@hotmail.com</cp:lastModifiedBy>
  <cp:revision>3</cp:revision>
  <dcterms:created xsi:type="dcterms:W3CDTF">2022-11-16T11:19:00Z</dcterms:created>
  <dcterms:modified xsi:type="dcterms:W3CDTF">2022-11-16T13:33:00Z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008a3c39a16148cf92493510d204cc00</vt:lpwstr>
  </property>
  <property fmtid="{D5CDD505-2E9C-101B-9397-08002B2CF9AE}" pid="3" name="KSOProductBuildVer">
    <vt:lpwstr>2052-10.8.2.6666</vt:lpwstr>
  </property>
</Properties>
</file>