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hAnsi="仿宋" w:eastAsia="方正小标宋简体" w:cs="Calibri"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 w:cs="Calibri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 w:cs="Calibri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Calibri"/>
          <w:color w:val="auto"/>
          <w:sz w:val="44"/>
          <w:szCs w:val="44"/>
          <w:highlight w:val="none"/>
        </w:rPr>
        <w:t>关于《通州区支持基础设施领域不动产投资信托基金(REITs)发展措施（试行）》和《通州区支持私募股权二级市场基金集聚发展措施（试行）》的修订说明</w:t>
      </w:r>
    </w:p>
    <w:p>
      <w:pPr>
        <w:pStyle w:val="4"/>
        <w:spacing w:line="600" w:lineRule="exact"/>
        <w:ind w:left="0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Cs w:val="32"/>
          <w:highlight w:val="none"/>
        </w:rPr>
        <w:t>一、修订必要性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auto"/>
          <w:highlight w:val="none"/>
          <w:shd w:val="clear" w:color="auto" w:fill="FFFFFF"/>
        </w:rPr>
        <w:t>2022年1月，我区出台《通州区支持基础设施领域不动产投资信托基金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（</w:t>
      </w:r>
      <w:r>
        <w:rPr>
          <w:rFonts w:hint="eastAsia"/>
          <w:color w:val="auto"/>
          <w:highlight w:val="none"/>
          <w:shd w:val="clear" w:color="auto" w:fill="FFFFFF"/>
        </w:rPr>
        <w:t>REITs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）</w:t>
      </w:r>
      <w:r>
        <w:rPr>
          <w:rFonts w:hint="eastAsia"/>
          <w:color w:val="auto"/>
          <w:highlight w:val="none"/>
          <w:shd w:val="clear" w:color="auto" w:fill="FFFFFF"/>
        </w:rPr>
        <w:t>发展措施（试行）》和《通州区支持私募股权二级市场基金集聚发展措施（试行）》（通政办发〔2022〕2号）。</w:t>
      </w:r>
      <w:r>
        <w:rPr>
          <w:rFonts w:hint="eastAsia"/>
          <w:color w:val="333333"/>
          <w:shd w:val="clear" w:color="auto" w:fill="FFFFFF"/>
          <w:lang w:val="en-US" w:eastAsia="zh-CN"/>
        </w:rPr>
        <w:t>依据近期北京市通州区人民政府办公室印发的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《通州区人民政府公平竞争审查工作细则》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通政办字</w:t>
      </w:r>
      <w:r>
        <w:rPr>
          <w:rFonts w:hint="eastAsia"/>
          <w:color w:val="333333"/>
          <w:shd w:val="clear" w:color="auto" w:fill="FFFFFF"/>
        </w:rPr>
        <w:t>〔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2022</w:t>
      </w:r>
      <w:r>
        <w:rPr>
          <w:rFonts w:hint="eastAsia"/>
          <w:color w:val="333333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6号</w:t>
      </w:r>
      <w:r>
        <w:rPr>
          <w:rFonts w:hint="eastAsia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val="en-US" w:eastAsia="zh-CN"/>
        </w:rPr>
        <w:t>第三条（一）明确要求“不得违法给予特定经营者优惠政策，包括但不限于：1.没有法律、行政法规或者国务院规定依据，给予特定经营者财政奖励和补贴。”</w:t>
      </w:r>
      <w:r>
        <w:rPr>
          <w:rFonts w:hint="eastAsia"/>
          <w:color w:val="333333"/>
          <w:shd w:val="clear" w:color="auto" w:fill="FFFFFF"/>
        </w:rPr>
        <w:t>为增强政策的导向性和准确性，决定对现行政策进行修订。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Cs w:val="32"/>
          <w:lang w:val="en-US" w:eastAsia="zh-CN"/>
        </w:rPr>
      </w:pPr>
      <w:r>
        <w:rPr>
          <w:rFonts w:hint="eastAsia" w:ascii="黑体" w:hAnsi="黑体" w:eastAsia="黑体" w:cs="仿宋_GB2312"/>
          <w:szCs w:val="32"/>
        </w:rPr>
        <w:t>二、修订</w:t>
      </w:r>
      <w:r>
        <w:rPr>
          <w:rFonts w:hint="eastAsia" w:ascii="黑体" w:hAnsi="黑体" w:eastAsia="黑体" w:cs="仿宋_GB231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333333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《通州区人民政府公平竞争审查工作细则》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通政办字</w:t>
      </w:r>
      <w:r>
        <w:rPr>
          <w:rFonts w:hint="eastAsia"/>
          <w:color w:val="333333"/>
          <w:shd w:val="clear" w:color="auto" w:fill="FFFFFF"/>
        </w:rPr>
        <w:t>〔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2022</w:t>
      </w:r>
      <w:r>
        <w:rPr>
          <w:rFonts w:hint="eastAsia"/>
          <w:color w:val="333333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6号</w:t>
      </w:r>
      <w:r>
        <w:rPr>
          <w:rFonts w:hint="eastAsia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）</w:t>
      </w:r>
      <w:r>
        <w:rPr>
          <w:rFonts w:hint="eastAsia"/>
          <w:color w:val="333333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仿宋_GB2312"/>
          <w:color w:val="auto"/>
          <w:szCs w:val="32"/>
          <w:highlight w:val="none"/>
        </w:rPr>
        <w:t>、修订</w:t>
      </w:r>
      <w:r>
        <w:rPr>
          <w:rFonts w:hint="eastAsia" w:ascii="黑体" w:hAnsi="黑体" w:eastAsia="黑体" w:cs="仿宋_GB2312"/>
          <w:color w:val="auto"/>
          <w:szCs w:val="32"/>
          <w:highlight w:val="none"/>
          <w:lang w:val="en-US" w:eastAsia="zh-CN"/>
        </w:rPr>
        <w:t>主要</w:t>
      </w:r>
      <w:r>
        <w:rPr>
          <w:rFonts w:hint="eastAsia" w:ascii="黑体" w:hAnsi="黑体" w:eastAsia="黑体" w:cs="仿宋_GB2312"/>
          <w:color w:val="auto"/>
          <w:szCs w:val="32"/>
          <w:highlight w:val="none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</w:rPr>
        <w:t>《通州区支持基础设施领域不动产投资信托基金(REITs)发展措施（试行）》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修订情况如下：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_GB2312" w:hAnsi="方正小标宋简体" w:eastAsia="仿宋_GB2312" w:cs="方正小标宋简体"/>
          <w:b w:val="0"/>
          <w:bCs/>
          <w:color w:val="auto"/>
          <w:szCs w:val="32"/>
          <w:lang w:val="en-US" w:eastAsia="zh-CN"/>
        </w:rPr>
      </w:pP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lang w:val="en-US" w:eastAsia="zh-CN"/>
        </w:rPr>
        <w:t>一、</w:t>
      </w:r>
      <w:r>
        <w:rPr>
          <w:rFonts w:hint="eastAsia" w:ascii="仿宋_GB2312" w:hAnsi="方正小标宋简体" w:cs="方正小标宋简体"/>
          <w:b w:val="0"/>
          <w:bCs/>
          <w:color w:val="000000"/>
          <w:szCs w:val="32"/>
          <w:lang w:val="en-US" w:eastAsia="zh-CN"/>
        </w:rPr>
        <w:t>针对原文部分表述进行调整优化。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  <w:t>二、将第二条中部分内容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修改为“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鼓励募集资金投资于实体项目，对形成综合带动效应的，再给予不超过</w:t>
      </w:r>
      <w:r>
        <w:rPr>
          <w:rFonts w:ascii="仿宋_GB2312" w:hAnsi="仿宋_GB2312" w:cs="仿宋_GB2312"/>
          <w:color w:val="auto"/>
          <w:szCs w:val="32"/>
          <w:highlight w:val="none"/>
        </w:rPr>
        <w:t>300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万元</w:t>
      </w:r>
      <w:r>
        <w:rPr>
          <w:rFonts w:hint="default" w:ascii="仿宋_GB2312" w:hAnsi="仿宋_GB2312" w:cs="仿宋_GB2312"/>
          <w:color w:val="auto"/>
          <w:szCs w:val="32"/>
          <w:highlight w:val="none"/>
        </w:rPr>
        <w:t>的资金支持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cs="方正小标宋简体"/>
          <w:b w:val="0"/>
          <w:bCs/>
          <w:color w:val="auto"/>
          <w:szCs w:val="32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三、</w:t>
      </w: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highlight w:val="none"/>
          <w:lang w:val="en-US" w:eastAsia="zh-CN"/>
        </w:rPr>
        <w:t>将第五条（一）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highlight w:val="none"/>
          <w:lang w:val="en-US" w:eastAsia="zh-CN"/>
        </w:rPr>
        <w:t>“每年视企业综合贡献情况给予资金支持。”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  <w:t>四、将第五条（二）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  <w:t>“视企业综合贡献情况给予单一年度不超500万元的资金支持。”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方正小标宋简体" w:eastAsia="仿宋_GB2312" w:cs="方正小标宋简体"/>
          <w:b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《通州区支持私募股权二级市场基金集聚发展措施（试行）》修订情况如下：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Calibri" w:hAnsi="Calibri"/>
          <w:b w:val="0"/>
          <w:bCs/>
          <w:color w:val="auto"/>
          <w:sz w:val="32"/>
          <w:lang w:val="en-US" w:eastAsia="zh-CN"/>
        </w:rPr>
      </w:pP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lang w:val="en-US" w:eastAsia="zh-CN"/>
        </w:rPr>
        <w:t>一、</w:t>
      </w:r>
      <w:r>
        <w:rPr>
          <w:rFonts w:hint="eastAsia" w:ascii="仿宋_GB2312" w:hAnsi="方正小标宋简体" w:cs="方正小标宋简体"/>
          <w:b w:val="0"/>
          <w:bCs/>
          <w:color w:val="000000"/>
          <w:szCs w:val="32"/>
          <w:lang w:val="en-US" w:eastAsia="zh-CN"/>
        </w:rPr>
        <w:t>针对原文部分表述进行调整优化。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/>
          <w:color w:val="auto"/>
          <w:szCs w:val="32"/>
          <w:highlight w:val="none"/>
          <w:lang w:eastAsia="zh-CN"/>
        </w:rPr>
      </w:pPr>
      <w:r>
        <w:rPr>
          <w:rFonts w:hint="eastAsia" w:ascii="Calibri" w:hAnsi="Calibri"/>
          <w:b w:val="0"/>
          <w:bCs/>
          <w:color w:val="auto"/>
          <w:sz w:val="32"/>
          <w:lang w:val="en-US" w:eastAsia="zh-CN"/>
        </w:rPr>
        <w:t>二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、将第一条中部分内容</w:t>
      </w:r>
      <w:r>
        <w:rPr>
          <w:rFonts w:hint="eastAsia" w:ascii="仿宋_GB2312" w:hAnsi="仿宋_GB2312" w:cs="仿宋_GB2312"/>
          <w:b/>
          <w:bCs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在通州区</w:t>
      </w:r>
      <w:r>
        <w:rPr>
          <w:rFonts w:hint="default" w:ascii="仿宋_GB2312" w:hAnsi="仿宋_GB2312" w:cs="仿宋_GB2312"/>
          <w:color w:val="auto"/>
          <w:szCs w:val="32"/>
          <w:highlight w:val="none"/>
        </w:rPr>
        <w:t>设立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的</w:t>
      </w:r>
      <w:r>
        <w:rPr>
          <w:rFonts w:ascii="仿宋_GB2312" w:hAnsi="仿宋_GB2312" w:cs="仿宋_GB2312"/>
          <w:color w:val="auto"/>
          <w:szCs w:val="32"/>
          <w:highlight w:val="none"/>
        </w:rPr>
        <w:t>S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基金及其管理企业、普通及有限合伙人、托管银行、中介服务等机构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”</w:t>
      </w:r>
      <w:r>
        <w:rPr>
          <w:rFonts w:hint="eastAsia" w:ascii="仿宋_GB2312" w:hAnsi="宋体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三、将第六条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仿宋" w:cs="仿宋_GB2312"/>
          <w:b/>
          <w:bCs/>
          <w:color w:val="auto"/>
          <w:szCs w:val="32"/>
          <w:highlight w:val="none"/>
          <w:shd w:val="clear" w:color="auto" w:fill="FFFFFF"/>
          <w:lang w:val="en-US" w:eastAsia="zh-CN"/>
        </w:rPr>
        <w:t>修改为</w:t>
      </w:r>
      <w:r>
        <w:rPr>
          <w:rFonts w:hint="eastAsia" w:ascii="仿宋_GB2312" w:hAnsi="仿宋" w:cs="仿宋_GB2312"/>
          <w:color w:val="auto"/>
          <w:szCs w:val="32"/>
          <w:highlight w:val="none"/>
          <w:shd w:val="clear" w:color="auto" w:fill="FFFFFF"/>
          <w:lang w:val="en-US" w:eastAsia="zh-CN"/>
        </w:rPr>
        <w:t>“</w:t>
      </w:r>
      <w:r>
        <w:rPr>
          <w:rFonts w:hint="eastAsia" w:ascii="仿宋_GB2312" w:hAnsi="仿宋" w:cs="仿宋_GB2312"/>
          <w:color w:val="auto"/>
          <w:szCs w:val="32"/>
          <w:highlight w:val="none"/>
          <w:shd w:val="clear" w:color="auto" w:fill="FFFFFF"/>
        </w:rPr>
        <w:t>对拟通过被投企业首发上市方式实现股权退出的S基金，视该转让环节贡献情况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给予</w:t>
      </w:r>
      <w:r>
        <w:rPr>
          <w:rFonts w:ascii="仿宋_GB2312" w:hAnsi="仿宋_GB2312" w:cs="仿宋_GB2312"/>
          <w:color w:val="auto"/>
          <w:szCs w:val="32"/>
          <w:highlight w:val="none"/>
        </w:rPr>
        <w:t>S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基金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四、将第八条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仿宋"/>
          <w:b/>
          <w:bCs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参照招商中介奖励办法按引进项目综合贡献情况、单个年度不超</w:t>
      </w:r>
      <w:r>
        <w:rPr>
          <w:rFonts w:ascii="仿宋_GB2312" w:hAnsi="仿宋_GB2312" w:cs="仿宋_GB2312"/>
          <w:color w:val="auto"/>
          <w:szCs w:val="32"/>
          <w:highlight w:val="none"/>
        </w:rPr>
        <w:t>500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万元给予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支持。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五、将第十条【承诺条款】</w:t>
      </w:r>
      <w:r>
        <w:rPr>
          <w:rFonts w:hint="eastAsia" w:ascii="仿宋_GB2312" w:hAnsi="仿宋"/>
          <w:b/>
          <w:bCs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cs="仿宋_GB2312"/>
          <w:b/>
          <w:color w:val="auto"/>
          <w:szCs w:val="32"/>
          <w:highlight w:val="none"/>
        </w:rPr>
        <w:t>【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长期运营支持</w:t>
      </w:r>
      <w:r>
        <w:rPr>
          <w:rFonts w:hint="eastAsia" w:ascii="仿宋_GB2312" w:hAnsi="仿宋_GB2312" w:cs="仿宋_GB2312"/>
          <w:b/>
          <w:color w:val="auto"/>
          <w:szCs w:val="32"/>
          <w:highlight w:val="none"/>
        </w:rPr>
        <w:t>】</w:t>
      </w:r>
      <w:r>
        <w:rPr>
          <w:rFonts w:ascii="仿宋_GB2312" w:hAnsi="仿宋_GB2312" w:cs="仿宋_GB2312"/>
          <w:b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b w:val="0"/>
          <w:bCs/>
          <w:color w:val="auto"/>
          <w:szCs w:val="32"/>
          <w:highlight w:val="none"/>
        </w:rPr>
        <w:t>建立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长效激励约束机制，</w:t>
      </w:r>
      <w:r>
        <w:rPr>
          <w:rFonts w:hint="eastAsia" w:ascii="仿宋_GB2312" w:hAnsi="仿宋_GB2312" w:cs="仿宋_GB2312"/>
          <w:b w:val="0"/>
          <w:bCs/>
          <w:color w:val="auto"/>
          <w:szCs w:val="32"/>
          <w:highlight w:val="none"/>
        </w:rPr>
        <w:t>支持S基金管理企业及基金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有序参与城市副中心优质产业项目建设，鼓励长期投资、价值投资，持续增强S基金服务实体经济的能力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宋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宋体"/>
          <w:color w:val="00000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北京市通州区金融服务办公室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cs="Times New Roman"/>
          <w:color w:val="000000"/>
        </w:rPr>
      </w:pPr>
      <w:r>
        <w:rPr>
          <w:rFonts w:hint="eastAsia" w:ascii="仿宋_GB2312" w:hAnsi="宋体" w:cs="Times New Roman"/>
          <w:color w:val="000000"/>
        </w:rPr>
        <w:t xml:space="preserve">                        </w:t>
      </w:r>
      <w:r>
        <w:rPr>
          <w:rFonts w:hint="eastAsia" w:ascii="仿宋_GB2312" w:hAnsi="宋体" w:eastAsia="仿宋_GB2312" w:cs="Times New Roman"/>
          <w:color w:val="000000"/>
        </w:rPr>
        <w:t xml:space="preserve">   2022年</w:t>
      </w:r>
      <w:r>
        <w:rPr>
          <w:rFonts w:hint="eastAsia" w:ascii="仿宋_GB2312" w:hAnsi="宋体" w:eastAsia="仿宋_GB2312" w:cs="Times New Roman"/>
          <w:color w:val="000000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</w:rPr>
        <w:t>月</w:t>
      </w:r>
      <w:r>
        <w:rPr>
          <w:rFonts w:hint="eastAsia" w:ascii="仿宋_GB2312" w:hAnsi="宋体" w:eastAsia="仿宋_GB2312" w:cs="Times New Roman"/>
          <w:color w:val="000000"/>
          <w:lang w:val="en-US" w:eastAsia="zh-CN"/>
        </w:rPr>
        <w:t>14</w:t>
      </w:r>
      <w:r>
        <w:rPr>
          <w:rFonts w:hint="eastAsia" w:ascii="仿宋_GB2312" w:hAnsi="宋体" w:eastAsia="仿宋_GB2312" w:cs="Times New Roman"/>
          <w:color w:val="00000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"/>
          <w:color w:val="auto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DM5OGRkOGU3YzczYzAxNzg4ODI3NWMzYjY1NzEifQ=="/>
  </w:docVars>
  <w:rsids>
    <w:rsidRoot w:val="00172A27"/>
    <w:rsid w:val="00065D12"/>
    <w:rsid w:val="0010257F"/>
    <w:rsid w:val="0011157B"/>
    <w:rsid w:val="00141EC2"/>
    <w:rsid w:val="001F0013"/>
    <w:rsid w:val="00206C63"/>
    <w:rsid w:val="002F4506"/>
    <w:rsid w:val="00322BF6"/>
    <w:rsid w:val="003A6B66"/>
    <w:rsid w:val="003F28AF"/>
    <w:rsid w:val="004A2926"/>
    <w:rsid w:val="005B2769"/>
    <w:rsid w:val="00671000"/>
    <w:rsid w:val="00752841"/>
    <w:rsid w:val="00811CA9"/>
    <w:rsid w:val="009B7C06"/>
    <w:rsid w:val="00A255E3"/>
    <w:rsid w:val="00C474B7"/>
    <w:rsid w:val="00C6595A"/>
    <w:rsid w:val="00CE65F8"/>
    <w:rsid w:val="00DD758B"/>
    <w:rsid w:val="00DE2F99"/>
    <w:rsid w:val="00E74015"/>
    <w:rsid w:val="00EC595C"/>
    <w:rsid w:val="01AA498B"/>
    <w:rsid w:val="027E6CBB"/>
    <w:rsid w:val="033E696D"/>
    <w:rsid w:val="034B0FA8"/>
    <w:rsid w:val="03DF1EFE"/>
    <w:rsid w:val="04642403"/>
    <w:rsid w:val="04652853"/>
    <w:rsid w:val="04BA76BE"/>
    <w:rsid w:val="0508091D"/>
    <w:rsid w:val="07132D6C"/>
    <w:rsid w:val="07A31495"/>
    <w:rsid w:val="08AF6C12"/>
    <w:rsid w:val="0A481318"/>
    <w:rsid w:val="0A7809B7"/>
    <w:rsid w:val="0C3B4B55"/>
    <w:rsid w:val="0C601702"/>
    <w:rsid w:val="0EB900BE"/>
    <w:rsid w:val="0F604FB7"/>
    <w:rsid w:val="10412DCE"/>
    <w:rsid w:val="10FE598E"/>
    <w:rsid w:val="119F2CCD"/>
    <w:rsid w:val="121216F1"/>
    <w:rsid w:val="130A23C8"/>
    <w:rsid w:val="14861F22"/>
    <w:rsid w:val="14975EDD"/>
    <w:rsid w:val="157D3325"/>
    <w:rsid w:val="16976668"/>
    <w:rsid w:val="17AB334F"/>
    <w:rsid w:val="180905FC"/>
    <w:rsid w:val="180E64B6"/>
    <w:rsid w:val="193463F1"/>
    <w:rsid w:val="19AC41D9"/>
    <w:rsid w:val="1AD11A1D"/>
    <w:rsid w:val="1BE74134"/>
    <w:rsid w:val="1C5B1EE6"/>
    <w:rsid w:val="1E875215"/>
    <w:rsid w:val="1EF236E7"/>
    <w:rsid w:val="236F28B6"/>
    <w:rsid w:val="238C4854"/>
    <w:rsid w:val="23EB52D4"/>
    <w:rsid w:val="244A2F6C"/>
    <w:rsid w:val="285D445F"/>
    <w:rsid w:val="28BD346F"/>
    <w:rsid w:val="29273AFB"/>
    <w:rsid w:val="292A336C"/>
    <w:rsid w:val="2A4B5348"/>
    <w:rsid w:val="2AA50EFC"/>
    <w:rsid w:val="2BC35157"/>
    <w:rsid w:val="2C1E2A85"/>
    <w:rsid w:val="2D9074FA"/>
    <w:rsid w:val="2DB971EC"/>
    <w:rsid w:val="30185253"/>
    <w:rsid w:val="31265D36"/>
    <w:rsid w:val="31603DCF"/>
    <w:rsid w:val="316311C9"/>
    <w:rsid w:val="32937E81"/>
    <w:rsid w:val="32952774"/>
    <w:rsid w:val="33645CF6"/>
    <w:rsid w:val="33750C59"/>
    <w:rsid w:val="33AB4F3C"/>
    <w:rsid w:val="33BA231E"/>
    <w:rsid w:val="34000F51"/>
    <w:rsid w:val="35035037"/>
    <w:rsid w:val="36323860"/>
    <w:rsid w:val="3772660A"/>
    <w:rsid w:val="37C4498C"/>
    <w:rsid w:val="38573934"/>
    <w:rsid w:val="38ED5C39"/>
    <w:rsid w:val="393F42CA"/>
    <w:rsid w:val="397C5BBC"/>
    <w:rsid w:val="3AAB300D"/>
    <w:rsid w:val="3E350391"/>
    <w:rsid w:val="3EE155DB"/>
    <w:rsid w:val="3EF02927"/>
    <w:rsid w:val="3EF47652"/>
    <w:rsid w:val="3F406FEE"/>
    <w:rsid w:val="3FD15E98"/>
    <w:rsid w:val="410540F2"/>
    <w:rsid w:val="42266597"/>
    <w:rsid w:val="433A3AD8"/>
    <w:rsid w:val="44632616"/>
    <w:rsid w:val="46B71AEA"/>
    <w:rsid w:val="491F7604"/>
    <w:rsid w:val="49691876"/>
    <w:rsid w:val="49952D80"/>
    <w:rsid w:val="4E21448E"/>
    <w:rsid w:val="4FCE6984"/>
    <w:rsid w:val="50083210"/>
    <w:rsid w:val="5133080F"/>
    <w:rsid w:val="515B7E90"/>
    <w:rsid w:val="52685034"/>
    <w:rsid w:val="52793941"/>
    <w:rsid w:val="539029BF"/>
    <w:rsid w:val="53C057E0"/>
    <w:rsid w:val="55807CEC"/>
    <w:rsid w:val="55BA1450"/>
    <w:rsid w:val="5654240B"/>
    <w:rsid w:val="57435475"/>
    <w:rsid w:val="587F428B"/>
    <w:rsid w:val="58EA20EF"/>
    <w:rsid w:val="5A5A6BDA"/>
    <w:rsid w:val="5AEE74A6"/>
    <w:rsid w:val="5B1E2634"/>
    <w:rsid w:val="5C645C72"/>
    <w:rsid w:val="5D1E0FD3"/>
    <w:rsid w:val="5DEC7830"/>
    <w:rsid w:val="5EDB7F18"/>
    <w:rsid w:val="5FFC08B7"/>
    <w:rsid w:val="60002EEE"/>
    <w:rsid w:val="6100792B"/>
    <w:rsid w:val="61042264"/>
    <w:rsid w:val="61C23B70"/>
    <w:rsid w:val="636D5D54"/>
    <w:rsid w:val="655C3007"/>
    <w:rsid w:val="666D0238"/>
    <w:rsid w:val="67C91DE0"/>
    <w:rsid w:val="68E819D9"/>
    <w:rsid w:val="69BD1DAE"/>
    <w:rsid w:val="69FF6448"/>
    <w:rsid w:val="6A2904FB"/>
    <w:rsid w:val="6A501604"/>
    <w:rsid w:val="6A5C1BD4"/>
    <w:rsid w:val="6C3B62C3"/>
    <w:rsid w:val="6C636A39"/>
    <w:rsid w:val="6CDC6F8F"/>
    <w:rsid w:val="6CE150CE"/>
    <w:rsid w:val="6EC97541"/>
    <w:rsid w:val="6F48081F"/>
    <w:rsid w:val="6FF46EB5"/>
    <w:rsid w:val="712F3046"/>
    <w:rsid w:val="73D40D0A"/>
    <w:rsid w:val="744523D5"/>
    <w:rsid w:val="755C14F5"/>
    <w:rsid w:val="76B83799"/>
    <w:rsid w:val="784529A4"/>
    <w:rsid w:val="788A2AAC"/>
    <w:rsid w:val="78BD2C24"/>
    <w:rsid w:val="79E95F19"/>
    <w:rsid w:val="7AC1208A"/>
    <w:rsid w:val="7B7908F3"/>
    <w:rsid w:val="7C772819"/>
    <w:rsid w:val="7CB4638C"/>
    <w:rsid w:val="7D9814C2"/>
    <w:rsid w:val="7EA63CD5"/>
    <w:rsid w:val="7EC35837"/>
    <w:rsid w:val="7F587460"/>
    <w:rsid w:val="7F9D1317"/>
    <w:rsid w:val="BDFBB0C5"/>
    <w:rsid w:val="C7F561DC"/>
    <w:rsid w:val="EF378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 w:cs="黑体"/>
      <w:b/>
      <w:sz w:val="30"/>
      <w:szCs w:val="3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qFormat/>
    <w:uiPriority w:val="0"/>
    <w:pPr>
      <w:spacing w:line="520" w:lineRule="exact"/>
      <w:ind w:firstLine="640" w:firstLineChars="200"/>
    </w:pPr>
    <w:rPr>
      <w:rFonts w:ascii="黑体" w:hAnsi="黑体" w:eastAsia="黑体" w:cs="仿宋_GB2312"/>
      <w:szCs w:val="32"/>
    </w:rPr>
  </w:style>
  <w:style w:type="character" w:styleId="10">
    <w:name w:val="page number"/>
    <w:basedOn w:val="9"/>
    <w:unhideWhenUsed/>
    <w:qFormat/>
    <w:uiPriority w:val="99"/>
    <w:rPr>
      <w:rFonts w:hint="default" w:cs="Times New Roman"/>
      <w:sz w:val="24"/>
      <w:szCs w:val="24"/>
    </w:rPr>
  </w:style>
  <w:style w:type="character" w:styleId="11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2">
    <w:name w:val="15"/>
    <w:basedOn w:val="9"/>
    <w:qFormat/>
    <w:uiPriority w:val="0"/>
    <w:rPr>
      <w:rFonts w:hint="default" w:ascii="Calibri" w:hAnsi="Calibri" w:cs="Calibri"/>
      <w:vertAlign w:val="superscript"/>
    </w:rPr>
  </w:style>
  <w:style w:type="character" w:customStyle="1" w:styleId="13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4">
    <w:name w:val="页眉 Char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870</Words>
  <Characters>909</Characters>
  <Lines>12</Lines>
  <Paragraphs>3</Paragraphs>
  <TotalTime>0</TotalTime>
  <ScaleCrop>false</ScaleCrop>
  <LinksUpToDate>false</LinksUpToDate>
  <CharactersWithSpaces>937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2021-05-20T10:33:00Z</dcterms:created>
  <dc:creator>刘世宇</dc:creator>
  <cp:lastModifiedBy>user</cp:lastModifiedBy>
  <cp:lastPrinted>2022-10-10T17:09:00Z</cp:lastPrinted>
  <dcterms:modified xsi:type="dcterms:W3CDTF">2022-10-15T09:51:46Z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1990400776F94E4B8565C44E7466A1CB</vt:lpwstr>
  </property>
</Properties>
</file>