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ind w:firstLine="0" w:firstLineChars="0"/>
        <w:rPr>
          <w:rFonts w:hint="eastAsia" w:ascii="黑体" w:hAnsi="黑体" w:eastAsia="黑体"/>
          <w:color w:val="000000" w:themeColor="text1"/>
          <w:sz w:val="32"/>
          <w:szCs w:val="28"/>
          <w:lang w:val="en-US" w:eastAsia="zh-CN"/>
          <w14:textFill>
            <w14:solidFill>
              <w14:schemeClr w14:val="tx1"/>
            </w14:solidFill>
          </w14:textFill>
        </w:rPr>
      </w:pPr>
      <w:bookmarkStart w:id="55" w:name="_GoBack"/>
      <w:bookmarkEnd w:id="55"/>
      <w:r>
        <w:rPr>
          <w:rFonts w:hint="eastAsia" w:ascii="黑体" w:hAnsi="黑体" w:eastAsia="黑体"/>
          <w:color w:val="000000" w:themeColor="text1"/>
          <w:sz w:val="32"/>
          <w:szCs w:val="28"/>
          <w14:textFill>
            <w14:solidFill>
              <w14:schemeClr w14:val="tx1"/>
            </w14:solidFill>
          </w14:textFill>
        </w:rPr>
        <w:t>附件</w:t>
      </w:r>
      <w:r>
        <w:rPr>
          <w:rFonts w:hint="eastAsia" w:ascii="黑体" w:hAnsi="黑体" w:eastAsia="黑体"/>
          <w:color w:val="000000" w:themeColor="text1"/>
          <w:sz w:val="32"/>
          <w:szCs w:val="28"/>
          <w:lang w:val="en-US" w:eastAsia="zh-CN"/>
          <w14:textFill>
            <w14:solidFill>
              <w14:schemeClr w14:val="tx1"/>
            </w14:solidFill>
          </w14:textFill>
        </w:rPr>
        <w:t>1</w:t>
      </w:r>
    </w:p>
    <w:p>
      <w:pPr>
        <w:spacing w:line="660" w:lineRule="exact"/>
        <w:ind w:firstLine="0" w:firstLineChars="0"/>
        <w:rPr>
          <w:rStyle w:val="30"/>
          <w:rFonts w:ascii="方正小标宋简体" w:hAnsi="方正小标宋简体" w:eastAsia="方正小标宋简体" w:cs="方正小标宋简体"/>
          <w:bCs/>
          <w:color w:val="000000" w:themeColor="text1"/>
          <w:sz w:val="52"/>
          <w:szCs w:val="52"/>
          <w14:textFill>
            <w14:solidFill>
              <w14:schemeClr w14:val="tx1"/>
            </w14:solidFill>
          </w14:textFill>
        </w:rPr>
      </w:pPr>
    </w:p>
    <w:p>
      <w:pPr>
        <w:spacing w:line="660" w:lineRule="exact"/>
        <w:ind w:firstLine="0" w:firstLineChars="0"/>
        <w:rPr>
          <w:rStyle w:val="30"/>
          <w:rFonts w:ascii="方正小标宋简体" w:hAnsi="方正小标宋简体" w:eastAsia="方正小标宋简体" w:cs="方正小标宋简体"/>
          <w:bCs/>
          <w:color w:val="000000" w:themeColor="text1"/>
          <w:sz w:val="52"/>
          <w:szCs w:val="52"/>
          <w14:textFill>
            <w14:solidFill>
              <w14:schemeClr w14:val="tx1"/>
            </w14:solidFill>
          </w14:textFill>
        </w:rPr>
      </w:pPr>
    </w:p>
    <w:p>
      <w:pPr>
        <w:spacing w:line="660" w:lineRule="exact"/>
        <w:ind w:firstLine="0" w:firstLineChars="0"/>
        <w:rPr>
          <w:rStyle w:val="30"/>
          <w:rFonts w:ascii="方正小标宋简体" w:hAnsi="方正小标宋简体" w:eastAsia="方正小标宋简体" w:cs="方正小标宋简体"/>
          <w:bCs/>
          <w:color w:val="000000" w:themeColor="text1"/>
          <w:sz w:val="52"/>
          <w:szCs w:val="52"/>
          <w14:textFill>
            <w14:solidFill>
              <w14:schemeClr w14:val="tx1"/>
            </w14:solidFill>
          </w14:textFill>
        </w:rPr>
      </w:pPr>
    </w:p>
    <w:p>
      <w:pPr>
        <w:spacing w:line="660" w:lineRule="exact"/>
        <w:ind w:firstLine="0" w:firstLineChars="0"/>
        <w:rPr>
          <w:rStyle w:val="30"/>
          <w:rFonts w:ascii="方正小标宋简体" w:hAnsi="方正小标宋简体" w:eastAsia="方正小标宋简体" w:cs="方正小标宋简体"/>
          <w:bCs/>
          <w:color w:val="000000" w:themeColor="text1"/>
          <w:sz w:val="52"/>
          <w:szCs w:val="52"/>
          <w14:textFill>
            <w14:solidFill>
              <w14:schemeClr w14:val="tx1"/>
            </w14:solidFill>
          </w14:textFill>
        </w:rPr>
      </w:pPr>
    </w:p>
    <w:p>
      <w:pPr>
        <w:spacing w:line="660" w:lineRule="exact"/>
        <w:ind w:firstLine="0" w:firstLineChars="0"/>
        <w:rPr>
          <w:rStyle w:val="30"/>
          <w:rFonts w:ascii="方正小标宋简体" w:hAnsi="方正小标宋简体" w:eastAsia="方正小标宋简体" w:cs="方正小标宋简体"/>
          <w:bCs/>
          <w:color w:val="000000" w:themeColor="text1"/>
          <w:sz w:val="52"/>
          <w:szCs w:val="52"/>
          <w14:textFill>
            <w14:solidFill>
              <w14:schemeClr w14:val="tx1"/>
            </w14:solidFill>
          </w14:textFill>
        </w:rPr>
      </w:pPr>
    </w:p>
    <w:p>
      <w:pPr>
        <w:spacing w:line="660" w:lineRule="exact"/>
        <w:ind w:firstLine="0" w:firstLineChars="0"/>
        <w:jc w:val="center"/>
        <w:rPr>
          <w:rStyle w:val="30"/>
          <w:rFonts w:ascii="方正小标宋简体" w:hAnsi="方正小标宋简体" w:eastAsia="方正小标宋简体" w:cs="方正小标宋简体"/>
          <w:bCs/>
          <w:color w:val="000000" w:themeColor="text1"/>
          <w:sz w:val="52"/>
          <w:szCs w:val="52"/>
          <w14:textFill>
            <w14:solidFill>
              <w14:schemeClr w14:val="tx1"/>
            </w14:solidFill>
          </w14:textFill>
        </w:rPr>
      </w:pPr>
      <w:bookmarkStart w:id="0" w:name="_Toc95733009"/>
      <w:r>
        <w:rPr>
          <w:rStyle w:val="30"/>
          <w:rFonts w:hint="eastAsia" w:ascii="方正小标宋简体" w:hAnsi="方正小标宋简体" w:eastAsia="方正小标宋简体" w:cs="方正小标宋简体"/>
          <w:bCs/>
          <w:color w:val="000000" w:themeColor="text1"/>
          <w:sz w:val="52"/>
          <w:szCs w:val="52"/>
          <w14:textFill>
            <w14:solidFill>
              <w14:schemeClr w14:val="tx1"/>
            </w14:solidFill>
          </w14:textFill>
        </w:rPr>
        <w:t>大兴区氢能产业发展</w:t>
      </w:r>
      <w:bookmarkEnd w:id="0"/>
      <w:r>
        <w:rPr>
          <w:rStyle w:val="30"/>
          <w:rFonts w:hint="eastAsia" w:ascii="方正小标宋简体" w:hAnsi="方正小标宋简体" w:eastAsia="方正小标宋简体" w:cs="方正小标宋简体"/>
          <w:bCs/>
          <w:color w:val="000000" w:themeColor="text1"/>
          <w:sz w:val="52"/>
          <w:szCs w:val="52"/>
          <w14:textFill>
            <w14:solidFill>
              <w14:schemeClr w14:val="tx1"/>
            </w14:solidFill>
          </w14:textFill>
        </w:rPr>
        <w:t>行动计划</w:t>
      </w:r>
    </w:p>
    <w:p>
      <w:pPr>
        <w:spacing w:line="660" w:lineRule="exact"/>
        <w:ind w:firstLine="0" w:firstLineChars="0"/>
        <w:jc w:val="center"/>
        <w:rPr>
          <w:rStyle w:val="30"/>
          <w:rFonts w:ascii="方正小标宋简体" w:hAnsi="方正小标宋简体" w:eastAsia="方正小标宋简体" w:cs="方正小标宋简体"/>
          <w:bCs/>
          <w:color w:val="000000" w:themeColor="text1"/>
          <w:sz w:val="52"/>
          <w:szCs w:val="52"/>
          <w14:textFill>
            <w14:solidFill>
              <w14:schemeClr w14:val="tx1"/>
            </w14:solidFill>
          </w14:textFill>
        </w:rPr>
      </w:pPr>
      <w:r>
        <w:rPr>
          <w:rStyle w:val="30"/>
          <w:rFonts w:hint="eastAsia" w:ascii="方正小标宋简体" w:hAnsi="方正小标宋简体" w:eastAsia="方正小标宋简体" w:cs="方正小标宋简体"/>
          <w:bCs/>
          <w:color w:val="000000" w:themeColor="text1"/>
          <w:sz w:val="52"/>
          <w:szCs w:val="52"/>
          <w14:textFill>
            <w14:solidFill>
              <w14:schemeClr w14:val="tx1"/>
            </w14:solidFill>
          </w14:textFill>
        </w:rPr>
        <w:t>（202</w:t>
      </w:r>
      <w:r>
        <w:rPr>
          <w:rStyle w:val="30"/>
          <w:rFonts w:ascii="方正小标宋简体" w:hAnsi="方正小标宋简体" w:eastAsia="方正小标宋简体" w:cs="方正小标宋简体"/>
          <w:bCs/>
          <w:color w:val="000000" w:themeColor="text1"/>
          <w:sz w:val="52"/>
          <w:szCs w:val="52"/>
          <w14:textFill>
            <w14:solidFill>
              <w14:schemeClr w14:val="tx1"/>
            </w14:solidFill>
          </w14:textFill>
        </w:rPr>
        <w:t>2</w:t>
      </w:r>
      <w:r>
        <w:rPr>
          <w:rStyle w:val="30"/>
          <w:rFonts w:hint="eastAsia" w:ascii="方正小标宋简体" w:hAnsi="方正小标宋简体" w:eastAsia="方正小标宋简体" w:cs="方正小标宋简体"/>
          <w:bCs/>
          <w:color w:val="000000" w:themeColor="text1"/>
          <w:sz w:val="52"/>
          <w:szCs w:val="52"/>
          <w14:textFill>
            <w14:solidFill>
              <w14:schemeClr w14:val="tx1"/>
            </w14:solidFill>
          </w14:textFill>
        </w:rPr>
        <w:t>-2025年）</w:t>
      </w:r>
    </w:p>
    <w:p>
      <w:pPr>
        <w:spacing w:line="660" w:lineRule="exact"/>
        <w:ind w:firstLine="0" w:firstLineChars="0"/>
        <w:jc w:val="center"/>
        <w:rPr>
          <w:rStyle w:val="30"/>
          <w:rFonts w:ascii="方正小标宋简体" w:hAnsi="方正小标宋简体" w:eastAsia="方正小标宋简体" w:cs="方正小标宋简体"/>
          <w:bCs/>
          <w:color w:val="000000" w:themeColor="text1"/>
          <w:sz w:val="36"/>
          <w:szCs w:val="36"/>
          <w:highlight w:val="yellow"/>
          <w14:textFill>
            <w14:solidFill>
              <w14:schemeClr w14:val="tx1"/>
            </w14:solidFill>
          </w14:textFill>
        </w:rPr>
      </w:pPr>
      <w:r>
        <w:rPr>
          <w:rStyle w:val="30"/>
          <w:rFonts w:hint="eastAsia" w:ascii="方正小标宋简体" w:hAnsi="方正小标宋简体" w:eastAsia="方正小标宋简体" w:cs="方正小标宋简体"/>
          <w:bCs/>
          <w:color w:val="000000" w:themeColor="text1"/>
          <w:sz w:val="36"/>
          <w:szCs w:val="36"/>
          <w:highlight w:val="none"/>
          <w14:textFill>
            <w14:solidFill>
              <w14:schemeClr w14:val="tx1"/>
            </w14:solidFill>
          </w14:textFill>
        </w:rPr>
        <w:t>（</w:t>
      </w:r>
      <w:r>
        <w:rPr>
          <w:rStyle w:val="30"/>
          <w:rFonts w:hint="eastAsia" w:hAnsi="方正小标宋简体" w:eastAsia="方正小标宋简体" w:cs="方正小标宋简体"/>
          <w:bCs/>
          <w:color w:val="000000"/>
          <w:sz w:val="36"/>
          <w:szCs w:val="36"/>
          <w:highlight w:val="none"/>
          <w:lang w:eastAsia="zh-CN"/>
        </w:rPr>
        <w:t>征求意见</w:t>
      </w:r>
      <w:r>
        <w:rPr>
          <w:rStyle w:val="30"/>
          <w:rFonts w:hint="eastAsia" w:ascii="方正小标宋简体" w:hAnsi="方正小标宋简体" w:eastAsia="方正小标宋简体" w:cs="方正小标宋简体"/>
          <w:bCs/>
          <w:color w:val="000000" w:themeColor="text1"/>
          <w:sz w:val="36"/>
          <w:szCs w:val="36"/>
          <w:highlight w:val="none"/>
          <w14:textFill>
            <w14:solidFill>
              <w14:schemeClr w14:val="tx1"/>
            </w14:solidFill>
          </w14:textFill>
        </w:rPr>
        <w:t>稿）</w:t>
      </w:r>
    </w:p>
    <w:p>
      <w:pPr>
        <w:spacing w:line="560" w:lineRule="exact"/>
        <w:ind w:firstLine="640"/>
        <w:jc w:val="center"/>
        <w:rPr>
          <w:rStyle w:val="30"/>
          <w:rFonts w:eastAsia="黑体"/>
          <w:bCs/>
          <w:color w:val="000000" w:themeColor="text1"/>
          <w:sz w:val="32"/>
          <w:szCs w:val="32"/>
          <w14:textFill>
            <w14:solidFill>
              <w14:schemeClr w14:val="tx1"/>
            </w14:solidFill>
          </w14:textFill>
        </w:rPr>
      </w:pPr>
    </w:p>
    <w:p>
      <w:pPr>
        <w:spacing w:line="560" w:lineRule="exact"/>
        <w:ind w:firstLine="640"/>
        <w:jc w:val="center"/>
        <w:rPr>
          <w:rStyle w:val="30"/>
          <w:rFonts w:ascii="楷体_GB2312" w:hAnsi="楷体_GB2312" w:eastAsia="楷体_GB2312" w:cs="楷体_GB2312"/>
          <w:bCs/>
          <w:color w:val="000000" w:themeColor="text1"/>
          <w:sz w:val="32"/>
          <w:szCs w:val="32"/>
          <w14:textFill>
            <w14:solidFill>
              <w14:schemeClr w14:val="tx1"/>
            </w14:solidFill>
          </w14:textFill>
        </w:rPr>
      </w:pPr>
    </w:p>
    <w:p>
      <w:pPr>
        <w:spacing w:line="560" w:lineRule="exact"/>
        <w:ind w:firstLine="640"/>
        <w:jc w:val="center"/>
        <w:rPr>
          <w:rStyle w:val="30"/>
          <w:rFonts w:ascii="楷体_GB2312" w:hAnsi="楷体_GB2312" w:eastAsia="楷体_GB2312" w:cs="楷体_GB2312"/>
          <w:bCs/>
          <w:color w:val="000000" w:themeColor="text1"/>
          <w:sz w:val="32"/>
          <w:szCs w:val="32"/>
          <w14:textFill>
            <w14:solidFill>
              <w14:schemeClr w14:val="tx1"/>
            </w14:solidFill>
          </w14:textFill>
        </w:rPr>
      </w:pPr>
    </w:p>
    <w:p>
      <w:pPr>
        <w:spacing w:line="560" w:lineRule="exact"/>
        <w:ind w:firstLine="640"/>
        <w:jc w:val="center"/>
        <w:rPr>
          <w:rStyle w:val="30"/>
          <w:rFonts w:ascii="楷体_GB2312" w:hAnsi="楷体_GB2312" w:eastAsia="楷体_GB2312" w:cs="楷体_GB2312"/>
          <w:bCs/>
          <w:color w:val="000000" w:themeColor="text1"/>
          <w:sz w:val="32"/>
          <w:szCs w:val="32"/>
          <w14:textFill>
            <w14:solidFill>
              <w14:schemeClr w14:val="tx1"/>
            </w14:solidFill>
          </w14:textFill>
        </w:rPr>
      </w:pPr>
    </w:p>
    <w:p>
      <w:pPr>
        <w:spacing w:line="560" w:lineRule="exact"/>
        <w:ind w:firstLine="640"/>
        <w:jc w:val="center"/>
        <w:rPr>
          <w:rStyle w:val="30"/>
          <w:rFonts w:ascii="楷体_GB2312" w:hAnsi="楷体_GB2312" w:eastAsia="楷体_GB2312" w:cs="楷体_GB2312"/>
          <w:bCs/>
          <w:color w:val="000000" w:themeColor="text1"/>
          <w:sz w:val="32"/>
          <w:szCs w:val="32"/>
          <w14:textFill>
            <w14:solidFill>
              <w14:schemeClr w14:val="tx1"/>
            </w14:solidFill>
          </w14:textFill>
        </w:rPr>
      </w:pPr>
    </w:p>
    <w:p>
      <w:pPr>
        <w:spacing w:line="560" w:lineRule="exact"/>
        <w:ind w:firstLine="640"/>
        <w:jc w:val="center"/>
        <w:rPr>
          <w:rStyle w:val="30"/>
          <w:rFonts w:ascii="楷体_GB2312" w:hAnsi="楷体_GB2312" w:eastAsia="楷体_GB2312" w:cs="楷体_GB2312"/>
          <w:bCs/>
          <w:color w:val="000000" w:themeColor="text1"/>
          <w:sz w:val="32"/>
          <w:szCs w:val="32"/>
          <w14:textFill>
            <w14:solidFill>
              <w14:schemeClr w14:val="tx1"/>
            </w14:solidFill>
          </w14:textFill>
        </w:rPr>
      </w:pPr>
    </w:p>
    <w:p>
      <w:pPr>
        <w:spacing w:line="560" w:lineRule="exact"/>
        <w:ind w:firstLine="640"/>
        <w:jc w:val="center"/>
        <w:rPr>
          <w:rStyle w:val="30"/>
          <w:rFonts w:ascii="楷体_GB2312" w:hAnsi="楷体_GB2312" w:eastAsia="楷体_GB2312" w:cs="楷体_GB2312"/>
          <w:bCs/>
          <w:color w:val="000000" w:themeColor="text1"/>
          <w:sz w:val="32"/>
          <w:szCs w:val="32"/>
          <w14:textFill>
            <w14:solidFill>
              <w14:schemeClr w14:val="tx1"/>
            </w14:solidFill>
          </w14:textFill>
        </w:rPr>
      </w:pPr>
    </w:p>
    <w:p>
      <w:pPr>
        <w:spacing w:line="560" w:lineRule="exact"/>
        <w:ind w:firstLine="640"/>
        <w:jc w:val="center"/>
        <w:rPr>
          <w:rStyle w:val="30"/>
          <w:rFonts w:ascii="楷体_GB2312" w:hAnsi="楷体_GB2312" w:eastAsia="楷体_GB2312" w:cs="楷体_GB2312"/>
          <w:bCs/>
          <w:color w:val="000000" w:themeColor="text1"/>
          <w:sz w:val="32"/>
          <w:szCs w:val="32"/>
          <w14:textFill>
            <w14:solidFill>
              <w14:schemeClr w14:val="tx1"/>
            </w14:solidFill>
          </w14:textFill>
        </w:rPr>
      </w:pPr>
    </w:p>
    <w:p>
      <w:pPr>
        <w:spacing w:line="560" w:lineRule="exact"/>
        <w:ind w:firstLine="0" w:firstLineChars="0"/>
        <w:jc w:val="both"/>
        <w:rPr>
          <w:rStyle w:val="30"/>
          <w:rFonts w:ascii="楷体_GB2312" w:hAnsi="楷体_GB2312" w:eastAsia="楷体_GB2312" w:cs="楷体_GB2312"/>
          <w:bCs/>
          <w:color w:val="000000" w:themeColor="text1"/>
          <w:sz w:val="32"/>
          <w:szCs w:val="32"/>
          <w14:textFill>
            <w14:solidFill>
              <w14:schemeClr w14:val="tx1"/>
            </w14:solidFill>
          </w14:textFill>
        </w:rPr>
      </w:pPr>
    </w:p>
    <w:p>
      <w:pPr>
        <w:spacing w:line="560" w:lineRule="exact"/>
        <w:ind w:firstLine="0" w:firstLineChars="0"/>
        <w:jc w:val="center"/>
        <w:rPr>
          <w:rStyle w:val="30"/>
          <w:rFonts w:ascii="楷体_GB2312" w:hAnsi="楷体_GB2312" w:eastAsia="楷体_GB2312" w:cs="楷体_GB2312"/>
          <w:bCs/>
          <w:color w:val="000000" w:themeColor="text1"/>
          <w:sz w:val="32"/>
          <w:szCs w:val="32"/>
          <w14:textFill>
            <w14:solidFill>
              <w14:schemeClr w14:val="tx1"/>
            </w14:solidFill>
          </w14:textFill>
        </w:rPr>
      </w:pPr>
      <w:r>
        <w:rPr>
          <w:rStyle w:val="30"/>
          <w:rFonts w:hint="eastAsia" w:ascii="楷体_GB2312" w:hAnsi="楷体_GB2312" w:eastAsia="楷体_GB2312" w:cs="楷体_GB2312"/>
          <w:bCs/>
          <w:color w:val="000000" w:themeColor="text1"/>
          <w:sz w:val="32"/>
          <w:szCs w:val="32"/>
          <w14:textFill>
            <w14:solidFill>
              <w14:schemeClr w14:val="tx1"/>
            </w14:solidFill>
          </w14:textFill>
        </w:rPr>
        <w:t>202</w:t>
      </w:r>
      <w:r>
        <w:rPr>
          <w:rStyle w:val="30"/>
          <w:rFonts w:ascii="楷体_GB2312" w:hAnsi="楷体_GB2312" w:eastAsia="楷体_GB2312" w:cs="楷体_GB2312"/>
          <w:bCs/>
          <w:color w:val="000000" w:themeColor="text1"/>
          <w:sz w:val="32"/>
          <w:szCs w:val="32"/>
          <w14:textFill>
            <w14:solidFill>
              <w14:schemeClr w14:val="tx1"/>
            </w14:solidFill>
          </w14:textFill>
        </w:rPr>
        <w:t>2</w:t>
      </w:r>
      <w:r>
        <w:rPr>
          <w:rStyle w:val="30"/>
          <w:rFonts w:hint="eastAsia" w:ascii="楷体_GB2312" w:hAnsi="楷体_GB2312" w:eastAsia="楷体_GB2312" w:cs="楷体_GB2312"/>
          <w:bCs/>
          <w:color w:val="000000" w:themeColor="text1"/>
          <w:sz w:val="32"/>
          <w:szCs w:val="32"/>
          <w14:textFill>
            <w14:solidFill>
              <w14:schemeClr w14:val="tx1"/>
            </w14:solidFill>
          </w14:textFill>
        </w:rPr>
        <w:t>年</w:t>
      </w:r>
      <w:r>
        <w:rPr>
          <w:rStyle w:val="30"/>
          <w:rFonts w:ascii="楷体_GB2312" w:hAnsi="楷体_GB2312" w:eastAsia="楷体_GB2312" w:cs="楷体_GB2312"/>
          <w:bCs/>
          <w:color w:val="000000" w:themeColor="text1"/>
          <w:sz w:val="32"/>
          <w:szCs w:val="32"/>
          <w14:textFill>
            <w14:solidFill>
              <w14:schemeClr w14:val="tx1"/>
            </w14:solidFill>
          </w14:textFill>
        </w:rPr>
        <w:t>7</w:t>
      </w:r>
      <w:r>
        <w:rPr>
          <w:rStyle w:val="30"/>
          <w:rFonts w:hint="eastAsia" w:ascii="楷体_GB2312" w:hAnsi="楷体_GB2312" w:eastAsia="楷体_GB2312" w:cs="楷体_GB2312"/>
          <w:bCs/>
          <w:color w:val="000000" w:themeColor="text1"/>
          <w:sz w:val="32"/>
          <w:szCs w:val="32"/>
          <w14:textFill>
            <w14:solidFill>
              <w14:schemeClr w14:val="tx1"/>
            </w14:solidFill>
          </w14:textFill>
        </w:rPr>
        <w:t>月</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Style w:val="30"/>
          <w:rFonts w:hint="eastAsia" w:ascii="黑体" w:hAnsi="黑体" w:eastAsia="黑体"/>
          <w:color w:val="000000" w:themeColor="text1"/>
          <w:sz w:val="40"/>
          <w:szCs w:val="40"/>
          <w:lang w:val="zh-CN"/>
          <w14:textFill>
            <w14:solidFill>
              <w14:schemeClr w14:val="tx1"/>
            </w14:solidFill>
          </w14:textFill>
        </w:rPr>
      </w:pPr>
      <w:r>
        <w:rPr>
          <w:rStyle w:val="30"/>
          <w:rFonts w:ascii="楷体_GB2312" w:hAnsi="楷体_GB2312" w:eastAsia="楷体_GB2312" w:cs="楷体_GB2312"/>
          <w:bCs/>
          <w:color w:val="000000" w:themeColor="text1"/>
          <w:sz w:val="32"/>
          <w:szCs w:val="32"/>
          <w14:textFill>
            <w14:solidFill>
              <w14:schemeClr w14:val="tx1"/>
            </w14:solidFill>
          </w14:textFill>
        </w:rPr>
        <w:br w:type="column"/>
      </w:r>
      <w:r>
        <w:rPr>
          <w:rStyle w:val="30"/>
          <w:rFonts w:hint="eastAsia" w:ascii="黑体" w:hAnsi="黑体" w:eastAsia="黑体"/>
          <w:color w:val="000000" w:themeColor="text1"/>
          <w:sz w:val="40"/>
          <w:szCs w:val="40"/>
          <w:lang w:val="zh-CN"/>
          <w14:textFill>
            <w14:solidFill>
              <w14:schemeClr w14:val="tx1"/>
            </w14:solidFill>
          </w14:textFill>
        </w:rPr>
        <w:t>目 录</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Style w:val="30"/>
          <w:rFonts w:hint="eastAsia" w:ascii="黑体" w:hAnsi="黑体" w:eastAsia="黑体"/>
          <w:color w:val="000000" w:themeColor="text1"/>
          <w:sz w:val="40"/>
          <w:szCs w:val="40"/>
          <w:lang w:val="zh-CN"/>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HAnsi" w:hAnsiTheme="minorHAnsi" w:eastAsiaTheme="minorEastAsia" w:cstheme="minorBidi"/>
          <w:b w:val="0"/>
          <w:bCs w:val="0"/>
          <w:color w:val="auto"/>
          <w:sz w:val="32"/>
          <w:szCs w:val="32"/>
        </w:rPr>
      </w:pPr>
      <w:r>
        <w:rPr>
          <w:rFonts w:cs="Times New Roman"/>
          <w:b w:val="0"/>
          <w:bCs w:val="0"/>
          <w:color w:val="auto"/>
          <w:kern w:val="0"/>
          <w:sz w:val="32"/>
          <w:szCs w:val="32"/>
        </w:rPr>
        <w:fldChar w:fldCharType="begin"/>
      </w:r>
      <w:r>
        <w:rPr>
          <w:rFonts w:cs="Times New Roman"/>
          <w:b w:val="0"/>
          <w:bCs w:val="0"/>
          <w:color w:val="auto"/>
          <w:kern w:val="0"/>
          <w:sz w:val="32"/>
          <w:szCs w:val="32"/>
        </w:rPr>
        <w:instrText xml:space="preserve"> TOC \o "1-2" \h \z \u </w:instrText>
      </w:r>
      <w:r>
        <w:rPr>
          <w:rFonts w:cs="Times New Roman"/>
          <w:b w:val="0"/>
          <w:bCs w:val="0"/>
          <w:color w:val="auto"/>
          <w:kern w:val="0"/>
          <w:sz w:val="32"/>
          <w:szCs w:val="32"/>
        </w:rPr>
        <w:fldChar w:fldCharType="separate"/>
      </w:r>
      <w:r>
        <w:rPr>
          <w:b w:val="0"/>
          <w:bCs w:val="0"/>
          <w:color w:val="auto"/>
          <w:sz w:val="32"/>
          <w:szCs w:val="32"/>
        </w:rPr>
        <w:fldChar w:fldCharType="begin"/>
      </w:r>
      <w:r>
        <w:rPr>
          <w:b w:val="0"/>
          <w:bCs w:val="0"/>
          <w:color w:val="auto"/>
          <w:sz w:val="32"/>
          <w:szCs w:val="32"/>
        </w:rPr>
        <w:instrText xml:space="preserve"> HYPERLINK \l "_Toc109580974" </w:instrText>
      </w:r>
      <w:r>
        <w:rPr>
          <w:b w:val="0"/>
          <w:bCs w:val="0"/>
          <w:color w:val="auto"/>
          <w:sz w:val="32"/>
          <w:szCs w:val="32"/>
        </w:rPr>
        <w:fldChar w:fldCharType="separate"/>
      </w:r>
      <w:r>
        <w:rPr>
          <w:rStyle w:val="18"/>
          <w:b w:val="0"/>
          <w:bCs w:val="0"/>
          <w:color w:val="auto"/>
          <w:sz w:val="32"/>
          <w:szCs w:val="32"/>
        </w:rPr>
        <w:t>一、发展基础与形势</w:t>
      </w:r>
      <w:r>
        <w:rPr>
          <w:b w:val="0"/>
          <w:bCs w:val="0"/>
          <w:color w:val="auto"/>
          <w:sz w:val="32"/>
          <w:szCs w:val="32"/>
        </w:rPr>
        <w:tab/>
      </w: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PAGEREF _Toc109580974 \h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rPr>
        <w:fldChar w:fldCharType="end"/>
      </w:r>
      <w:r>
        <w:rPr>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fldChar w:fldCharType="begin"/>
      </w:r>
      <w:r>
        <w:rPr>
          <w:rFonts w:hint="eastAsia" w:ascii="方正楷体_GBK" w:hAnsi="方正楷体_GBK" w:eastAsia="方正楷体_GBK" w:cs="方正楷体_GBK"/>
          <w:b w:val="0"/>
          <w:bCs w:val="0"/>
          <w:color w:val="auto"/>
          <w:sz w:val="32"/>
          <w:szCs w:val="32"/>
        </w:rPr>
        <w:instrText xml:space="preserve"> HYPERLINK \l "_Toc109580975" </w:instrText>
      </w:r>
      <w:r>
        <w:rPr>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（一）发展基础</w:t>
      </w:r>
      <w:r>
        <w:rPr>
          <w:rFonts w:hint="eastAsia" w:ascii="方正楷体_GBK" w:hAnsi="方正楷体_GBK" w:eastAsia="方正楷体_GBK" w:cs="方正楷体_GBK"/>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PAGEREF _Toc109580975 \h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1</w:t>
      </w:r>
      <w:r>
        <w:rPr>
          <w:rFonts w:hint="eastAsia" w:ascii="Times New Roman" w:hAnsi="Times New Roman" w:eastAsia="仿宋_GB2312" w:cs="Times New Roman"/>
          <w:b w:val="0"/>
          <w:bCs w:val="0"/>
          <w:color w:val="auto"/>
          <w:kern w:val="2"/>
          <w:sz w:val="32"/>
          <w:szCs w:val="32"/>
          <w:lang w:val="en-US" w:eastAsia="zh-CN" w:bidi="ar-SA"/>
        </w:rPr>
        <w:fldChar w:fldCharType="end"/>
      </w:r>
      <w:r>
        <w:rPr>
          <w:rFonts w:hint="eastAsia" w:ascii="方正楷体_GBK" w:hAnsi="方正楷体_GBK" w:eastAsia="方正楷体_GBK" w:cs="方正楷体_GBK"/>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fldChar w:fldCharType="begin"/>
      </w:r>
      <w:r>
        <w:rPr>
          <w:rFonts w:hint="eastAsia" w:ascii="方正楷体_GBK" w:hAnsi="方正楷体_GBK" w:eastAsia="方正楷体_GBK" w:cs="方正楷体_GBK"/>
          <w:b w:val="0"/>
          <w:bCs w:val="0"/>
          <w:color w:val="auto"/>
          <w:sz w:val="32"/>
          <w:szCs w:val="32"/>
        </w:rPr>
        <w:instrText xml:space="preserve"> HYPERLINK \l "_Toc109580976" </w:instrText>
      </w:r>
      <w:r>
        <w:rPr>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（二）发展形势</w:t>
      </w:r>
      <w:r>
        <w:rPr>
          <w:rFonts w:hint="eastAsia" w:ascii="方正楷体_GBK" w:hAnsi="方正楷体_GBK" w:eastAsia="方正楷体_GBK" w:cs="方正楷体_GBK"/>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PAGEREF _Toc109580976 \h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3</w:t>
      </w:r>
      <w:r>
        <w:rPr>
          <w:rFonts w:hint="eastAsia" w:ascii="Times New Roman" w:hAnsi="Times New Roman" w:eastAsia="仿宋_GB2312" w:cs="Times New Roman"/>
          <w:b w:val="0"/>
          <w:bCs w:val="0"/>
          <w:color w:val="auto"/>
          <w:kern w:val="2"/>
          <w:sz w:val="32"/>
          <w:szCs w:val="32"/>
          <w:lang w:val="en-US" w:eastAsia="zh-CN" w:bidi="ar-SA"/>
        </w:rPr>
        <w:fldChar w:fldCharType="end"/>
      </w:r>
      <w:r>
        <w:rPr>
          <w:rFonts w:hint="eastAsia" w:ascii="方正楷体_GBK" w:hAnsi="方正楷体_GBK" w:eastAsia="方正楷体_GBK" w:cs="方正楷体_GBK"/>
          <w:b w:val="0"/>
          <w:bCs w:val="0"/>
          <w:color w:val="auto"/>
          <w:sz w:val="32"/>
          <w:szCs w:val="32"/>
        </w:rPr>
        <w:fldChar w:fldCharType="end"/>
      </w: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HAnsi" w:hAnsiTheme="minorHAnsi" w:eastAsiaTheme="minorEastAsia" w:cstheme="minorBidi"/>
          <w:b w:val="0"/>
          <w:bCs w:val="0"/>
          <w:color w:val="auto"/>
          <w:sz w:val="32"/>
          <w:szCs w:val="32"/>
        </w:rPr>
      </w:pPr>
      <w:r>
        <w:rPr>
          <w:b w:val="0"/>
          <w:bCs w:val="0"/>
          <w:color w:val="auto"/>
          <w:sz w:val="32"/>
          <w:szCs w:val="32"/>
        </w:rPr>
        <w:fldChar w:fldCharType="begin"/>
      </w:r>
      <w:r>
        <w:rPr>
          <w:b w:val="0"/>
          <w:bCs w:val="0"/>
          <w:color w:val="auto"/>
          <w:sz w:val="32"/>
          <w:szCs w:val="32"/>
        </w:rPr>
        <w:instrText xml:space="preserve"> HYPERLINK \l "_Toc109580977" </w:instrText>
      </w:r>
      <w:r>
        <w:rPr>
          <w:b w:val="0"/>
          <w:bCs w:val="0"/>
          <w:color w:val="auto"/>
          <w:sz w:val="32"/>
          <w:szCs w:val="32"/>
        </w:rPr>
        <w:fldChar w:fldCharType="separate"/>
      </w:r>
      <w:r>
        <w:rPr>
          <w:rStyle w:val="18"/>
          <w:b w:val="0"/>
          <w:bCs w:val="0"/>
          <w:color w:val="auto"/>
          <w:sz w:val="32"/>
          <w:szCs w:val="32"/>
        </w:rPr>
        <w:t>二、总体要求</w:t>
      </w:r>
      <w:r>
        <w:rPr>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t>4</w:t>
      </w:r>
      <w:r>
        <w:rPr>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Style w:val="18"/>
          <w:rFonts w:hint="eastAsia" w:ascii="方正楷体_GBK" w:hAnsi="方正楷体_GBK" w:eastAsia="方正楷体_GBK" w:cs="方正楷体_GBK"/>
          <w:b w:val="0"/>
          <w:bCs w:val="0"/>
          <w:color w:val="auto"/>
          <w:sz w:val="32"/>
          <w:szCs w:val="32"/>
        </w:rPr>
      </w:pPr>
      <w:r>
        <w:rPr>
          <w:rStyle w:val="18"/>
          <w:rFonts w:hint="eastAsia" w:ascii="方正楷体_GBK" w:hAnsi="方正楷体_GBK" w:eastAsia="方正楷体_GBK" w:cs="方正楷体_GBK"/>
          <w:b w:val="0"/>
          <w:bCs w:val="0"/>
          <w:color w:val="auto"/>
          <w:sz w:val="32"/>
          <w:szCs w:val="32"/>
        </w:rPr>
        <w:fldChar w:fldCharType="begin"/>
      </w:r>
      <w:r>
        <w:rPr>
          <w:rStyle w:val="18"/>
          <w:rFonts w:hint="eastAsia" w:ascii="方正楷体_GBK" w:hAnsi="方正楷体_GBK" w:eastAsia="方正楷体_GBK" w:cs="方正楷体_GBK"/>
          <w:b w:val="0"/>
          <w:bCs w:val="0"/>
          <w:color w:val="auto"/>
          <w:sz w:val="32"/>
          <w:szCs w:val="32"/>
        </w:rPr>
        <w:instrText xml:space="preserve"> HYPERLINK \l "_Toc109580978" </w:instrText>
      </w:r>
      <w:r>
        <w:rPr>
          <w:rStyle w:val="18"/>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（一）指导思想</w:t>
      </w:r>
      <w:r>
        <w:rPr>
          <w:rStyle w:val="18"/>
          <w:rFonts w:hint="eastAsia" w:ascii="方正楷体_GBK" w:hAnsi="方正楷体_GBK" w:eastAsia="方正楷体_GBK" w:cs="方正楷体_GBK"/>
          <w:b w:val="0"/>
          <w:bCs w:val="0"/>
          <w:color w:val="auto"/>
          <w:sz w:val="32"/>
          <w:szCs w:val="32"/>
        </w:rPr>
        <w:tab/>
      </w:r>
      <w:r>
        <w:rPr>
          <w:rFonts w:hint="eastAsia" w:cs="Times New Roman"/>
          <w:b w:val="0"/>
          <w:bCs w:val="0"/>
          <w:color w:val="auto"/>
          <w:kern w:val="2"/>
          <w:sz w:val="32"/>
          <w:szCs w:val="32"/>
          <w:lang w:val="en-US" w:eastAsia="zh-CN" w:bidi="ar-SA"/>
        </w:rPr>
        <w:t>4</w:t>
      </w:r>
      <w:r>
        <w:rPr>
          <w:rStyle w:val="18"/>
          <w:rFonts w:hint="eastAsia" w:ascii="方正楷体_GBK" w:hAnsi="方正楷体_GBK" w:eastAsia="方正楷体_GBK" w:cs="方正楷体_GBK"/>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Style w:val="18"/>
          <w:rFonts w:hint="eastAsia" w:ascii="方正楷体_GBK" w:hAnsi="方正楷体_GBK" w:eastAsia="方正楷体_GBK" w:cs="方正楷体_GBK"/>
          <w:b w:val="0"/>
          <w:bCs w:val="0"/>
          <w:color w:val="auto"/>
          <w:sz w:val="32"/>
          <w:szCs w:val="32"/>
        </w:rPr>
      </w:pPr>
      <w:r>
        <w:rPr>
          <w:rStyle w:val="18"/>
          <w:rFonts w:hint="eastAsia" w:ascii="方正楷体_GBK" w:hAnsi="方正楷体_GBK" w:eastAsia="方正楷体_GBK" w:cs="方正楷体_GBK"/>
          <w:b w:val="0"/>
          <w:bCs w:val="0"/>
          <w:color w:val="auto"/>
          <w:sz w:val="32"/>
          <w:szCs w:val="32"/>
        </w:rPr>
        <w:fldChar w:fldCharType="begin"/>
      </w:r>
      <w:r>
        <w:rPr>
          <w:rStyle w:val="18"/>
          <w:rFonts w:hint="eastAsia" w:ascii="方正楷体_GBK" w:hAnsi="方正楷体_GBK" w:eastAsia="方正楷体_GBK" w:cs="方正楷体_GBK"/>
          <w:b w:val="0"/>
          <w:bCs w:val="0"/>
          <w:color w:val="auto"/>
          <w:sz w:val="32"/>
          <w:szCs w:val="32"/>
        </w:rPr>
        <w:instrText xml:space="preserve"> HYPERLINK \l "_Toc109580979" </w:instrText>
      </w:r>
      <w:r>
        <w:rPr>
          <w:rStyle w:val="18"/>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（二）基本原则</w:t>
      </w:r>
      <w:r>
        <w:rPr>
          <w:rStyle w:val="18"/>
          <w:rFonts w:hint="eastAsia" w:ascii="方正楷体_GBK" w:hAnsi="方正楷体_GBK" w:eastAsia="方正楷体_GBK" w:cs="方正楷体_GBK"/>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PAGEREF _Toc109580979 \h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5</w:t>
      </w:r>
      <w:r>
        <w:rPr>
          <w:rFonts w:hint="eastAsia" w:ascii="Times New Roman" w:hAnsi="Times New Roman" w:eastAsia="仿宋_GB2312" w:cs="Times New Roman"/>
          <w:b w:val="0"/>
          <w:bCs w:val="0"/>
          <w:color w:val="auto"/>
          <w:kern w:val="2"/>
          <w:sz w:val="32"/>
          <w:szCs w:val="32"/>
          <w:lang w:val="en-US" w:eastAsia="zh-CN" w:bidi="ar-SA"/>
        </w:rPr>
        <w:fldChar w:fldCharType="end"/>
      </w:r>
      <w:r>
        <w:rPr>
          <w:rStyle w:val="18"/>
          <w:rFonts w:hint="eastAsia" w:ascii="方正楷体_GBK" w:hAnsi="方正楷体_GBK" w:eastAsia="方正楷体_GBK" w:cs="方正楷体_GBK"/>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Style w:val="18"/>
          <w:rFonts w:hint="eastAsia" w:ascii="方正楷体_GBK" w:hAnsi="方正楷体_GBK" w:eastAsia="方正楷体_GBK" w:cs="方正楷体_GBK"/>
          <w:b w:val="0"/>
          <w:bCs w:val="0"/>
          <w:color w:val="auto"/>
          <w:sz w:val="32"/>
          <w:szCs w:val="32"/>
        </w:rPr>
      </w:pPr>
      <w:r>
        <w:rPr>
          <w:rStyle w:val="18"/>
          <w:rFonts w:hint="eastAsia" w:ascii="方正楷体_GBK" w:hAnsi="方正楷体_GBK" w:eastAsia="方正楷体_GBK" w:cs="方正楷体_GBK"/>
          <w:b w:val="0"/>
          <w:bCs w:val="0"/>
          <w:color w:val="auto"/>
          <w:sz w:val="32"/>
          <w:szCs w:val="32"/>
        </w:rPr>
        <w:fldChar w:fldCharType="begin"/>
      </w:r>
      <w:r>
        <w:rPr>
          <w:rStyle w:val="18"/>
          <w:rFonts w:hint="eastAsia" w:ascii="方正楷体_GBK" w:hAnsi="方正楷体_GBK" w:eastAsia="方正楷体_GBK" w:cs="方正楷体_GBK"/>
          <w:b w:val="0"/>
          <w:bCs w:val="0"/>
          <w:color w:val="auto"/>
          <w:sz w:val="32"/>
          <w:szCs w:val="32"/>
        </w:rPr>
        <w:instrText xml:space="preserve"> HYPERLINK \l "_Toc109580980" </w:instrText>
      </w:r>
      <w:r>
        <w:rPr>
          <w:rStyle w:val="18"/>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（三）发展目标</w:t>
      </w:r>
      <w:r>
        <w:rPr>
          <w:rStyle w:val="18"/>
          <w:rFonts w:hint="eastAsia" w:ascii="方正楷体_GBK" w:hAnsi="方正楷体_GBK" w:eastAsia="方正楷体_GBK" w:cs="方正楷体_GBK"/>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PAGEREF _Toc109580980 \h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6</w:t>
      </w:r>
      <w:r>
        <w:rPr>
          <w:rFonts w:hint="eastAsia" w:ascii="Times New Roman" w:hAnsi="Times New Roman" w:eastAsia="仿宋_GB2312" w:cs="Times New Roman"/>
          <w:b w:val="0"/>
          <w:bCs w:val="0"/>
          <w:color w:val="auto"/>
          <w:kern w:val="2"/>
          <w:sz w:val="32"/>
          <w:szCs w:val="32"/>
          <w:lang w:val="en-US" w:eastAsia="zh-CN" w:bidi="ar-SA"/>
        </w:rPr>
        <w:fldChar w:fldCharType="end"/>
      </w:r>
      <w:r>
        <w:rPr>
          <w:rStyle w:val="18"/>
          <w:rFonts w:hint="eastAsia" w:ascii="方正楷体_GBK" w:hAnsi="方正楷体_GBK" w:eastAsia="方正楷体_GBK" w:cs="方正楷体_GBK"/>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Style w:val="18"/>
          <w:rFonts w:hint="eastAsia" w:ascii="方正楷体_GBK" w:hAnsi="方正楷体_GBK" w:eastAsia="方正楷体_GBK" w:cs="方正楷体_GBK"/>
          <w:b w:val="0"/>
          <w:bCs w:val="0"/>
          <w:color w:val="auto"/>
          <w:sz w:val="32"/>
          <w:szCs w:val="32"/>
        </w:rPr>
      </w:pPr>
      <w:r>
        <w:rPr>
          <w:rStyle w:val="18"/>
          <w:rFonts w:hint="eastAsia" w:ascii="方正楷体_GBK" w:hAnsi="方正楷体_GBK" w:eastAsia="方正楷体_GBK" w:cs="方正楷体_GBK"/>
          <w:b w:val="0"/>
          <w:bCs w:val="0"/>
          <w:color w:val="auto"/>
          <w:sz w:val="32"/>
          <w:szCs w:val="32"/>
        </w:rPr>
        <w:fldChar w:fldCharType="begin"/>
      </w:r>
      <w:r>
        <w:rPr>
          <w:rStyle w:val="18"/>
          <w:rFonts w:hint="eastAsia" w:ascii="方正楷体_GBK" w:hAnsi="方正楷体_GBK" w:eastAsia="方正楷体_GBK" w:cs="方正楷体_GBK"/>
          <w:b w:val="0"/>
          <w:bCs w:val="0"/>
          <w:color w:val="auto"/>
          <w:sz w:val="32"/>
          <w:szCs w:val="32"/>
        </w:rPr>
        <w:instrText xml:space="preserve"> HYPERLINK \l "_Toc109580981" </w:instrText>
      </w:r>
      <w:r>
        <w:rPr>
          <w:rStyle w:val="18"/>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（四）空间布局</w:t>
      </w:r>
      <w:r>
        <w:rPr>
          <w:rStyle w:val="18"/>
          <w:rFonts w:hint="eastAsia" w:ascii="方正楷体_GBK" w:hAnsi="方正楷体_GBK" w:eastAsia="方正楷体_GBK" w:cs="方正楷体_GBK"/>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PAGEREF _Toc109580981 \h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7</w:t>
      </w:r>
      <w:r>
        <w:rPr>
          <w:rFonts w:hint="eastAsia" w:ascii="Times New Roman" w:hAnsi="Times New Roman" w:eastAsia="仿宋_GB2312" w:cs="Times New Roman"/>
          <w:b w:val="0"/>
          <w:bCs w:val="0"/>
          <w:color w:val="auto"/>
          <w:kern w:val="2"/>
          <w:sz w:val="32"/>
          <w:szCs w:val="32"/>
          <w:lang w:val="en-US" w:eastAsia="zh-CN" w:bidi="ar-SA"/>
        </w:rPr>
        <w:fldChar w:fldCharType="end"/>
      </w:r>
      <w:r>
        <w:rPr>
          <w:rStyle w:val="18"/>
          <w:rFonts w:hint="eastAsia" w:ascii="方正楷体_GBK" w:hAnsi="方正楷体_GBK" w:eastAsia="方正楷体_GBK" w:cs="方正楷体_GBK"/>
          <w:b w:val="0"/>
          <w:bCs w:val="0"/>
          <w:color w:val="auto"/>
          <w:sz w:val="32"/>
          <w:szCs w:val="32"/>
        </w:rPr>
        <w:fldChar w:fldCharType="end"/>
      </w: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HAnsi" w:hAnsiTheme="minorHAnsi" w:eastAsiaTheme="minorEastAsia" w:cstheme="minorBidi"/>
          <w:b w:val="0"/>
          <w:bCs w:val="0"/>
          <w:color w:val="auto"/>
          <w:sz w:val="32"/>
          <w:szCs w:val="32"/>
        </w:rPr>
      </w:pPr>
      <w:r>
        <w:rPr>
          <w:b w:val="0"/>
          <w:bCs w:val="0"/>
          <w:color w:val="auto"/>
          <w:sz w:val="32"/>
          <w:szCs w:val="32"/>
        </w:rPr>
        <w:fldChar w:fldCharType="begin"/>
      </w:r>
      <w:r>
        <w:rPr>
          <w:b w:val="0"/>
          <w:bCs w:val="0"/>
          <w:color w:val="auto"/>
          <w:sz w:val="32"/>
          <w:szCs w:val="32"/>
        </w:rPr>
        <w:instrText xml:space="preserve"> HYPERLINK \l "_Toc109580982" </w:instrText>
      </w:r>
      <w:r>
        <w:rPr>
          <w:b w:val="0"/>
          <w:bCs w:val="0"/>
          <w:color w:val="auto"/>
          <w:sz w:val="32"/>
          <w:szCs w:val="32"/>
        </w:rPr>
        <w:fldChar w:fldCharType="separate"/>
      </w:r>
      <w:r>
        <w:rPr>
          <w:rStyle w:val="18"/>
          <w:b w:val="0"/>
          <w:bCs w:val="0"/>
          <w:color w:val="auto"/>
          <w:sz w:val="32"/>
          <w:szCs w:val="32"/>
        </w:rPr>
        <w:t>三、重点任务</w:t>
      </w:r>
      <w:r>
        <w:rPr>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PAGEREF _Toc109580982 \h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8</w:t>
      </w:r>
      <w:r>
        <w:rPr>
          <w:rFonts w:hint="eastAsia" w:ascii="Times New Roman" w:hAnsi="Times New Roman" w:eastAsia="仿宋_GB2312" w:cs="Times New Roman"/>
          <w:b w:val="0"/>
          <w:bCs w:val="0"/>
          <w:color w:val="auto"/>
          <w:kern w:val="2"/>
          <w:sz w:val="32"/>
          <w:szCs w:val="32"/>
          <w:lang w:val="en-US" w:eastAsia="zh-CN" w:bidi="ar-SA"/>
        </w:rPr>
        <w:fldChar w:fldCharType="end"/>
      </w:r>
      <w:r>
        <w:rPr>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Style w:val="18"/>
          <w:rFonts w:hint="eastAsia" w:ascii="方正楷体_GBK" w:hAnsi="方正楷体_GBK" w:eastAsia="方正楷体_GBK" w:cs="方正楷体_GBK"/>
          <w:b w:val="0"/>
          <w:bCs w:val="0"/>
          <w:color w:val="auto"/>
          <w:sz w:val="32"/>
          <w:szCs w:val="32"/>
        </w:rPr>
      </w:pPr>
      <w:r>
        <w:rPr>
          <w:rStyle w:val="18"/>
          <w:rFonts w:hint="eastAsia" w:ascii="方正楷体_GBK" w:hAnsi="方正楷体_GBK" w:eastAsia="方正楷体_GBK" w:cs="方正楷体_GBK"/>
          <w:b w:val="0"/>
          <w:bCs w:val="0"/>
          <w:color w:val="auto"/>
          <w:sz w:val="32"/>
          <w:szCs w:val="32"/>
        </w:rPr>
        <w:fldChar w:fldCharType="begin"/>
      </w:r>
      <w:r>
        <w:rPr>
          <w:rStyle w:val="18"/>
          <w:rFonts w:hint="eastAsia" w:ascii="方正楷体_GBK" w:hAnsi="方正楷体_GBK" w:eastAsia="方正楷体_GBK" w:cs="方正楷体_GBK"/>
          <w:b w:val="0"/>
          <w:bCs w:val="0"/>
          <w:color w:val="auto"/>
          <w:sz w:val="32"/>
          <w:szCs w:val="32"/>
        </w:rPr>
        <w:instrText xml:space="preserve"> HYPERLINK \l "_Toc109580983" </w:instrText>
      </w:r>
      <w:r>
        <w:rPr>
          <w:rStyle w:val="18"/>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（一）持续提升关键核心技术</w:t>
      </w:r>
      <w:r>
        <w:rPr>
          <w:rStyle w:val="18"/>
          <w:rFonts w:hint="eastAsia" w:ascii="方正楷体_GBK" w:hAnsi="方正楷体_GBK" w:eastAsia="方正楷体_GBK" w:cs="方正楷体_GBK"/>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PAGEREF _Toc109580983 \h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8</w:t>
      </w:r>
      <w:r>
        <w:rPr>
          <w:rFonts w:hint="eastAsia" w:ascii="Times New Roman" w:hAnsi="Times New Roman" w:eastAsia="仿宋_GB2312" w:cs="Times New Roman"/>
          <w:b w:val="0"/>
          <w:bCs w:val="0"/>
          <w:color w:val="auto"/>
          <w:kern w:val="2"/>
          <w:sz w:val="32"/>
          <w:szCs w:val="32"/>
          <w:lang w:val="en-US" w:eastAsia="zh-CN" w:bidi="ar-SA"/>
        </w:rPr>
        <w:fldChar w:fldCharType="end"/>
      </w:r>
      <w:r>
        <w:rPr>
          <w:rStyle w:val="18"/>
          <w:rFonts w:hint="eastAsia" w:ascii="方正楷体_GBK" w:hAnsi="方正楷体_GBK" w:eastAsia="方正楷体_GBK" w:cs="方正楷体_GBK"/>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Style w:val="18"/>
          <w:rFonts w:hint="eastAsia" w:ascii="方正楷体_GBK" w:hAnsi="方正楷体_GBK" w:eastAsia="方正楷体_GBK" w:cs="方正楷体_GBK"/>
          <w:b w:val="0"/>
          <w:bCs w:val="0"/>
          <w:color w:val="auto"/>
          <w:sz w:val="32"/>
          <w:szCs w:val="32"/>
        </w:rPr>
      </w:pPr>
      <w:r>
        <w:rPr>
          <w:rStyle w:val="18"/>
          <w:rFonts w:hint="eastAsia" w:ascii="方正楷体_GBK" w:hAnsi="方正楷体_GBK" w:eastAsia="方正楷体_GBK" w:cs="方正楷体_GBK"/>
          <w:b w:val="0"/>
          <w:bCs w:val="0"/>
          <w:color w:val="auto"/>
          <w:sz w:val="32"/>
          <w:szCs w:val="32"/>
        </w:rPr>
        <w:fldChar w:fldCharType="begin"/>
      </w:r>
      <w:r>
        <w:rPr>
          <w:rStyle w:val="18"/>
          <w:rFonts w:hint="eastAsia" w:ascii="方正楷体_GBK" w:hAnsi="方正楷体_GBK" w:eastAsia="方正楷体_GBK" w:cs="方正楷体_GBK"/>
          <w:b w:val="0"/>
          <w:bCs w:val="0"/>
          <w:color w:val="auto"/>
          <w:sz w:val="32"/>
          <w:szCs w:val="32"/>
        </w:rPr>
        <w:instrText xml:space="preserve"> HYPERLINK \l "_Toc109580984" </w:instrText>
      </w:r>
      <w:r>
        <w:rPr>
          <w:rStyle w:val="18"/>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（二）加速产业链条全面集聚</w:t>
      </w:r>
      <w:r>
        <w:rPr>
          <w:rStyle w:val="18"/>
          <w:rFonts w:hint="eastAsia" w:ascii="方正楷体_GBK" w:hAnsi="方正楷体_GBK" w:eastAsia="方正楷体_GBK" w:cs="方正楷体_GBK"/>
          <w:b w:val="0"/>
          <w:bCs w:val="0"/>
          <w:color w:val="auto"/>
          <w:sz w:val="32"/>
          <w:szCs w:val="32"/>
        </w:rPr>
        <w:tab/>
      </w:r>
      <w:r>
        <w:rPr>
          <w:rFonts w:hint="eastAsia" w:cs="Times New Roman"/>
          <w:b w:val="0"/>
          <w:bCs w:val="0"/>
          <w:color w:val="auto"/>
          <w:kern w:val="2"/>
          <w:sz w:val="32"/>
          <w:szCs w:val="32"/>
          <w:lang w:val="en-US" w:eastAsia="zh-CN" w:bidi="ar-SA"/>
        </w:rPr>
        <w:t>8</w:t>
      </w:r>
      <w:r>
        <w:rPr>
          <w:rStyle w:val="18"/>
          <w:rFonts w:hint="eastAsia" w:ascii="方正楷体_GBK" w:hAnsi="方正楷体_GBK" w:eastAsia="方正楷体_GBK" w:cs="方正楷体_GBK"/>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Style w:val="18"/>
          <w:rFonts w:hint="eastAsia" w:ascii="方正楷体_GBK" w:hAnsi="方正楷体_GBK" w:eastAsia="方正楷体_GBK" w:cs="方正楷体_GBK"/>
          <w:b w:val="0"/>
          <w:bCs w:val="0"/>
          <w:color w:val="auto"/>
          <w:sz w:val="32"/>
          <w:szCs w:val="32"/>
        </w:rPr>
      </w:pPr>
      <w:r>
        <w:rPr>
          <w:rStyle w:val="18"/>
          <w:rFonts w:hint="eastAsia" w:ascii="方正楷体_GBK" w:hAnsi="方正楷体_GBK" w:eastAsia="方正楷体_GBK" w:cs="方正楷体_GBK"/>
          <w:b w:val="0"/>
          <w:bCs w:val="0"/>
          <w:color w:val="auto"/>
          <w:sz w:val="32"/>
          <w:szCs w:val="32"/>
        </w:rPr>
        <w:fldChar w:fldCharType="begin"/>
      </w:r>
      <w:r>
        <w:rPr>
          <w:rStyle w:val="18"/>
          <w:rFonts w:hint="eastAsia" w:ascii="方正楷体_GBK" w:hAnsi="方正楷体_GBK" w:eastAsia="方正楷体_GBK" w:cs="方正楷体_GBK"/>
          <w:b w:val="0"/>
          <w:bCs w:val="0"/>
          <w:color w:val="auto"/>
          <w:sz w:val="32"/>
          <w:szCs w:val="32"/>
        </w:rPr>
        <w:instrText xml:space="preserve"> HYPERLINK \l "_Toc109580985" </w:instrText>
      </w:r>
      <w:r>
        <w:rPr>
          <w:rStyle w:val="18"/>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（三）全力打造氢能应用场景</w:t>
      </w:r>
      <w:r>
        <w:rPr>
          <w:rStyle w:val="18"/>
          <w:rFonts w:hint="eastAsia" w:ascii="方正楷体_GBK" w:hAnsi="方正楷体_GBK" w:eastAsia="方正楷体_GBK" w:cs="方正楷体_GBK"/>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PAGEREF _Toc109580985 \h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10</w:t>
      </w:r>
      <w:r>
        <w:rPr>
          <w:rFonts w:hint="eastAsia" w:ascii="Times New Roman" w:hAnsi="Times New Roman" w:eastAsia="仿宋_GB2312" w:cs="Times New Roman"/>
          <w:b w:val="0"/>
          <w:bCs w:val="0"/>
          <w:color w:val="auto"/>
          <w:kern w:val="2"/>
          <w:sz w:val="32"/>
          <w:szCs w:val="32"/>
          <w:lang w:val="en-US" w:eastAsia="zh-CN" w:bidi="ar-SA"/>
        </w:rPr>
        <w:fldChar w:fldCharType="end"/>
      </w:r>
      <w:r>
        <w:rPr>
          <w:rStyle w:val="18"/>
          <w:rFonts w:hint="eastAsia" w:ascii="方正楷体_GBK" w:hAnsi="方正楷体_GBK" w:eastAsia="方正楷体_GBK" w:cs="方正楷体_GBK"/>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Style w:val="18"/>
          <w:rFonts w:hint="eastAsia" w:ascii="方正楷体_GBK" w:hAnsi="方正楷体_GBK" w:eastAsia="方正楷体_GBK" w:cs="方正楷体_GBK"/>
          <w:b w:val="0"/>
          <w:bCs w:val="0"/>
          <w:color w:val="auto"/>
          <w:sz w:val="32"/>
          <w:szCs w:val="32"/>
        </w:rPr>
      </w:pPr>
      <w:r>
        <w:rPr>
          <w:rStyle w:val="18"/>
          <w:rFonts w:hint="eastAsia" w:ascii="方正楷体_GBK" w:hAnsi="方正楷体_GBK" w:eastAsia="方正楷体_GBK" w:cs="方正楷体_GBK"/>
          <w:b w:val="0"/>
          <w:bCs w:val="0"/>
          <w:color w:val="auto"/>
          <w:sz w:val="32"/>
          <w:szCs w:val="32"/>
        </w:rPr>
        <w:fldChar w:fldCharType="begin"/>
      </w:r>
      <w:r>
        <w:rPr>
          <w:rStyle w:val="18"/>
          <w:rFonts w:hint="eastAsia" w:ascii="方正楷体_GBK" w:hAnsi="方正楷体_GBK" w:eastAsia="方正楷体_GBK" w:cs="方正楷体_GBK"/>
          <w:b w:val="0"/>
          <w:bCs w:val="0"/>
          <w:color w:val="auto"/>
          <w:sz w:val="32"/>
          <w:szCs w:val="32"/>
        </w:rPr>
        <w:instrText xml:space="preserve"> HYPERLINK \l "_Toc109580986" </w:instrText>
      </w:r>
      <w:r>
        <w:rPr>
          <w:rStyle w:val="18"/>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（四）协同构建氢能保障体系</w:t>
      </w:r>
      <w:r>
        <w:rPr>
          <w:rStyle w:val="18"/>
          <w:rFonts w:hint="eastAsia" w:ascii="方正楷体_GBK" w:hAnsi="方正楷体_GBK" w:eastAsia="方正楷体_GBK" w:cs="方正楷体_GBK"/>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PAGEREF _Toc109580986 \h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11</w:t>
      </w:r>
      <w:r>
        <w:rPr>
          <w:rFonts w:hint="eastAsia" w:ascii="Times New Roman" w:hAnsi="Times New Roman" w:eastAsia="仿宋_GB2312" w:cs="Times New Roman"/>
          <w:b w:val="0"/>
          <w:bCs w:val="0"/>
          <w:color w:val="auto"/>
          <w:kern w:val="2"/>
          <w:sz w:val="32"/>
          <w:szCs w:val="32"/>
          <w:lang w:val="en-US" w:eastAsia="zh-CN" w:bidi="ar-SA"/>
        </w:rPr>
        <w:fldChar w:fldCharType="end"/>
      </w:r>
      <w:r>
        <w:rPr>
          <w:rStyle w:val="18"/>
          <w:rFonts w:hint="eastAsia" w:ascii="方正楷体_GBK" w:hAnsi="方正楷体_GBK" w:eastAsia="方正楷体_GBK" w:cs="方正楷体_GBK"/>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Style w:val="18"/>
          <w:rFonts w:hint="eastAsia" w:ascii="方正楷体_GBK" w:hAnsi="方正楷体_GBK" w:eastAsia="方正楷体_GBK" w:cs="方正楷体_GBK"/>
          <w:b w:val="0"/>
          <w:bCs w:val="0"/>
          <w:color w:val="auto"/>
          <w:sz w:val="32"/>
          <w:szCs w:val="32"/>
        </w:rPr>
      </w:pPr>
      <w:r>
        <w:rPr>
          <w:rStyle w:val="18"/>
          <w:rFonts w:hint="eastAsia" w:ascii="方正楷体_GBK" w:hAnsi="方正楷体_GBK" w:eastAsia="方正楷体_GBK" w:cs="方正楷体_GBK"/>
          <w:b w:val="0"/>
          <w:bCs w:val="0"/>
          <w:color w:val="auto"/>
          <w:sz w:val="32"/>
          <w:szCs w:val="32"/>
        </w:rPr>
        <w:fldChar w:fldCharType="begin"/>
      </w:r>
      <w:r>
        <w:rPr>
          <w:rStyle w:val="18"/>
          <w:rFonts w:hint="eastAsia" w:ascii="方正楷体_GBK" w:hAnsi="方正楷体_GBK" w:eastAsia="方正楷体_GBK" w:cs="方正楷体_GBK"/>
          <w:b w:val="0"/>
          <w:bCs w:val="0"/>
          <w:color w:val="auto"/>
          <w:sz w:val="32"/>
          <w:szCs w:val="32"/>
        </w:rPr>
        <w:instrText xml:space="preserve"> HYPERLINK \l "_Toc109580987" </w:instrText>
      </w:r>
      <w:r>
        <w:rPr>
          <w:rStyle w:val="18"/>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（五）推动数字化绿色化创新</w:t>
      </w:r>
      <w:r>
        <w:rPr>
          <w:rStyle w:val="18"/>
          <w:rFonts w:hint="eastAsia" w:ascii="方正楷体_GBK" w:hAnsi="方正楷体_GBK" w:eastAsia="方正楷体_GBK" w:cs="方正楷体_GBK"/>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PAGEREF _Toc109580987 \h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12</w:t>
      </w:r>
      <w:r>
        <w:rPr>
          <w:rFonts w:hint="eastAsia" w:ascii="Times New Roman" w:hAnsi="Times New Roman" w:eastAsia="仿宋_GB2312" w:cs="Times New Roman"/>
          <w:b w:val="0"/>
          <w:bCs w:val="0"/>
          <w:color w:val="auto"/>
          <w:kern w:val="2"/>
          <w:sz w:val="32"/>
          <w:szCs w:val="32"/>
          <w:lang w:val="en-US" w:eastAsia="zh-CN" w:bidi="ar-SA"/>
        </w:rPr>
        <w:fldChar w:fldCharType="end"/>
      </w:r>
      <w:r>
        <w:rPr>
          <w:rStyle w:val="18"/>
          <w:rFonts w:hint="eastAsia" w:ascii="方正楷体_GBK" w:hAnsi="方正楷体_GBK" w:eastAsia="方正楷体_GBK" w:cs="方正楷体_GBK"/>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Style w:val="18"/>
          <w:rFonts w:hint="eastAsia" w:ascii="方正楷体_GBK" w:hAnsi="方正楷体_GBK" w:eastAsia="方正楷体_GBK" w:cs="方正楷体_GBK"/>
          <w:b w:val="0"/>
          <w:bCs w:val="0"/>
          <w:color w:val="auto"/>
          <w:sz w:val="32"/>
          <w:szCs w:val="32"/>
        </w:rPr>
      </w:pPr>
      <w:r>
        <w:rPr>
          <w:rStyle w:val="18"/>
          <w:rFonts w:hint="eastAsia" w:ascii="方正楷体_GBK" w:hAnsi="方正楷体_GBK" w:eastAsia="方正楷体_GBK" w:cs="方正楷体_GBK"/>
          <w:b w:val="0"/>
          <w:bCs w:val="0"/>
          <w:color w:val="auto"/>
          <w:sz w:val="32"/>
          <w:szCs w:val="32"/>
        </w:rPr>
        <w:fldChar w:fldCharType="begin"/>
      </w:r>
      <w:r>
        <w:rPr>
          <w:rStyle w:val="18"/>
          <w:rFonts w:hint="eastAsia" w:ascii="方正楷体_GBK" w:hAnsi="方正楷体_GBK" w:eastAsia="方正楷体_GBK" w:cs="方正楷体_GBK"/>
          <w:b w:val="0"/>
          <w:bCs w:val="0"/>
          <w:color w:val="auto"/>
          <w:sz w:val="32"/>
          <w:szCs w:val="32"/>
        </w:rPr>
        <w:instrText xml:space="preserve"> HYPERLINK \l "_Toc109580988" </w:instrText>
      </w:r>
      <w:r>
        <w:rPr>
          <w:rStyle w:val="18"/>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（六）积极汇聚人才智力资源</w:t>
      </w:r>
      <w:r>
        <w:rPr>
          <w:rStyle w:val="18"/>
          <w:rFonts w:hint="eastAsia" w:ascii="方正楷体_GBK" w:hAnsi="方正楷体_GBK" w:eastAsia="方正楷体_GBK" w:cs="方正楷体_GBK"/>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PAGEREF _Toc109580988 \h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13</w:t>
      </w:r>
      <w:r>
        <w:rPr>
          <w:rFonts w:hint="eastAsia" w:ascii="Times New Roman" w:hAnsi="Times New Roman" w:eastAsia="仿宋_GB2312" w:cs="Times New Roman"/>
          <w:b w:val="0"/>
          <w:bCs w:val="0"/>
          <w:color w:val="auto"/>
          <w:kern w:val="2"/>
          <w:sz w:val="32"/>
          <w:szCs w:val="32"/>
          <w:lang w:val="en-US" w:eastAsia="zh-CN" w:bidi="ar-SA"/>
        </w:rPr>
        <w:fldChar w:fldCharType="end"/>
      </w:r>
      <w:r>
        <w:rPr>
          <w:rStyle w:val="18"/>
          <w:rFonts w:hint="eastAsia" w:ascii="方正楷体_GBK" w:hAnsi="方正楷体_GBK" w:eastAsia="方正楷体_GBK" w:cs="方正楷体_GBK"/>
          <w:b w:val="0"/>
          <w:bCs w:val="0"/>
          <w:color w:val="auto"/>
          <w:sz w:val="32"/>
          <w:szCs w:val="32"/>
        </w:rPr>
        <w:fldChar w:fldCharType="end"/>
      </w: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HAnsi" w:hAnsiTheme="minorHAnsi" w:eastAsiaTheme="minorEastAsia" w:cstheme="minorBidi"/>
          <w:b w:val="0"/>
          <w:bCs w:val="0"/>
          <w:color w:val="auto"/>
          <w:sz w:val="32"/>
          <w:szCs w:val="32"/>
        </w:rPr>
      </w:pPr>
      <w:r>
        <w:rPr>
          <w:b w:val="0"/>
          <w:bCs w:val="0"/>
          <w:color w:val="auto"/>
          <w:sz w:val="32"/>
          <w:szCs w:val="32"/>
        </w:rPr>
        <w:fldChar w:fldCharType="begin"/>
      </w:r>
      <w:r>
        <w:rPr>
          <w:b w:val="0"/>
          <w:bCs w:val="0"/>
          <w:color w:val="auto"/>
          <w:sz w:val="32"/>
          <w:szCs w:val="32"/>
        </w:rPr>
        <w:instrText xml:space="preserve"> HYPERLINK \l "_Toc109580989" </w:instrText>
      </w:r>
      <w:r>
        <w:rPr>
          <w:b w:val="0"/>
          <w:bCs w:val="0"/>
          <w:color w:val="auto"/>
          <w:sz w:val="32"/>
          <w:szCs w:val="32"/>
        </w:rPr>
        <w:fldChar w:fldCharType="separate"/>
      </w:r>
      <w:r>
        <w:rPr>
          <w:rStyle w:val="18"/>
          <w:b w:val="0"/>
          <w:bCs w:val="0"/>
          <w:color w:val="auto"/>
          <w:sz w:val="32"/>
          <w:szCs w:val="32"/>
        </w:rPr>
        <w:t>四、保障措施</w:t>
      </w:r>
      <w:r>
        <w:rPr>
          <w:b w:val="0"/>
          <w:bCs w:val="0"/>
          <w:color w:val="auto"/>
          <w:sz w:val="32"/>
          <w:szCs w:val="32"/>
        </w:rPr>
        <w:tab/>
      </w:r>
      <w:r>
        <w:rPr>
          <w:rFonts w:hint="eastAsia" w:ascii="Times New Roman" w:hAnsi="Times New Roman" w:eastAsia="仿宋_GB2312" w:cs="Times New Roman"/>
          <w:b w:val="0"/>
          <w:bCs w:val="0"/>
          <w:color w:val="auto"/>
          <w:sz w:val="32"/>
          <w:szCs w:val="32"/>
          <w:lang w:val="en-US" w:eastAsia="zh-CN"/>
        </w:rPr>
        <w:fldChar w:fldCharType="begin"/>
      </w:r>
      <w:r>
        <w:rPr>
          <w:rFonts w:hint="eastAsia" w:ascii="Times New Roman" w:hAnsi="Times New Roman" w:eastAsia="仿宋_GB2312" w:cs="Times New Roman"/>
          <w:b w:val="0"/>
          <w:bCs w:val="0"/>
          <w:color w:val="auto"/>
          <w:sz w:val="32"/>
          <w:szCs w:val="32"/>
          <w:lang w:val="en-US" w:eastAsia="zh-CN"/>
        </w:rPr>
        <w:instrText xml:space="preserve"> PAGEREF _Toc109580989 \h </w:instrText>
      </w:r>
      <w:r>
        <w:rPr>
          <w:rFonts w:hint="eastAsia" w:ascii="Times New Roman" w:hAnsi="Times New Roman" w:eastAsia="仿宋_GB2312" w:cs="Times New Roman"/>
          <w:b w:val="0"/>
          <w:bCs w:val="0"/>
          <w:color w:val="auto"/>
          <w:sz w:val="32"/>
          <w:szCs w:val="32"/>
          <w:lang w:val="en-US" w:eastAsia="zh-CN"/>
        </w:rPr>
        <w:fldChar w:fldCharType="separate"/>
      </w:r>
      <w:r>
        <w:rPr>
          <w:rFonts w:hint="eastAsia" w:ascii="Times New Roman" w:hAnsi="Times New Roman" w:eastAsia="仿宋_GB2312" w:cs="Times New Roman"/>
          <w:b w:val="0"/>
          <w:bCs w:val="0"/>
          <w:color w:val="auto"/>
          <w:sz w:val="32"/>
          <w:szCs w:val="32"/>
          <w:lang w:val="en-US" w:eastAsia="zh-CN"/>
        </w:rPr>
        <w:t>14</w:t>
      </w:r>
      <w:r>
        <w:rPr>
          <w:rFonts w:hint="eastAsia" w:ascii="Times New Roman" w:hAnsi="Times New Roman" w:eastAsia="仿宋_GB2312" w:cs="Times New Roman"/>
          <w:b w:val="0"/>
          <w:bCs w:val="0"/>
          <w:color w:val="auto"/>
          <w:sz w:val="32"/>
          <w:szCs w:val="32"/>
          <w:lang w:val="en-US" w:eastAsia="zh-CN"/>
        </w:rPr>
        <w:fldChar w:fldCharType="end"/>
      </w:r>
      <w:r>
        <w:rPr>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Style w:val="18"/>
          <w:rFonts w:hint="eastAsia" w:ascii="方正楷体_GBK" w:hAnsi="方正楷体_GBK" w:eastAsia="方正楷体_GBK" w:cs="方正楷体_GBK"/>
          <w:b w:val="0"/>
          <w:bCs w:val="0"/>
          <w:color w:val="auto"/>
          <w:sz w:val="32"/>
          <w:szCs w:val="32"/>
        </w:rPr>
      </w:pPr>
      <w:r>
        <w:rPr>
          <w:rStyle w:val="18"/>
          <w:rFonts w:hint="eastAsia" w:ascii="方正楷体_GBK" w:hAnsi="方正楷体_GBK" w:eastAsia="方正楷体_GBK" w:cs="方正楷体_GBK"/>
          <w:b w:val="0"/>
          <w:bCs w:val="0"/>
          <w:color w:val="auto"/>
          <w:sz w:val="32"/>
          <w:szCs w:val="32"/>
        </w:rPr>
        <w:fldChar w:fldCharType="begin"/>
      </w:r>
      <w:r>
        <w:rPr>
          <w:rStyle w:val="18"/>
          <w:rFonts w:hint="eastAsia" w:ascii="方正楷体_GBK" w:hAnsi="方正楷体_GBK" w:eastAsia="方正楷体_GBK" w:cs="方正楷体_GBK"/>
          <w:b w:val="0"/>
          <w:bCs w:val="0"/>
          <w:color w:val="auto"/>
          <w:sz w:val="32"/>
          <w:szCs w:val="32"/>
        </w:rPr>
        <w:instrText xml:space="preserve"> HYPERLINK \l "_Toc109580990" </w:instrText>
      </w:r>
      <w:r>
        <w:rPr>
          <w:rStyle w:val="18"/>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（一）健全组织领导机制</w:t>
      </w:r>
      <w:r>
        <w:rPr>
          <w:rStyle w:val="18"/>
          <w:rFonts w:hint="eastAsia" w:ascii="方正楷体_GBK" w:hAnsi="方正楷体_GBK" w:eastAsia="方正楷体_GBK" w:cs="方正楷体_GBK"/>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PAGEREF _Toc109580990 \h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14</w:t>
      </w:r>
      <w:r>
        <w:rPr>
          <w:rFonts w:hint="eastAsia" w:ascii="Times New Roman" w:hAnsi="Times New Roman" w:eastAsia="仿宋_GB2312" w:cs="Times New Roman"/>
          <w:b w:val="0"/>
          <w:bCs w:val="0"/>
          <w:color w:val="auto"/>
          <w:kern w:val="2"/>
          <w:sz w:val="32"/>
          <w:szCs w:val="32"/>
          <w:lang w:val="en-US" w:eastAsia="zh-CN" w:bidi="ar-SA"/>
        </w:rPr>
        <w:fldChar w:fldCharType="end"/>
      </w:r>
      <w:r>
        <w:rPr>
          <w:rStyle w:val="18"/>
          <w:rFonts w:hint="eastAsia" w:ascii="方正楷体_GBK" w:hAnsi="方正楷体_GBK" w:eastAsia="方正楷体_GBK" w:cs="方正楷体_GBK"/>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Style w:val="18"/>
          <w:rFonts w:hint="eastAsia" w:ascii="方正楷体_GBK" w:hAnsi="方正楷体_GBK" w:eastAsia="方正楷体_GBK" w:cs="方正楷体_GBK"/>
          <w:b w:val="0"/>
          <w:bCs w:val="0"/>
          <w:color w:val="auto"/>
          <w:sz w:val="32"/>
          <w:szCs w:val="32"/>
        </w:rPr>
      </w:pPr>
      <w:r>
        <w:rPr>
          <w:rStyle w:val="18"/>
          <w:rFonts w:hint="eastAsia" w:ascii="方正楷体_GBK" w:hAnsi="方正楷体_GBK" w:eastAsia="方正楷体_GBK" w:cs="方正楷体_GBK"/>
          <w:b w:val="0"/>
          <w:bCs w:val="0"/>
          <w:color w:val="auto"/>
          <w:sz w:val="32"/>
          <w:szCs w:val="32"/>
        </w:rPr>
        <w:fldChar w:fldCharType="begin"/>
      </w:r>
      <w:r>
        <w:rPr>
          <w:rStyle w:val="18"/>
          <w:rFonts w:hint="eastAsia" w:ascii="方正楷体_GBK" w:hAnsi="方正楷体_GBK" w:eastAsia="方正楷体_GBK" w:cs="方正楷体_GBK"/>
          <w:b w:val="0"/>
          <w:bCs w:val="0"/>
          <w:color w:val="auto"/>
          <w:sz w:val="32"/>
          <w:szCs w:val="32"/>
        </w:rPr>
        <w:instrText xml:space="preserve"> HYPERLINK \l "_Toc109580991" </w:instrText>
      </w:r>
      <w:r>
        <w:rPr>
          <w:rStyle w:val="18"/>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（二）加大政策支持力度</w:t>
      </w:r>
      <w:r>
        <w:rPr>
          <w:rStyle w:val="18"/>
          <w:rFonts w:hint="eastAsia" w:ascii="方正楷体_GBK" w:hAnsi="方正楷体_GBK" w:eastAsia="方正楷体_GBK" w:cs="方正楷体_GBK"/>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PAGEREF _Toc109580991 \h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1</w:t>
      </w:r>
      <w:r>
        <w:rPr>
          <w:rFonts w:hint="eastAsia" w:cs="Times New Roman"/>
          <w:b w:val="0"/>
          <w:bCs w:val="0"/>
          <w:color w:val="auto"/>
          <w:kern w:val="2"/>
          <w:sz w:val="32"/>
          <w:szCs w:val="32"/>
          <w:lang w:val="en-US" w:eastAsia="zh-CN" w:bidi="ar-SA"/>
        </w:rPr>
        <w:t>4</w:t>
      </w:r>
      <w:r>
        <w:rPr>
          <w:rFonts w:hint="eastAsia" w:ascii="Times New Roman" w:hAnsi="Times New Roman" w:eastAsia="仿宋_GB2312" w:cs="Times New Roman"/>
          <w:b w:val="0"/>
          <w:bCs w:val="0"/>
          <w:color w:val="auto"/>
          <w:kern w:val="2"/>
          <w:sz w:val="32"/>
          <w:szCs w:val="32"/>
          <w:lang w:val="en-US" w:eastAsia="zh-CN" w:bidi="ar-SA"/>
        </w:rPr>
        <w:fldChar w:fldCharType="end"/>
      </w:r>
      <w:r>
        <w:rPr>
          <w:rStyle w:val="18"/>
          <w:rFonts w:hint="eastAsia" w:ascii="方正楷体_GBK" w:hAnsi="方正楷体_GBK" w:eastAsia="方正楷体_GBK" w:cs="方正楷体_GBK"/>
          <w:b w:val="0"/>
          <w:bCs w:val="0"/>
          <w:color w:val="auto"/>
          <w:sz w:val="32"/>
          <w:szCs w:val="32"/>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520" w:lineRule="exact"/>
        <w:ind w:left="560" w:firstLine="560"/>
        <w:textAlignment w:val="auto"/>
        <w:rPr>
          <w:rStyle w:val="18"/>
          <w:rFonts w:hint="eastAsia" w:ascii="方正楷体_GBK" w:hAnsi="方正楷体_GBK" w:eastAsia="方正楷体_GBK" w:cs="方正楷体_GBK"/>
          <w:b w:val="0"/>
          <w:bCs w:val="0"/>
          <w:color w:val="auto"/>
          <w:sz w:val="32"/>
          <w:szCs w:val="32"/>
        </w:rPr>
      </w:pPr>
      <w:r>
        <w:rPr>
          <w:rStyle w:val="18"/>
          <w:rFonts w:hint="eastAsia" w:ascii="方正楷体_GBK" w:hAnsi="方正楷体_GBK" w:eastAsia="方正楷体_GBK" w:cs="方正楷体_GBK"/>
          <w:b w:val="0"/>
          <w:bCs w:val="0"/>
          <w:color w:val="auto"/>
          <w:sz w:val="32"/>
          <w:szCs w:val="32"/>
        </w:rPr>
        <w:fldChar w:fldCharType="begin"/>
      </w:r>
      <w:r>
        <w:rPr>
          <w:rStyle w:val="18"/>
          <w:rFonts w:hint="eastAsia" w:ascii="方正楷体_GBK" w:hAnsi="方正楷体_GBK" w:eastAsia="方正楷体_GBK" w:cs="方正楷体_GBK"/>
          <w:b w:val="0"/>
          <w:bCs w:val="0"/>
          <w:color w:val="auto"/>
          <w:sz w:val="32"/>
          <w:szCs w:val="32"/>
        </w:rPr>
        <w:instrText xml:space="preserve"> HYPERLINK \l "_Toc109580992" </w:instrText>
      </w:r>
      <w:r>
        <w:rPr>
          <w:rStyle w:val="18"/>
          <w:rFonts w:hint="eastAsia" w:ascii="方正楷体_GBK" w:hAnsi="方正楷体_GBK" w:eastAsia="方正楷体_GBK" w:cs="方正楷体_GBK"/>
          <w:b w:val="0"/>
          <w:bCs w:val="0"/>
          <w:color w:val="auto"/>
          <w:sz w:val="32"/>
          <w:szCs w:val="32"/>
        </w:rPr>
        <w:fldChar w:fldCharType="separate"/>
      </w:r>
      <w:r>
        <w:rPr>
          <w:rStyle w:val="18"/>
          <w:rFonts w:hint="eastAsia" w:ascii="方正楷体_GBK" w:hAnsi="方正楷体_GBK" w:eastAsia="方正楷体_GBK" w:cs="方正楷体_GBK"/>
          <w:b w:val="0"/>
          <w:bCs w:val="0"/>
          <w:color w:val="auto"/>
          <w:sz w:val="32"/>
          <w:szCs w:val="32"/>
        </w:rPr>
        <w:t>（三）扩大国际国内影响力</w:t>
      </w:r>
      <w:r>
        <w:rPr>
          <w:rStyle w:val="18"/>
          <w:rFonts w:hint="eastAsia" w:ascii="方正楷体_GBK" w:hAnsi="方正楷体_GBK" w:eastAsia="方正楷体_GBK" w:cs="方正楷体_GBK"/>
          <w:b w:val="0"/>
          <w:bCs w:val="0"/>
          <w:color w:val="auto"/>
          <w:sz w:val="32"/>
          <w:szCs w:val="32"/>
        </w:rPr>
        <w:tab/>
      </w:r>
      <w:r>
        <w:rPr>
          <w:rFonts w:hint="eastAsia" w:ascii="Times New Roman" w:hAnsi="Times New Roman" w:eastAsia="仿宋_GB2312" w:cs="Times New Roman"/>
          <w:b w:val="0"/>
          <w:bCs w:val="0"/>
          <w:color w:val="auto"/>
          <w:kern w:val="2"/>
          <w:sz w:val="32"/>
          <w:szCs w:val="32"/>
          <w:lang w:val="en-US" w:eastAsia="zh-CN" w:bidi="ar-SA"/>
        </w:rPr>
        <w:fldChar w:fldCharType="begin"/>
      </w:r>
      <w:r>
        <w:rPr>
          <w:rFonts w:hint="eastAsia" w:ascii="Times New Roman" w:hAnsi="Times New Roman" w:eastAsia="仿宋_GB2312" w:cs="Times New Roman"/>
          <w:b w:val="0"/>
          <w:bCs w:val="0"/>
          <w:color w:val="auto"/>
          <w:kern w:val="2"/>
          <w:sz w:val="32"/>
          <w:szCs w:val="32"/>
          <w:lang w:val="en-US" w:eastAsia="zh-CN" w:bidi="ar-SA"/>
        </w:rPr>
        <w:instrText xml:space="preserve"> PAGEREF _Toc109580992 \h </w:instrText>
      </w:r>
      <w:r>
        <w:rPr>
          <w:rFonts w:hint="eastAsia" w:ascii="Times New Roman" w:hAnsi="Times New Roman" w:eastAsia="仿宋_GB2312" w:cs="Times New Roman"/>
          <w:b w:val="0"/>
          <w:bCs w:val="0"/>
          <w:color w:val="auto"/>
          <w:kern w:val="2"/>
          <w:sz w:val="32"/>
          <w:szCs w:val="32"/>
          <w:lang w:val="en-US" w:eastAsia="zh-CN" w:bidi="ar-SA"/>
        </w:rPr>
        <w:fldChar w:fldCharType="separate"/>
      </w:r>
      <w:r>
        <w:rPr>
          <w:rFonts w:hint="eastAsia" w:ascii="Times New Roman" w:hAnsi="Times New Roman" w:eastAsia="仿宋_GB2312" w:cs="Times New Roman"/>
          <w:b w:val="0"/>
          <w:bCs w:val="0"/>
          <w:color w:val="auto"/>
          <w:kern w:val="2"/>
          <w:sz w:val="32"/>
          <w:szCs w:val="32"/>
          <w:lang w:val="en-US" w:eastAsia="zh-CN" w:bidi="ar-SA"/>
        </w:rPr>
        <w:t>15</w:t>
      </w:r>
      <w:r>
        <w:rPr>
          <w:rFonts w:hint="eastAsia" w:ascii="Times New Roman" w:hAnsi="Times New Roman" w:eastAsia="仿宋_GB2312" w:cs="Times New Roman"/>
          <w:b w:val="0"/>
          <w:bCs w:val="0"/>
          <w:color w:val="auto"/>
          <w:kern w:val="2"/>
          <w:sz w:val="32"/>
          <w:szCs w:val="32"/>
          <w:lang w:val="en-US" w:eastAsia="zh-CN" w:bidi="ar-SA"/>
        </w:rPr>
        <w:fldChar w:fldCharType="end"/>
      </w:r>
      <w:r>
        <w:rPr>
          <w:rStyle w:val="18"/>
          <w:rFonts w:hint="eastAsia" w:ascii="方正楷体_GBK" w:hAnsi="方正楷体_GBK" w:eastAsia="方正楷体_GBK" w:cs="方正楷体_GBK"/>
          <w:b w:val="0"/>
          <w:bCs w:val="0"/>
          <w:color w:val="auto"/>
          <w:sz w:val="32"/>
          <w:szCs w:val="32"/>
        </w:rPr>
        <w:fldChar w:fldCharType="end"/>
      </w: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color w:val="000000" w:themeColor="text1"/>
          <w:sz w:val="32"/>
          <w:szCs w:val="32"/>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type="linesAndChars" w:linePitch="381" w:charSpace="0"/>
        </w:sectPr>
      </w:pPr>
      <w:r>
        <w:rPr>
          <w:rFonts w:cs="Times New Roman"/>
          <w:b w:val="0"/>
          <w:bCs w:val="0"/>
          <w:color w:val="auto"/>
          <w:kern w:val="0"/>
          <w:sz w:val="32"/>
          <w:szCs w:val="32"/>
        </w:rPr>
        <w:fldChar w:fldCharType="end"/>
      </w:r>
    </w:p>
    <w:p>
      <w:pPr>
        <w:pageBreakBefore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氢能是一种清洁高效、来源广泛的二次能源，是全球能源技术革命的重要方向，是未来我国能源体系的重要组成部分，是用能终端实现绿色低碳转型的重要载体，是战略性新兴产业和未来产业重点发展方向。发展氢能产业对于支撑首都高质量发展、</w:t>
      </w:r>
      <w:r>
        <w:rPr>
          <w:rFonts w:hint="eastAsia" w:ascii="仿宋_GB2312"/>
          <w:color w:val="000000" w:themeColor="text1"/>
          <w:sz w:val="32"/>
          <w:szCs w:val="32"/>
          <w:lang w:eastAsia="zh-CN"/>
          <w14:textFill>
            <w14:solidFill>
              <w14:schemeClr w14:val="tx1"/>
            </w14:solidFill>
          </w14:textFill>
        </w:rPr>
        <w:t>推动</w:t>
      </w:r>
      <w:r>
        <w:rPr>
          <w:rFonts w:hint="eastAsia" w:ascii="仿宋_GB2312"/>
          <w:color w:val="000000" w:themeColor="text1"/>
          <w:sz w:val="32"/>
          <w:szCs w:val="32"/>
          <w14:textFill>
            <w14:solidFill>
              <w14:schemeClr w14:val="tx1"/>
            </w14:solidFill>
          </w14:textFill>
        </w:rPr>
        <w:t>能源绿色低碳转型、助力北京争当“碳达峰碳中和”的“领头羊”具有重要意义。为深入贯彻落实国家</w:t>
      </w:r>
      <w:r>
        <w:rPr>
          <w:rFonts w:hint="eastAsia" w:ascii="仿宋_GB2312"/>
          <w:color w:val="000000" w:themeColor="text1"/>
          <w:sz w:val="32"/>
          <w:szCs w:val="32"/>
          <w:highlight w:val="none"/>
          <w14:textFill>
            <w14:solidFill>
              <w14:schemeClr w14:val="tx1"/>
            </w14:solidFill>
          </w14:textFill>
        </w:rPr>
        <w:t>《氢能产业发展中长期规划(2021-2035年)》、《北京市氢能产业发展实施方案（2021-2025年）》、《北京市氢燃料电池汽车产业发展规划（2020-2025年）》</w:t>
      </w:r>
      <w:r>
        <w:rPr>
          <w:rFonts w:ascii="仿宋_GB2312"/>
          <w:color w:val="000000"/>
          <w:sz w:val="32"/>
          <w:szCs w:val="32"/>
        </w:rPr>
        <w:t>等文件</w:t>
      </w:r>
      <w:r>
        <w:rPr>
          <w:rFonts w:hint="eastAsia" w:ascii="仿宋_GB2312"/>
          <w:color w:val="000000" w:themeColor="text1"/>
          <w:sz w:val="32"/>
          <w:szCs w:val="32"/>
          <w14:textFill>
            <w14:solidFill>
              <w14:schemeClr w14:val="tx1"/>
            </w14:solidFill>
          </w14:textFill>
        </w:rPr>
        <w:t>要求，结合大兴区实际，制定本行动计划</w:t>
      </w:r>
      <w:r>
        <w:rPr>
          <w:rFonts w:hint="eastAsia"/>
          <w:color w:val="000000" w:themeColor="text1"/>
          <w:sz w:val="32"/>
          <w:szCs w:val="32"/>
          <w14:textFill>
            <w14:solidFill>
              <w14:schemeClr w14:val="tx1"/>
            </w14:solidFill>
          </w14:textFill>
        </w:rPr>
        <w:t>。</w:t>
      </w:r>
    </w:p>
    <w:p>
      <w:pPr>
        <w:pStyle w:val="2"/>
        <w:pageBreakBefore w:val="0"/>
        <w:kinsoku/>
        <w:wordWrap/>
        <w:overflowPunct/>
        <w:topLinePunct w:val="0"/>
        <w:autoSpaceDE/>
        <w:autoSpaceDN/>
        <w:bidi w:val="0"/>
        <w:adjustRightInd/>
        <w:snapToGrid/>
        <w:spacing w:before="0" w:after="0" w:line="560" w:lineRule="exact"/>
        <w:ind w:left="0" w:leftChars="0" w:firstLine="640" w:firstLineChars="200"/>
        <w:textAlignment w:val="auto"/>
      </w:pPr>
      <w:bookmarkStart w:id="1" w:name="_Toc109580974"/>
      <w:r>
        <w:rPr>
          <w:rFonts w:hint="eastAsia"/>
        </w:rPr>
        <w:t>一、发展基础与形势</w:t>
      </w:r>
      <w:bookmarkEnd w:id="1"/>
    </w:p>
    <w:p>
      <w:pPr>
        <w:pStyle w:val="3"/>
        <w:pageBreakBefore w:val="0"/>
        <w:kinsoku/>
        <w:wordWrap/>
        <w:overflowPunct/>
        <w:topLinePunct w:val="0"/>
        <w:autoSpaceDE/>
        <w:autoSpaceDN/>
        <w:bidi w:val="0"/>
        <w:adjustRightInd/>
        <w:snapToGrid/>
        <w:spacing w:before="0" w:after="0" w:line="560" w:lineRule="exact"/>
        <w:ind w:firstLine="640" w:firstLineChars="200"/>
        <w:textAlignment w:val="auto"/>
      </w:pPr>
      <w:bookmarkStart w:id="2" w:name="_Toc109580975"/>
      <w:r>
        <w:rPr>
          <w:rFonts w:hint="eastAsia"/>
        </w:rPr>
        <w:t>（一）发展基础</w:t>
      </w:r>
      <w:bookmarkEnd w:id="2"/>
      <w:bookmarkStart w:id="3" w:name="_Hlk88732183"/>
    </w:p>
    <w:p>
      <w:pPr>
        <w:pageBreakBefore w:val="0"/>
        <w:kinsoku/>
        <w:wordWrap/>
        <w:overflowPunct/>
        <w:topLinePunct w:val="0"/>
        <w:autoSpaceDE/>
        <w:autoSpaceDN/>
        <w:bidi w:val="0"/>
        <w:adjustRightInd/>
        <w:snapToGrid/>
        <w:spacing w:line="560" w:lineRule="exact"/>
        <w:ind w:firstLine="643"/>
        <w:textAlignment w:val="auto"/>
        <w:rPr>
          <w:rFonts w:ascii="仿宋_GB2312" w:hAnsi="宋体"/>
          <w:color w:val="000000" w:themeColor="text1"/>
          <w:sz w:val="32"/>
          <w:szCs w:val="32"/>
          <w14:textFill>
            <w14:solidFill>
              <w14:schemeClr w14:val="tx1"/>
            </w14:solidFill>
          </w14:textFill>
        </w:rPr>
      </w:pPr>
      <w:r>
        <w:rPr>
          <w:rFonts w:hint="eastAsia" w:ascii="仿宋_GB2312" w:hAnsi="宋体"/>
          <w:b/>
          <w:bCs/>
          <w:color w:val="000000" w:themeColor="text1"/>
          <w:sz w:val="32"/>
          <w:szCs w:val="32"/>
          <w14:textFill>
            <w14:solidFill>
              <w14:schemeClr w14:val="tx1"/>
            </w14:solidFill>
          </w14:textFill>
        </w:rPr>
        <w:t>1.产业链条完备。</w:t>
      </w:r>
      <w:r>
        <w:rPr>
          <w:rFonts w:hint="eastAsia" w:ascii="仿宋_GB2312" w:hAnsi="宋体"/>
          <w:color w:val="000000" w:themeColor="text1"/>
          <w:sz w:val="32"/>
          <w:szCs w:val="32"/>
          <w14:textFill>
            <w14:solidFill>
              <w14:schemeClr w14:val="tx1"/>
            </w14:solidFill>
          </w14:textFill>
        </w:rPr>
        <w:t>大兴区已初步构建涵盖氢能“制-储-运-加-用”各环节的完整产业链，储备项目三百余个。在制氢领域，已汇聚中电丰业等电解水制氢装备优质企业；在氢气储运领域，已吸引中集合斯康、海珀尔等头部企业入驻；在氢气加注领域，海德利森、国富等加氢设备制造企业集聚大兴；在创新研发和推广应用领域，聚焦燃料电池和分布式能源领域，初步形成以亿华通、东方氢能为代表的龙头企业集群，同时聚集了兴顺达、顺亿达等优质运力平台，共同推动燃料电池汽车示范应用。</w:t>
      </w:r>
    </w:p>
    <w:p>
      <w:pPr>
        <w:pageBreakBefore w:val="0"/>
        <w:kinsoku/>
        <w:wordWrap/>
        <w:overflowPunct/>
        <w:topLinePunct w:val="0"/>
        <w:autoSpaceDE/>
        <w:autoSpaceDN/>
        <w:bidi w:val="0"/>
        <w:adjustRightInd/>
        <w:snapToGrid/>
        <w:spacing w:line="560" w:lineRule="exact"/>
        <w:ind w:firstLine="643"/>
        <w:textAlignment w:val="auto"/>
        <w:rPr>
          <w:rFonts w:ascii="仿宋_GB2312" w:hAnsi="宋体"/>
          <w:color w:val="000000" w:themeColor="text1"/>
          <w:sz w:val="32"/>
          <w:szCs w:val="32"/>
          <w:highlight w:val="yellow"/>
          <w14:textFill>
            <w14:solidFill>
              <w14:schemeClr w14:val="tx1"/>
            </w14:solidFill>
          </w14:textFill>
        </w:rPr>
      </w:pPr>
      <w:r>
        <w:rPr>
          <w:rFonts w:hint="eastAsia" w:ascii="仿宋_GB2312" w:hAnsi="宋体"/>
          <w:b/>
          <w:bCs/>
          <w:color w:val="000000" w:themeColor="text1"/>
          <w:sz w:val="32"/>
          <w:szCs w:val="32"/>
          <w14:textFill>
            <w14:solidFill>
              <w14:schemeClr w14:val="tx1"/>
            </w14:solidFill>
          </w14:textFill>
        </w:rPr>
        <w:t>2.产业要素丰富。</w:t>
      </w:r>
      <w:r>
        <w:rPr>
          <w:rFonts w:hint="eastAsia" w:ascii="仿宋_GB2312" w:hAnsi="宋体"/>
          <w:color w:val="000000"/>
          <w:sz w:val="32"/>
          <w:szCs w:val="32"/>
        </w:rPr>
        <w:t>大兴区在</w:t>
      </w:r>
      <w:r>
        <w:rPr>
          <w:rFonts w:hint="eastAsia" w:ascii="仿宋_GB2312" w:hAnsi="宋体"/>
          <w:color w:val="000000"/>
          <w:sz w:val="32"/>
          <w:szCs w:val="32"/>
          <w:lang w:eastAsia="zh-CN"/>
        </w:rPr>
        <w:t>新版</w:t>
      </w:r>
      <w:r>
        <w:rPr>
          <w:rFonts w:hint="eastAsia" w:ascii="仿宋_GB2312" w:hAnsi="宋体"/>
          <w:color w:val="000000"/>
          <w:sz w:val="32"/>
          <w:szCs w:val="32"/>
        </w:rPr>
        <w:t>北京</w:t>
      </w:r>
      <w:r>
        <w:rPr>
          <w:rFonts w:hint="eastAsia" w:ascii="仿宋_GB2312" w:hAnsi="宋体"/>
          <w:color w:val="000000"/>
          <w:sz w:val="32"/>
          <w:szCs w:val="32"/>
          <w:lang w:eastAsia="zh-CN"/>
        </w:rPr>
        <w:t>城市</w:t>
      </w:r>
      <w:r>
        <w:rPr>
          <w:rFonts w:hint="eastAsia" w:ascii="仿宋_GB2312" w:hAnsi="宋体"/>
          <w:color w:val="000000"/>
          <w:sz w:val="32"/>
          <w:szCs w:val="32"/>
        </w:rPr>
        <w:t>总体规划中承载着“三区一门户”的功能定位，拥有丰富的产业要素。区位优势明显，大兴区位于北京正南部，坐拥新机场，毗邻副中心，连通雄安新区，辐射京津冀，通达全世界。经济动能强劲，2021年大兴区以60%的GDP增速领跑全国，已形成“四区三基地”的园区发展格局，产业特色明显，集聚企业蓄能发展。空间资源丰富，大兴国际氢能示范区</w:t>
      </w:r>
      <w:r>
        <w:rPr>
          <w:rFonts w:ascii="仿宋_GB2312" w:hAnsi="宋体"/>
          <w:color w:val="000000"/>
          <w:sz w:val="32"/>
          <w:szCs w:val="32"/>
        </w:rPr>
        <w:t>是京津冀首个氢能主题产业园</w:t>
      </w:r>
      <w:r>
        <w:rPr>
          <w:rFonts w:hint="eastAsia" w:ascii="仿宋_GB2312" w:hAnsi="宋体"/>
          <w:color w:val="000000"/>
          <w:sz w:val="32"/>
          <w:szCs w:val="32"/>
        </w:rPr>
        <w:t>，规划面积2平方公里，起步区2</w:t>
      </w:r>
      <w:r>
        <w:rPr>
          <w:rFonts w:ascii="仿宋_GB2312" w:hAnsi="宋体"/>
          <w:color w:val="000000"/>
          <w:sz w:val="32"/>
          <w:szCs w:val="32"/>
        </w:rPr>
        <w:t>0.8</w:t>
      </w:r>
      <w:r>
        <w:rPr>
          <w:rFonts w:hint="eastAsia" w:ascii="仿宋_GB2312" w:hAnsi="宋体"/>
          <w:color w:val="000000"/>
          <w:sz w:val="32"/>
          <w:szCs w:val="32"/>
        </w:rPr>
        <w:t>公顷，</w:t>
      </w:r>
      <w:r>
        <w:rPr>
          <w:rFonts w:ascii="仿宋_GB2312" w:hAnsi="宋体"/>
          <w:color w:val="000000"/>
          <w:sz w:val="32"/>
          <w:szCs w:val="32"/>
        </w:rPr>
        <w:t>为氢能产业发展预留充足的产业空间</w:t>
      </w:r>
      <w:r>
        <w:rPr>
          <w:rFonts w:hint="eastAsia" w:ascii="仿宋_GB2312" w:hAnsi="宋体"/>
          <w:color w:val="000000"/>
          <w:sz w:val="32"/>
          <w:szCs w:val="32"/>
        </w:rPr>
        <w:t>；</w:t>
      </w:r>
      <w:r>
        <w:rPr>
          <w:rFonts w:ascii="仿宋_GB2312" w:hAnsi="宋体"/>
          <w:color w:val="000000"/>
          <w:sz w:val="32"/>
          <w:szCs w:val="32"/>
        </w:rPr>
        <w:t>北区</w:t>
      </w:r>
      <w:r>
        <w:rPr>
          <w:rFonts w:hint="eastAsia" w:ascii="仿宋_GB2312" w:hAnsi="宋体"/>
          <w:color w:val="000000"/>
          <w:sz w:val="32"/>
          <w:szCs w:val="32"/>
        </w:rPr>
        <w:t>已正式投入运营，</w:t>
      </w:r>
      <w:r>
        <w:rPr>
          <w:rFonts w:ascii="仿宋_GB2312" w:hAnsi="宋体"/>
          <w:color w:val="000000"/>
          <w:sz w:val="32"/>
          <w:szCs w:val="32"/>
        </w:rPr>
        <w:t>建有研发办公</w:t>
      </w:r>
      <w:r>
        <w:rPr>
          <w:rFonts w:hint="eastAsia" w:ascii="仿宋_GB2312" w:hAnsi="宋体"/>
          <w:color w:val="000000"/>
          <w:sz w:val="32"/>
          <w:szCs w:val="32"/>
        </w:rPr>
        <w:t>、</w:t>
      </w:r>
      <w:r>
        <w:rPr>
          <w:rFonts w:ascii="仿宋_GB2312" w:hAnsi="宋体"/>
          <w:color w:val="000000"/>
          <w:sz w:val="32"/>
          <w:szCs w:val="32"/>
        </w:rPr>
        <w:t>标准厂房</w:t>
      </w:r>
      <w:r>
        <w:rPr>
          <w:rFonts w:hint="eastAsia" w:ascii="仿宋_GB2312" w:hAnsi="宋体"/>
          <w:color w:val="000000"/>
          <w:sz w:val="32"/>
          <w:szCs w:val="32"/>
        </w:rPr>
        <w:t>、</w:t>
      </w:r>
      <w:r>
        <w:rPr>
          <w:rFonts w:ascii="仿宋_GB2312" w:hAnsi="宋体"/>
          <w:color w:val="000000"/>
          <w:sz w:val="32"/>
          <w:szCs w:val="32"/>
        </w:rPr>
        <w:t>甲类测试厂房等产业空间</w:t>
      </w:r>
      <w:r>
        <w:rPr>
          <w:rFonts w:hint="eastAsia" w:ascii="仿宋_GB2312" w:hAnsi="宋体"/>
          <w:color w:val="000000"/>
          <w:sz w:val="32"/>
          <w:szCs w:val="32"/>
        </w:rPr>
        <w:t>，</w:t>
      </w:r>
      <w:r>
        <w:rPr>
          <w:rFonts w:ascii="仿宋_GB2312" w:hAnsi="宋体"/>
          <w:color w:val="000000"/>
          <w:sz w:val="32"/>
          <w:szCs w:val="32"/>
        </w:rPr>
        <w:t>以及公寓酒店</w:t>
      </w:r>
      <w:r>
        <w:rPr>
          <w:rFonts w:hint="eastAsia" w:ascii="仿宋_GB2312" w:hAnsi="宋体"/>
          <w:color w:val="000000"/>
          <w:sz w:val="32"/>
          <w:szCs w:val="32"/>
        </w:rPr>
        <w:t>、</w:t>
      </w:r>
      <w:r>
        <w:rPr>
          <w:rFonts w:ascii="仿宋_GB2312" w:hAnsi="宋体"/>
          <w:color w:val="000000"/>
          <w:sz w:val="32"/>
          <w:szCs w:val="32"/>
        </w:rPr>
        <w:t>餐饮等配套设施</w:t>
      </w:r>
      <w:r>
        <w:rPr>
          <w:rFonts w:hint="eastAsia" w:ascii="仿宋_GB2312" w:hAnsi="宋体"/>
          <w:color w:val="000000"/>
          <w:sz w:val="32"/>
          <w:szCs w:val="32"/>
        </w:rPr>
        <w:t>。人才政策优厚，大兴区拥有“新国门”领军人才、优秀青年人才等专项政策，高度关注产学研</w:t>
      </w:r>
      <w:r>
        <w:rPr>
          <w:rFonts w:ascii="仿宋_GB2312" w:hAnsi="宋体"/>
          <w:color w:val="000000"/>
          <w:sz w:val="32"/>
          <w:szCs w:val="32"/>
        </w:rPr>
        <w:t>用</w:t>
      </w:r>
      <w:r>
        <w:rPr>
          <w:rFonts w:hint="eastAsia" w:ascii="仿宋_GB2312" w:hAnsi="宋体"/>
          <w:color w:val="000000"/>
          <w:sz w:val="32"/>
          <w:szCs w:val="32"/>
        </w:rPr>
        <w:t>一体化，区内高等院校已开设氢能专业，为氢能产业发展提供充足的人才培养与储备条件</w:t>
      </w:r>
      <w:r>
        <w:rPr>
          <w:rFonts w:hint="eastAsia" w:ascii="仿宋_GB2312" w:hAnsi="宋体"/>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3"/>
        <w:textAlignment w:val="auto"/>
        <w:rPr>
          <w:rFonts w:ascii="仿宋_GB2312" w:hAnsi="宋体"/>
          <w:color w:val="000000" w:themeColor="text1"/>
          <w:sz w:val="32"/>
          <w:szCs w:val="32"/>
          <w14:textFill>
            <w14:solidFill>
              <w14:schemeClr w14:val="tx1"/>
            </w14:solidFill>
          </w14:textFill>
        </w:rPr>
      </w:pPr>
      <w:r>
        <w:rPr>
          <w:rFonts w:hint="eastAsia" w:ascii="仿宋_GB2312" w:hAnsi="宋体"/>
          <w:b/>
          <w:bCs/>
          <w:color w:val="000000" w:themeColor="text1"/>
          <w:sz w:val="32"/>
          <w:szCs w:val="32"/>
          <w14:textFill>
            <w14:solidFill>
              <w14:schemeClr w14:val="tx1"/>
            </w14:solidFill>
          </w14:textFill>
        </w:rPr>
        <w:t>3.产业生态活跃。</w:t>
      </w:r>
      <w:r>
        <w:rPr>
          <w:rFonts w:hint="eastAsia" w:ascii="仿宋_GB2312" w:hAnsi="宋体"/>
          <w:color w:val="000000" w:themeColor="text1"/>
          <w:sz w:val="32"/>
          <w:szCs w:val="32"/>
          <w14:textFill>
            <w14:solidFill>
              <w14:schemeClr w14:val="tx1"/>
            </w14:solidFill>
          </w14:textFill>
        </w:rPr>
        <w:t>大兴区已集聚氢能企业、科研机构、检测机构、产业联盟、运力平台等各类主体，设置了规模20亿的水木氢源产业发展基金，投资项目</w:t>
      </w:r>
      <w:r>
        <w:rPr>
          <w:rFonts w:hint="eastAsia" w:ascii="仿宋_GB2312" w:hAnsi="宋体"/>
          <w:color w:val="000000" w:themeColor="text1"/>
          <w:sz w:val="32"/>
          <w:szCs w:val="32"/>
          <w:lang w:val="en-US" w:eastAsia="zh-CN"/>
          <w14:textFill>
            <w14:solidFill>
              <w14:schemeClr w14:val="tx1"/>
            </w14:solidFill>
          </w14:textFill>
        </w:rPr>
        <w:t>16</w:t>
      </w:r>
      <w:r>
        <w:rPr>
          <w:rFonts w:hint="eastAsia" w:ascii="仿宋_GB2312" w:hAnsi="宋体"/>
          <w:color w:val="000000" w:themeColor="text1"/>
          <w:sz w:val="32"/>
          <w:szCs w:val="32"/>
          <w14:textFill>
            <w14:solidFill>
              <w14:schemeClr w14:val="tx1"/>
            </w14:solidFill>
          </w14:textFill>
        </w:rPr>
        <w:t>个，形成了主体多源、多方协同的良好发展局面。引入专业化运营团队，开展园区运营服务；建成全球日加氢量最大的海珀尔加氢站，为示范应用、技术测试提供氢源保障；京津冀首个氢能交流中心投运，形成展示、交流、科普为一体的行业高端交流平台；</w:t>
      </w:r>
      <w:r>
        <w:rPr>
          <w:rFonts w:ascii="仿宋_GB2312" w:hAnsi="宋体"/>
          <w:color w:val="000000"/>
          <w:sz w:val="32"/>
          <w:szCs w:val="32"/>
        </w:rPr>
        <w:t>多次成功举办</w:t>
      </w:r>
      <w:r>
        <w:rPr>
          <w:rFonts w:hint="eastAsia" w:ascii="仿宋_GB2312" w:hAnsi="宋体"/>
          <w:color w:val="000000"/>
          <w:sz w:val="32"/>
          <w:szCs w:val="32"/>
        </w:rPr>
        <w:t>国际、国内高级别系列活动，凝聚产业智慧力量，打造“大兴氢能”平台，为产业发展注入活力</w:t>
      </w:r>
      <w:r>
        <w:rPr>
          <w:rFonts w:hint="eastAsia" w:ascii="仿宋_GB2312" w:hAnsi="宋体"/>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3"/>
        <w:textAlignment w:val="auto"/>
        <w:rPr>
          <w:rFonts w:ascii="仿宋_GB2312" w:hAnsi="宋体"/>
          <w:color w:val="000000" w:themeColor="text1"/>
          <w:szCs w:val="32"/>
          <w14:textFill>
            <w14:solidFill>
              <w14:schemeClr w14:val="tx1"/>
            </w14:solidFill>
          </w14:textFill>
        </w:rPr>
      </w:pPr>
      <w:r>
        <w:rPr>
          <w:rFonts w:hint="eastAsia" w:ascii="仿宋_GB2312" w:hAnsi="宋体"/>
          <w:b/>
          <w:bCs/>
          <w:color w:val="000000" w:themeColor="text1"/>
          <w:sz w:val="32"/>
          <w:szCs w:val="32"/>
          <w14:textFill>
            <w14:solidFill>
              <w14:schemeClr w14:val="tx1"/>
            </w14:solidFill>
          </w14:textFill>
        </w:rPr>
        <w:t>4.应用场景多元</w:t>
      </w:r>
      <w:r>
        <w:rPr>
          <w:rFonts w:hint="eastAsia" w:ascii="仿宋_GB2312" w:hAnsi="宋体"/>
          <w:b/>
          <w:bCs/>
          <w:color w:val="000000" w:themeColor="text1"/>
          <w:szCs w:val="32"/>
          <w14:textFill>
            <w14:solidFill>
              <w14:schemeClr w14:val="tx1"/>
            </w14:solidFill>
          </w14:textFill>
        </w:rPr>
        <w:t>。</w:t>
      </w:r>
      <w:r>
        <w:rPr>
          <w:rFonts w:hint="eastAsia" w:ascii="仿宋_GB2312"/>
          <w:color w:val="000000" w:themeColor="text1"/>
          <w:sz w:val="32"/>
          <w:szCs w:val="24"/>
          <w14:textFill>
            <w14:solidFill>
              <w14:schemeClr w14:val="tx1"/>
            </w14:solidFill>
          </w14:textFill>
        </w:rPr>
        <w:t>大兴区凭借产业基础与</w:t>
      </w:r>
      <w:r>
        <w:rPr>
          <w:rFonts w:hint="eastAsia" w:ascii="仿宋_GB2312"/>
          <w:color w:val="000000" w:themeColor="text1"/>
          <w:sz w:val="32"/>
          <w:szCs w:val="24"/>
          <w:lang w:eastAsia="zh-CN"/>
          <w14:textFill>
            <w14:solidFill>
              <w14:schemeClr w14:val="tx1"/>
            </w14:solidFill>
          </w14:textFill>
        </w:rPr>
        <w:t>区位空间</w:t>
      </w:r>
      <w:r>
        <w:rPr>
          <w:rFonts w:hint="eastAsia" w:ascii="仿宋_GB2312"/>
          <w:color w:val="000000" w:themeColor="text1"/>
          <w:sz w:val="32"/>
          <w:szCs w:val="24"/>
          <w14:textFill>
            <w14:solidFill>
              <w14:schemeClr w14:val="tx1"/>
            </w14:solidFill>
          </w14:textFill>
        </w:rPr>
        <w:t>优势，在交通、建筑和制储能三大领域均具备良好的场景应用潜力。</w:t>
      </w:r>
      <w:r>
        <w:rPr>
          <w:rFonts w:hint="eastAsia" w:ascii="仿宋_GB2312" w:hAnsi="宋体"/>
          <w:color w:val="000000" w:themeColor="text1"/>
          <w:sz w:val="32"/>
          <w:szCs w:val="32"/>
          <w14:textFill>
            <w14:solidFill>
              <w14:schemeClr w14:val="tx1"/>
            </w14:solidFill>
          </w14:textFill>
        </w:rPr>
        <w:t>交通领域方面，大兴区位于京津冀南部客货运输大通道正中部，</w:t>
      </w:r>
      <w:r>
        <w:rPr>
          <w:rFonts w:hint="eastAsia" w:ascii="仿宋_GB2312" w:hAnsi="宋体"/>
          <w:color w:val="000000" w:themeColor="text1"/>
          <w:sz w:val="32"/>
          <w:szCs w:val="32"/>
          <w:highlight w:val="none"/>
          <w14:textFill>
            <w14:solidFill>
              <w14:schemeClr w14:val="tx1"/>
            </w14:solidFill>
          </w14:textFill>
        </w:rPr>
        <w:t>交通区位优势明显，</w:t>
      </w:r>
      <w:r>
        <w:rPr>
          <w:rFonts w:hint="eastAsia" w:ascii="仿宋_GB2312" w:hAnsi="宋体"/>
          <w:color w:val="000000" w:themeColor="text1"/>
          <w:sz w:val="32"/>
          <w:szCs w:val="32"/>
          <w:highlight w:val="none"/>
          <w:lang w:eastAsia="zh-CN"/>
          <w14:textFill>
            <w14:solidFill>
              <w14:schemeClr w14:val="tx1"/>
            </w14:solidFill>
          </w14:textFill>
        </w:rPr>
        <w:t>每日经过南部高速的</w:t>
      </w:r>
      <w:r>
        <w:rPr>
          <w:rFonts w:hint="eastAsia" w:ascii="仿宋_GB2312" w:hAnsi="宋体"/>
          <w:color w:val="000000" w:themeColor="text1"/>
          <w:sz w:val="32"/>
          <w:szCs w:val="32"/>
          <w:highlight w:val="none"/>
          <w14:textFill>
            <w14:solidFill>
              <w14:schemeClr w14:val="tx1"/>
            </w14:solidFill>
          </w14:textFill>
        </w:rPr>
        <w:t>车辆规模达数十万辆级</w:t>
      </w:r>
      <w:r>
        <w:rPr>
          <w:rFonts w:hint="eastAsia" w:ascii="仿宋_GB2312" w:hAnsi="宋体"/>
          <w:color w:val="000000" w:themeColor="text1"/>
          <w:sz w:val="32"/>
          <w:szCs w:val="32"/>
          <w14:textFill>
            <w14:solidFill>
              <w14:schemeClr w14:val="tx1"/>
            </w14:solidFill>
          </w14:textFill>
        </w:rPr>
        <w:t>，拥有北京大兴国际机场、京南物流基地、京东亚洲一号等丰富的超大型客货运场景。建筑领域方面，大兴区拥有临空经济区、生物医药基地、中日</w:t>
      </w:r>
      <w:r>
        <w:rPr>
          <w:rFonts w:hint="eastAsia" w:ascii="仿宋_GB2312" w:hAnsi="宋体"/>
          <w:color w:val="000000" w:themeColor="text1"/>
          <w:sz w:val="32"/>
          <w:szCs w:val="32"/>
          <w:lang w:eastAsia="zh-CN"/>
          <w14:textFill>
            <w14:solidFill>
              <w14:schemeClr w14:val="tx1"/>
            </w14:solidFill>
          </w14:textFill>
        </w:rPr>
        <w:t>创新合作</w:t>
      </w:r>
      <w:r>
        <w:rPr>
          <w:rFonts w:hint="eastAsia" w:ascii="仿宋_GB2312" w:hAnsi="宋体"/>
          <w:color w:val="000000" w:themeColor="text1"/>
          <w:sz w:val="32"/>
          <w:szCs w:val="32"/>
          <w14:textFill>
            <w14:solidFill>
              <w14:schemeClr w14:val="tx1"/>
            </w14:solidFill>
          </w14:textFill>
        </w:rPr>
        <w:t>示范区、国际氢能示范区、大兴经开区、北京商业航天产业基地等六大功能区，为探索热电联供建筑应用模式提供充足空间。制储能领域方面，大兴区已建成投运北京南部地区第一座生活垃圾焚烧发电厂，为生物质热解气化发电制氢研究提供试验场地</w:t>
      </w:r>
      <w:r>
        <w:rPr>
          <w:rFonts w:hint="eastAsia" w:ascii="仿宋_GB2312" w:hAnsi="Arial" w:cs="Arial"/>
          <w:color w:val="000000" w:themeColor="text1"/>
          <w:sz w:val="32"/>
          <w:szCs w:val="24"/>
          <w:shd w:val="clear" w:color="auto" w:fill="FFFFFF"/>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3"/>
        <w:textAlignment w:val="auto"/>
        <w:rPr>
          <w:rFonts w:ascii="仿宋_GB2312" w:hAnsi="宋体"/>
          <w:color w:val="000000" w:themeColor="text1"/>
          <w:sz w:val="32"/>
          <w:szCs w:val="36"/>
          <w14:textFill>
            <w14:solidFill>
              <w14:schemeClr w14:val="tx1"/>
            </w14:solidFill>
          </w14:textFill>
        </w:rPr>
      </w:pPr>
      <w:r>
        <w:rPr>
          <w:rFonts w:hint="eastAsia" w:ascii="仿宋_GB2312" w:hAnsi="宋体"/>
          <w:b/>
          <w:bCs/>
          <w:color w:val="000000" w:themeColor="text1"/>
          <w:sz w:val="32"/>
          <w:szCs w:val="32"/>
          <w14:textFill>
            <w14:solidFill>
              <w14:schemeClr w14:val="tx1"/>
            </w14:solidFill>
          </w14:textFill>
        </w:rPr>
        <w:t>5.政策环境优渥。</w:t>
      </w:r>
      <w:r>
        <w:rPr>
          <w:rFonts w:hint="eastAsia" w:ascii="仿宋_GB2312" w:hAnsi="宋体"/>
          <w:color w:val="000000"/>
          <w:sz w:val="32"/>
          <w:szCs w:val="32"/>
        </w:rPr>
        <w:t>大兴区拥有自贸区、综保区、中关村、国家服务业扩大开放等多重政策叠加优势。大兴区超前谋划，将氢能产业作为未来重点培育的战略新兴产业，在京津冀率先印发了首个氢能专项支持政策《大兴区促进氢能产业发展暂行办法》（简称“氢十条”），围绕优质项目落地、科研投入、应用场景建设等方面，支持企业集聚发展。同时，大兴区构建了“1+N”产业政策支持体系，在人才落户、医疗服务、子女入学、金融服务、住房保障等方面为企业提供全方位精准服务，支撑氢能产业快速发展</w:t>
      </w:r>
      <w:r>
        <w:rPr>
          <w:rFonts w:hint="eastAsia" w:ascii="仿宋_GB2312" w:hAnsi="宋体"/>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0"/>
        <w:textAlignment w:val="auto"/>
        <w:outlineLvl w:val="1"/>
        <w:rPr>
          <w:rFonts w:hint="eastAsia" w:ascii="等线 Light" w:hAnsi="等线 Light" w:eastAsia="楷体_GB2312" w:cs="宋体"/>
          <w:b w:val="0"/>
          <w:bCs/>
          <w:kern w:val="2"/>
          <w:sz w:val="32"/>
          <w:szCs w:val="32"/>
          <w:lang w:val="en-US" w:eastAsia="zh-CN" w:bidi="ar-SA"/>
        </w:rPr>
      </w:pPr>
      <w:bookmarkStart w:id="4" w:name="_Toc109580976"/>
      <w:r>
        <w:rPr>
          <w:rFonts w:hint="eastAsia" w:ascii="等线 Light" w:hAnsi="等线 Light" w:eastAsia="楷体_GB2312" w:cs="宋体"/>
          <w:b w:val="0"/>
          <w:bCs/>
          <w:kern w:val="2"/>
          <w:sz w:val="32"/>
          <w:szCs w:val="32"/>
          <w:lang w:val="en-US" w:eastAsia="zh-CN" w:bidi="ar-SA"/>
        </w:rPr>
        <w:t>（二）发展形势</w:t>
      </w:r>
      <w:bookmarkEnd w:id="3"/>
      <w:bookmarkEnd w:id="4"/>
      <w:bookmarkStart w:id="5" w:name="_Hlk88662089"/>
    </w:p>
    <w:p>
      <w:pPr>
        <w:pageBreakBefore w:val="0"/>
        <w:kinsoku/>
        <w:wordWrap/>
        <w:overflowPunct/>
        <w:topLinePunct w:val="0"/>
        <w:autoSpaceDE/>
        <w:autoSpaceDN/>
        <w:bidi w:val="0"/>
        <w:adjustRightInd/>
        <w:snapToGrid/>
        <w:spacing w:line="560" w:lineRule="exact"/>
        <w:ind w:firstLine="643"/>
        <w:textAlignment w:val="auto"/>
        <w:rPr>
          <w:rFonts w:ascii="宋体" w:hAnsi="宋体"/>
          <w:color w:val="000000" w:themeColor="text1"/>
          <w:sz w:val="32"/>
          <w:szCs w:val="32"/>
          <w14:textFill>
            <w14:solidFill>
              <w14:schemeClr w14:val="tx1"/>
            </w14:solidFill>
          </w14:textFill>
        </w:rPr>
      </w:pPr>
      <w:r>
        <w:rPr>
          <w:rFonts w:hint="eastAsia" w:ascii="宋体" w:hAnsi="宋体"/>
          <w:b w:val="0"/>
          <w:bCs w:val="0"/>
          <w:color w:val="000000" w:themeColor="text1"/>
          <w:sz w:val="32"/>
          <w:szCs w:val="32"/>
          <w14:textFill>
            <w14:solidFill>
              <w14:schemeClr w14:val="tx1"/>
            </w14:solidFill>
          </w14:textFill>
        </w:rPr>
        <w:t>全球氢能产业进入市场化临界点的黄金机遇期。</w:t>
      </w:r>
      <w:r>
        <w:rPr>
          <w:rFonts w:hint="eastAsia" w:ascii="宋体" w:hAnsi="宋体"/>
          <w:color w:val="000000" w:themeColor="text1"/>
          <w:sz w:val="32"/>
          <w:szCs w:val="32"/>
          <w14:textFill>
            <w14:solidFill>
              <w14:schemeClr w14:val="tx1"/>
            </w14:solidFill>
          </w14:textFill>
        </w:rPr>
        <w:t>氢能战略成为全球能源战略的重要组成部分。欧美日韩等国家和地区均将氢能纳入国家能源战略规划，相继出台氢能战略和发展路线图，持续加大投入、加强布局，以抢占氢能产业发展制高点，在燃料电池汽车基础研发、产业链关键技术等方面</w:t>
      </w:r>
      <w:r>
        <w:rPr>
          <w:rFonts w:hint="eastAsia" w:ascii="宋体" w:hAnsi="宋体"/>
          <w:color w:val="000000" w:themeColor="text1"/>
          <w:sz w:val="32"/>
          <w:szCs w:val="32"/>
          <w:lang w:eastAsia="zh-CN"/>
          <w14:textFill>
            <w14:solidFill>
              <w14:schemeClr w14:val="tx1"/>
            </w14:solidFill>
          </w14:textFill>
        </w:rPr>
        <w:t>也</w:t>
      </w:r>
      <w:r>
        <w:rPr>
          <w:rFonts w:hint="eastAsia" w:ascii="宋体" w:hAnsi="宋体"/>
          <w:color w:val="000000" w:themeColor="text1"/>
          <w:sz w:val="32"/>
          <w:szCs w:val="32"/>
          <w14:textFill>
            <w14:solidFill>
              <w14:schemeClr w14:val="tx1"/>
            </w14:solidFill>
          </w14:textFill>
        </w:rPr>
        <w:t>取得实质性进展，</w:t>
      </w:r>
      <w:r>
        <w:rPr>
          <w:rFonts w:hint="eastAsia" w:ascii="宋体" w:hAnsi="宋体"/>
          <w:color w:val="000000" w:themeColor="text1"/>
          <w:sz w:val="32"/>
          <w:szCs w:val="32"/>
          <w:lang w:eastAsia="zh-CN"/>
          <w14:textFill>
            <w14:solidFill>
              <w14:schemeClr w14:val="tx1"/>
            </w14:solidFill>
          </w14:textFill>
        </w:rPr>
        <w:t>氢能产业的商业化步伐不断加快</w:t>
      </w:r>
      <w:r>
        <w:rPr>
          <w:rFonts w:hint="eastAsia" w:ascii="宋体" w:hAnsi="宋体"/>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3"/>
        <w:textAlignment w:val="auto"/>
        <w:rPr>
          <w:rFonts w:ascii="宋体" w:hAnsi="宋体"/>
          <w:color w:val="000000" w:themeColor="text1"/>
          <w:sz w:val="32"/>
          <w:szCs w:val="32"/>
          <w14:textFill>
            <w14:solidFill>
              <w14:schemeClr w14:val="tx1"/>
            </w14:solidFill>
          </w14:textFill>
        </w:rPr>
      </w:pPr>
      <w:r>
        <w:rPr>
          <w:rFonts w:hint="eastAsia" w:ascii="宋体" w:hAnsi="宋体"/>
          <w:b w:val="0"/>
          <w:bCs w:val="0"/>
          <w:color w:val="000000" w:themeColor="text1"/>
          <w:sz w:val="32"/>
          <w:szCs w:val="32"/>
          <w14:textFill>
            <w14:solidFill>
              <w14:schemeClr w14:val="tx1"/>
            </w14:solidFill>
          </w14:textFill>
        </w:rPr>
        <w:t>我国氢能产业进入产业化大发展的重要战略机遇期</w:t>
      </w:r>
      <w:r>
        <w:rPr>
          <w:rFonts w:hint="eastAsia" w:ascii="宋体" w:hAnsi="宋体"/>
          <w:b w:val="0"/>
          <w:bCs w:val="0"/>
          <w:color w:val="000000" w:themeColor="text1"/>
          <w:sz w:val="32"/>
          <w:szCs w:val="32"/>
          <w:lang w:eastAsia="zh-CN"/>
          <w14:textFill>
            <w14:solidFill>
              <w14:schemeClr w14:val="tx1"/>
            </w14:solidFill>
          </w14:textFill>
        </w:rPr>
        <w:t>。我国</w:t>
      </w:r>
      <w:r>
        <w:rPr>
          <w:rFonts w:hint="eastAsia" w:ascii="宋体" w:hAnsi="宋体"/>
          <w:b w:val="0"/>
          <w:bCs w:val="0"/>
          <w:color w:val="000000" w:themeColor="text1"/>
          <w:sz w:val="32"/>
          <w:szCs w:val="32"/>
          <w14:textFill>
            <w14:solidFill>
              <w14:schemeClr w14:val="tx1"/>
            </w14:solidFill>
          </w14:textFill>
        </w:rPr>
        <w:t>已具备一定的氢能技术基础能力和实际应用场景</w:t>
      </w:r>
      <w:r>
        <w:rPr>
          <w:rFonts w:hint="eastAsia" w:ascii="宋体" w:hAnsi="宋体"/>
          <w:b w:val="0"/>
          <w:bCs w:val="0"/>
          <w:color w:val="000000" w:themeColor="text1"/>
          <w:sz w:val="32"/>
          <w:szCs w:val="32"/>
          <w:lang w:eastAsia="zh-CN"/>
          <w14:textFill>
            <w14:solidFill>
              <w14:schemeClr w14:val="tx1"/>
            </w14:solidFill>
          </w14:textFill>
        </w:rPr>
        <w:t>，</w:t>
      </w:r>
      <w:r>
        <w:rPr>
          <w:rFonts w:hint="eastAsia" w:ascii="宋体" w:hAnsi="宋体"/>
          <w:color w:val="000000" w:themeColor="text1"/>
          <w:sz w:val="32"/>
          <w:szCs w:val="32"/>
          <w14:textFill>
            <w14:solidFill>
              <w14:schemeClr w14:val="tx1"/>
            </w14:solidFill>
          </w14:textFill>
        </w:rPr>
        <w:t>《</w:t>
      </w:r>
      <w:r>
        <w:rPr>
          <w:rFonts w:hint="eastAsia" w:ascii="仿宋_GB2312" w:hAnsi="宋体"/>
          <w:color w:val="000000" w:themeColor="text1"/>
          <w:sz w:val="32"/>
          <w:szCs w:val="32"/>
          <w14:textFill>
            <w14:solidFill>
              <w14:schemeClr w14:val="tx1"/>
            </w14:solidFill>
          </w14:textFill>
        </w:rPr>
        <w:t>氢能产业发展中长期规划（</w:t>
      </w:r>
      <w:r>
        <w:rPr>
          <w:rFonts w:ascii="仿宋_GB2312" w:hAnsi="宋体"/>
          <w:color w:val="000000" w:themeColor="text1"/>
          <w:sz w:val="32"/>
          <w:szCs w:val="32"/>
          <w14:textFill>
            <w14:solidFill>
              <w14:schemeClr w14:val="tx1"/>
            </w14:solidFill>
          </w14:textFill>
        </w:rPr>
        <w:t>2021-2035</w:t>
      </w:r>
      <w:r>
        <w:rPr>
          <w:rFonts w:hint="eastAsia" w:ascii="仿宋_GB2312" w:hAnsi="宋体"/>
          <w:color w:val="000000" w:themeColor="text1"/>
          <w:sz w:val="32"/>
          <w:szCs w:val="32"/>
          <w14:textFill>
            <w14:solidFill>
              <w14:schemeClr w14:val="tx1"/>
            </w14:solidFill>
          </w14:textFill>
        </w:rPr>
        <w:t>年</w:t>
      </w:r>
      <w:r>
        <w:rPr>
          <w:rFonts w:hint="eastAsia" w:ascii="宋体" w:hAnsi="宋体"/>
          <w:color w:val="000000" w:themeColor="text1"/>
          <w:sz w:val="32"/>
          <w:szCs w:val="32"/>
          <w14:textFill>
            <w14:solidFill>
              <w14:schemeClr w14:val="tx1"/>
            </w14:solidFill>
          </w14:textFill>
        </w:rPr>
        <w:t>）》明确了氢能三大战略定位，并围绕氢能核心关键技术攻坚、基础设施建设、多元化示范应用、政策制度配套等方面提出明确的发展要求。氢能产业发展迎来前所未有的战略机遇，进入产业化大发展的新阶段。京津冀、上海、广东、河南及河北五大示范城市群全面布局氢能产业发展蓝图；全国</w:t>
      </w:r>
      <w:r>
        <w:rPr>
          <w:rFonts w:hint="eastAsia" w:ascii="仿宋_GB2312" w:hAnsi="宋体"/>
          <w:color w:val="000000" w:themeColor="text1"/>
          <w:sz w:val="32"/>
          <w:szCs w:val="32"/>
          <w14:textFill>
            <w14:solidFill>
              <w14:schemeClr w14:val="tx1"/>
            </w14:solidFill>
          </w14:textFill>
        </w:rPr>
        <w:t>40</w:t>
      </w:r>
      <w:r>
        <w:rPr>
          <w:rFonts w:hint="eastAsia" w:ascii="宋体" w:hAnsi="宋体"/>
          <w:color w:val="000000" w:themeColor="text1"/>
          <w:sz w:val="32"/>
          <w:szCs w:val="32"/>
          <w14:textFill>
            <w14:solidFill>
              <w14:schemeClr w14:val="tx1"/>
            </w14:solidFill>
          </w14:textFill>
        </w:rPr>
        <w:t>余个城市编制出台了氢能产业发展规划，积极打造新的战略经济增长点。</w:t>
      </w:r>
    </w:p>
    <w:p>
      <w:pPr>
        <w:pageBreakBefore w:val="0"/>
        <w:kinsoku/>
        <w:wordWrap/>
        <w:overflowPunct/>
        <w:topLinePunct w:val="0"/>
        <w:autoSpaceDE/>
        <w:autoSpaceDN/>
        <w:bidi w:val="0"/>
        <w:adjustRightInd/>
        <w:snapToGrid/>
        <w:spacing w:line="560" w:lineRule="exact"/>
        <w:ind w:firstLine="643"/>
        <w:textAlignment w:val="auto"/>
        <w:rPr>
          <w:rFonts w:ascii="仿宋_GB2312" w:cs="仿宋_GB2312"/>
          <w:color w:val="000000" w:themeColor="text1"/>
          <w:sz w:val="32"/>
          <w:szCs w:val="32"/>
          <w14:textFill>
            <w14:solidFill>
              <w14:schemeClr w14:val="tx1"/>
            </w14:solidFill>
          </w14:textFill>
        </w:rPr>
      </w:pPr>
      <w:r>
        <w:rPr>
          <w:rFonts w:hint="eastAsia" w:ascii="仿宋_GB2312" w:cs="仿宋_GB2312"/>
          <w:b w:val="0"/>
          <w:bCs w:val="0"/>
          <w:color w:val="000000" w:themeColor="text1"/>
          <w:sz w:val="32"/>
          <w:szCs w:val="32"/>
          <w14:textFill>
            <w14:solidFill>
              <w14:schemeClr w14:val="tx1"/>
            </w14:solidFill>
          </w14:textFill>
        </w:rPr>
        <w:t>北京氢能产业进入区域协同的加速构建期。</w:t>
      </w:r>
      <w:r>
        <w:rPr>
          <w:rFonts w:hint="eastAsia" w:ascii="仿宋_GB2312" w:cs="仿宋_GB2312"/>
          <w:color w:val="000000" w:themeColor="text1"/>
          <w:sz w:val="32"/>
          <w:szCs w:val="32"/>
          <w14:textFill>
            <w14:solidFill>
              <w14:schemeClr w14:val="tx1"/>
            </w14:solidFill>
          </w14:textFill>
        </w:rPr>
        <w:t>北京市氢能技术研究在我国起步最早，在氢能产业科技创新、产业基础、支撑要素和市场应用方面具有全国领先优势。随着京津冀燃料电池汽车示范城市群的批复和启动建设，依托2</w:t>
      </w:r>
      <w:r>
        <w:rPr>
          <w:rFonts w:ascii="仿宋_GB2312" w:cs="仿宋_GB2312"/>
          <w:color w:val="000000" w:themeColor="text1"/>
          <w:sz w:val="32"/>
          <w:szCs w:val="32"/>
          <w14:textFill>
            <w14:solidFill>
              <w14:schemeClr w14:val="tx1"/>
            </w14:solidFill>
          </w14:textFill>
        </w:rPr>
        <w:t>022</w:t>
      </w:r>
      <w:r>
        <w:rPr>
          <w:rFonts w:hint="eastAsia" w:ascii="仿宋_GB2312" w:cs="仿宋_GB2312"/>
          <w:color w:val="000000" w:themeColor="text1"/>
          <w:sz w:val="32"/>
          <w:szCs w:val="32"/>
          <w14:textFill>
            <w14:solidFill>
              <w14:schemeClr w14:val="tx1"/>
            </w14:solidFill>
          </w14:textFill>
        </w:rPr>
        <w:t>年冬奥会、冬残奥会等契机，京津冀正在加速构建以北京为强大内核、区域协同发展的氢能产业发展新格局。</w:t>
      </w:r>
    </w:p>
    <w:p>
      <w:pPr>
        <w:pageBreakBefore w:val="0"/>
        <w:kinsoku/>
        <w:wordWrap/>
        <w:overflowPunct/>
        <w:topLinePunct w:val="0"/>
        <w:autoSpaceDE/>
        <w:autoSpaceDN/>
        <w:bidi w:val="0"/>
        <w:adjustRightInd/>
        <w:snapToGrid/>
        <w:spacing w:line="560" w:lineRule="exact"/>
        <w:ind w:firstLine="643"/>
        <w:textAlignment w:val="auto"/>
        <w:rPr>
          <w:color w:val="000000" w:themeColor="text1"/>
          <w14:textFill>
            <w14:solidFill>
              <w14:schemeClr w14:val="tx1"/>
            </w14:solidFill>
          </w14:textFill>
        </w:rPr>
      </w:pPr>
      <w:r>
        <w:rPr>
          <w:rFonts w:hint="eastAsia" w:ascii="仿宋_GB2312" w:cs="仿宋_GB2312"/>
          <w:b w:val="0"/>
          <w:bCs w:val="0"/>
          <w:color w:val="000000" w:themeColor="text1"/>
          <w:sz w:val="32"/>
          <w:szCs w:val="32"/>
          <w14:textFill>
            <w14:solidFill>
              <w14:schemeClr w14:val="tx1"/>
            </w14:solidFill>
          </w14:textFill>
        </w:rPr>
        <w:t>在上述发展形势下，大兴区亟需紧抓国内外氢能产业发展的黄金机遇期，立足自身基础，赢得先机、谋定赛道。</w:t>
      </w:r>
      <w:r>
        <w:rPr>
          <w:rFonts w:hint="eastAsia" w:ascii="仿宋_GB2312" w:cs="仿宋_GB2312"/>
          <w:color w:val="000000" w:themeColor="text1"/>
          <w:sz w:val="32"/>
          <w:szCs w:val="32"/>
          <w14:textFill>
            <w14:solidFill>
              <w14:schemeClr w14:val="tx1"/>
            </w14:solidFill>
          </w14:textFill>
        </w:rPr>
        <w:t>一方面，牢牢把握市级赋予大兴“氢能高端装备制造与应用示范区”的定位，塑造“大兴氢能”的示范名片和全球标杆，提升国际影响力；另一方面，充分发挥大兴作为京津冀燃料电池汽车示范城市群“群主”的作用，聚合区域资源禀赋和互补优势，带动氢能全产业链规模化、商业化发展，实现核心技术和产品的全球输出，在氢能产业发展中实现国际领先。</w:t>
      </w:r>
    </w:p>
    <w:bookmarkEnd w:id="5"/>
    <w:p>
      <w:pPr>
        <w:pageBreakBefore w:val="0"/>
        <w:kinsoku/>
        <w:wordWrap/>
        <w:overflowPunct/>
        <w:topLinePunct w:val="0"/>
        <w:autoSpaceDE/>
        <w:autoSpaceDN/>
        <w:bidi w:val="0"/>
        <w:adjustRightInd/>
        <w:snapToGrid/>
        <w:spacing w:line="560" w:lineRule="exact"/>
        <w:ind w:firstLine="640"/>
        <w:textAlignment w:val="auto"/>
        <w:outlineLvl w:val="0"/>
        <w:rPr>
          <w:rFonts w:hint="eastAsia" w:ascii="Times New Roman" w:hAnsi="Times New Roman" w:eastAsia="黑体" w:cs="宋体"/>
          <w:b w:val="0"/>
          <w:bCs/>
          <w:kern w:val="44"/>
          <w:sz w:val="32"/>
          <w:szCs w:val="44"/>
          <w:lang w:val="en-US" w:eastAsia="zh-CN" w:bidi="ar-SA"/>
        </w:rPr>
      </w:pPr>
      <w:bookmarkStart w:id="6" w:name="_Toc109580977"/>
      <w:r>
        <w:rPr>
          <w:rFonts w:hint="eastAsia" w:ascii="Times New Roman" w:hAnsi="Times New Roman" w:eastAsia="黑体" w:cs="宋体"/>
          <w:b w:val="0"/>
          <w:bCs/>
          <w:kern w:val="44"/>
          <w:sz w:val="32"/>
          <w:szCs w:val="44"/>
          <w:lang w:val="en-US" w:eastAsia="zh-CN" w:bidi="ar-SA"/>
        </w:rPr>
        <w:t>二、总体要求</w:t>
      </w:r>
      <w:bookmarkEnd w:id="6"/>
    </w:p>
    <w:p>
      <w:pPr>
        <w:pageBreakBefore w:val="0"/>
        <w:kinsoku/>
        <w:wordWrap/>
        <w:overflowPunct/>
        <w:topLinePunct w:val="0"/>
        <w:autoSpaceDE/>
        <w:autoSpaceDN/>
        <w:bidi w:val="0"/>
        <w:adjustRightInd/>
        <w:snapToGrid/>
        <w:spacing w:line="560" w:lineRule="exact"/>
        <w:ind w:firstLine="640"/>
        <w:textAlignment w:val="auto"/>
        <w:outlineLvl w:val="1"/>
        <w:rPr>
          <w:rFonts w:hint="eastAsia" w:ascii="等线 Light" w:hAnsi="等线 Light" w:eastAsia="楷体_GB2312" w:cs="宋体"/>
          <w:b w:val="0"/>
          <w:bCs/>
          <w:kern w:val="2"/>
          <w:sz w:val="32"/>
          <w:szCs w:val="32"/>
          <w:lang w:val="en-US" w:eastAsia="zh-CN" w:bidi="ar-SA"/>
        </w:rPr>
      </w:pPr>
      <w:bookmarkStart w:id="7" w:name="_Toc109580978"/>
      <w:r>
        <w:rPr>
          <w:rFonts w:hint="eastAsia" w:ascii="等线 Light" w:hAnsi="等线 Light" w:eastAsia="楷体_GB2312" w:cs="宋体"/>
          <w:b w:val="0"/>
          <w:bCs/>
          <w:kern w:val="2"/>
          <w:sz w:val="32"/>
          <w:szCs w:val="32"/>
          <w:lang w:val="en-US" w:eastAsia="zh-CN" w:bidi="ar-SA"/>
        </w:rPr>
        <w:t>（一）指导思想</w:t>
      </w:r>
      <w:bookmarkEnd w:id="7"/>
    </w:p>
    <w:p>
      <w:pPr>
        <w:pageBreakBefore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以习近平新时代中国特色社会主义思想为指导，全面贯彻党的十九届六中全会精神，立足北京市率先践行“碳达峰、碳中和”目标，有效推动京津冀绿色协同发展，以京津冀燃料电池汽车示范城市群为契机，以打造开放、创新、自主的产业体系为核心，坚持优质场景塑鲜明特色、优质市场赋强势动能，优质产业促协同发展的“三优联动”主思路，将氢能产业打造成为大兴区战略新兴支柱产业。</w:t>
      </w:r>
    </w:p>
    <w:p>
      <w:pPr>
        <w:pageBreakBefore w:val="0"/>
        <w:kinsoku/>
        <w:wordWrap/>
        <w:overflowPunct/>
        <w:topLinePunct w:val="0"/>
        <w:autoSpaceDE/>
        <w:autoSpaceDN/>
        <w:bidi w:val="0"/>
        <w:adjustRightInd/>
        <w:snapToGrid/>
        <w:spacing w:line="560" w:lineRule="exact"/>
        <w:ind w:firstLine="640"/>
        <w:textAlignment w:val="auto"/>
        <w:outlineLvl w:val="1"/>
        <w:rPr>
          <w:rFonts w:hint="eastAsia" w:ascii="等线 Light" w:hAnsi="等线 Light" w:eastAsia="楷体_GB2312" w:cs="宋体"/>
          <w:b w:val="0"/>
          <w:bCs/>
          <w:kern w:val="2"/>
          <w:sz w:val="32"/>
          <w:szCs w:val="32"/>
          <w:lang w:val="en-US" w:eastAsia="zh-CN" w:bidi="ar-SA"/>
        </w:rPr>
      </w:pPr>
      <w:bookmarkStart w:id="8" w:name="_Toc109580979"/>
      <w:r>
        <w:rPr>
          <w:rFonts w:hint="eastAsia" w:ascii="等线 Light" w:hAnsi="等线 Light" w:eastAsia="楷体_GB2312" w:cs="宋体"/>
          <w:b w:val="0"/>
          <w:bCs/>
          <w:kern w:val="2"/>
          <w:sz w:val="32"/>
          <w:szCs w:val="32"/>
          <w:lang w:val="en-US" w:eastAsia="zh-CN" w:bidi="ar-SA"/>
        </w:rPr>
        <w:t>（二）基本原则</w:t>
      </w:r>
      <w:bookmarkEnd w:id="8"/>
    </w:p>
    <w:p>
      <w:pPr>
        <w:pageBreakBefore w:val="0"/>
        <w:kinsoku/>
        <w:wordWrap/>
        <w:overflowPunct/>
        <w:topLinePunct w:val="0"/>
        <w:autoSpaceDE/>
        <w:autoSpaceDN/>
        <w:bidi w:val="0"/>
        <w:adjustRightInd/>
        <w:snapToGrid/>
        <w:spacing w:line="560" w:lineRule="exact"/>
        <w:ind w:firstLine="643"/>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创</w:t>
      </w:r>
      <w:r>
        <w:rPr>
          <w:rFonts w:hint="eastAsia" w:ascii="宋体" w:hAnsi="宋体"/>
          <w:b/>
          <w:bCs/>
          <w:color w:val="000000" w:themeColor="text1"/>
          <w:sz w:val="32"/>
          <w:szCs w:val="32"/>
          <w14:textFill>
            <w14:solidFill>
              <w14:schemeClr w14:val="tx1"/>
            </w14:solidFill>
          </w14:textFill>
        </w:rPr>
        <w:t>新驱动。</w:t>
      </w:r>
      <w:r>
        <w:rPr>
          <w:rFonts w:hint="eastAsia" w:ascii="仿宋_GB2312" w:hAnsi="仿宋_GB2312" w:cs="仿宋_GB2312"/>
          <w:color w:val="000000"/>
          <w:sz w:val="32"/>
          <w:szCs w:val="32"/>
        </w:rPr>
        <w:t>以做强做优大兴氢能产业链、促进</w:t>
      </w:r>
      <w:r>
        <w:rPr>
          <w:rFonts w:hint="eastAsia" w:ascii="仿宋_GB2312" w:hAnsi="仿宋_GB2312" w:cs="仿宋_GB2312"/>
          <w:color w:val="000000"/>
          <w:sz w:val="32"/>
          <w:szCs w:val="32"/>
          <w:lang w:eastAsia="zh-CN"/>
        </w:rPr>
        <w:t>氢能</w:t>
      </w:r>
      <w:r>
        <w:rPr>
          <w:rFonts w:hint="eastAsia" w:ascii="仿宋_GB2312" w:hAnsi="仿宋_GB2312" w:cs="仿宋_GB2312"/>
          <w:color w:val="000000"/>
          <w:sz w:val="32"/>
          <w:szCs w:val="32"/>
        </w:rPr>
        <w:t>产业化落地为导向，聚焦重点领域和关键环节，集聚产业链创新资源，持续开展科研创新和技术研发，提升</w:t>
      </w:r>
      <w:r>
        <w:rPr>
          <w:rFonts w:hint="eastAsia" w:ascii="仿宋_GB2312" w:hAnsi="仿宋_GB2312" w:cs="仿宋_GB2312"/>
          <w:color w:val="000000"/>
          <w:sz w:val="32"/>
          <w:szCs w:val="32"/>
          <w:lang w:eastAsia="zh-CN"/>
        </w:rPr>
        <w:t>氢能</w:t>
      </w:r>
      <w:r>
        <w:rPr>
          <w:rFonts w:hint="eastAsia" w:ascii="仿宋_GB2312" w:hAnsi="仿宋_GB2312" w:cs="仿宋_GB2312"/>
          <w:color w:val="000000"/>
          <w:sz w:val="32"/>
          <w:szCs w:val="32"/>
        </w:rPr>
        <w:t>产业</w:t>
      </w:r>
      <w:r>
        <w:rPr>
          <w:rFonts w:hint="eastAsia" w:ascii="仿宋_GB2312" w:hAnsi="仿宋_GB2312" w:cs="仿宋_GB2312"/>
          <w:color w:val="000000"/>
          <w:sz w:val="32"/>
          <w:szCs w:val="32"/>
          <w:lang w:eastAsia="zh-CN"/>
        </w:rPr>
        <w:t>技术装备</w:t>
      </w:r>
      <w:r>
        <w:rPr>
          <w:rFonts w:hint="eastAsia" w:ascii="仿宋_GB2312" w:hAnsi="仿宋_GB2312" w:cs="仿宋_GB2312"/>
          <w:color w:val="000000"/>
          <w:sz w:val="32"/>
          <w:szCs w:val="32"/>
        </w:rPr>
        <w:t>自主可控的能力</w:t>
      </w:r>
      <w:r>
        <w:rPr>
          <w:rFonts w:hint="eastAsia" w:ascii="仿宋_GB2312" w:hAnsi="仿宋_GB2312" w:cs="仿宋_GB2312"/>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3"/>
        <w:textAlignment w:val="auto"/>
        <w:rPr>
          <w:rFonts w:ascii="宋体" w:hAnsi="宋体"/>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市</w:t>
      </w:r>
      <w:r>
        <w:rPr>
          <w:rFonts w:hint="eastAsia" w:ascii="宋体" w:hAnsi="宋体"/>
          <w:b/>
          <w:bCs/>
          <w:color w:val="000000" w:themeColor="text1"/>
          <w:sz w:val="32"/>
          <w:szCs w:val="32"/>
          <w14:textFill>
            <w14:solidFill>
              <w14:schemeClr w14:val="tx1"/>
            </w14:solidFill>
          </w14:textFill>
        </w:rPr>
        <w:t>场主导。</w:t>
      </w:r>
      <w:r>
        <w:rPr>
          <w:rFonts w:ascii="宋体" w:hAnsi="宋体"/>
          <w:color w:val="000000"/>
          <w:sz w:val="32"/>
          <w:szCs w:val="32"/>
        </w:rPr>
        <w:t>遵循市场主导</w:t>
      </w:r>
      <w:r>
        <w:rPr>
          <w:rFonts w:hint="eastAsia" w:ascii="宋体" w:hAnsi="宋体"/>
          <w:color w:val="000000"/>
          <w:sz w:val="32"/>
          <w:szCs w:val="32"/>
        </w:rPr>
        <w:t>、</w:t>
      </w:r>
      <w:r>
        <w:rPr>
          <w:rFonts w:ascii="宋体" w:hAnsi="宋体"/>
          <w:color w:val="000000"/>
          <w:sz w:val="32"/>
          <w:szCs w:val="32"/>
        </w:rPr>
        <w:t>政府引导的原则</w:t>
      </w:r>
      <w:r>
        <w:rPr>
          <w:rFonts w:hint="eastAsia" w:ascii="宋体" w:hAnsi="宋体"/>
          <w:color w:val="000000"/>
          <w:sz w:val="32"/>
          <w:szCs w:val="32"/>
        </w:rPr>
        <w:t>，充分发挥市场主体作用，</w:t>
      </w:r>
      <w:r>
        <w:rPr>
          <w:rFonts w:ascii="宋体" w:hAnsi="宋体"/>
          <w:color w:val="000000"/>
          <w:sz w:val="32"/>
          <w:szCs w:val="32"/>
        </w:rPr>
        <w:t>激发市场活力</w:t>
      </w:r>
      <w:r>
        <w:rPr>
          <w:rFonts w:hint="eastAsia" w:ascii="宋体" w:hAnsi="宋体"/>
          <w:color w:val="000000"/>
          <w:sz w:val="32"/>
          <w:szCs w:val="32"/>
        </w:rPr>
        <w:t>，</w:t>
      </w:r>
      <w:r>
        <w:rPr>
          <w:rFonts w:ascii="宋体" w:hAnsi="宋体"/>
          <w:color w:val="000000"/>
          <w:sz w:val="32"/>
          <w:szCs w:val="32"/>
        </w:rPr>
        <w:t>在技术创新突破</w:t>
      </w:r>
      <w:r>
        <w:rPr>
          <w:rFonts w:hint="eastAsia" w:ascii="宋体" w:hAnsi="宋体"/>
          <w:color w:val="000000"/>
          <w:sz w:val="32"/>
          <w:szCs w:val="32"/>
        </w:rPr>
        <w:t>、</w:t>
      </w:r>
      <w:r>
        <w:rPr>
          <w:rFonts w:ascii="宋体" w:hAnsi="宋体"/>
          <w:color w:val="000000"/>
          <w:sz w:val="32"/>
          <w:szCs w:val="32"/>
        </w:rPr>
        <w:t>产业规模化</w:t>
      </w:r>
      <w:r>
        <w:rPr>
          <w:rFonts w:hint="eastAsia" w:ascii="宋体" w:hAnsi="宋体"/>
          <w:color w:val="000000"/>
          <w:sz w:val="32"/>
          <w:szCs w:val="32"/>
        </w:rPr>
        <w:t>、</w:t>
      </w:r>
      <w:r>
        <w:rPr>
          <w:rFonts w:ascii="宋体" w:hAnsi="宋体"/>
          <w:color w:val="000000"/>
          <w:sz w:val="32"/>
          <w:szCs w:val="32"/>
        </w:rPr>
        <w:t>降本增效方面实现突破</w:t>
      </w:r>
      <w:r>
        <w:rPr>
          <w:rFonts w:hint="eastAsia" w:ascii="宋体" w:hAnsi="宋体"/>
          <w:color w:val="000000"/>
          <w:sz w:val="32"/>
          <w:szCs w:val="32"/>
        </w:rPr>
        <w:t>。</w:t>
      </w:r>
      <w:r>
        <w:rPr>
          <w:rFonts w:ascii="宋体" w:hAnsi="宋体"/>
          <w:color w:val="000000"/>
          <w:sz w:val="32"/>
          <w:szCs w:val="32"/>
        </w:rPr>
        <w:t>政府发挥引导作用</w:t>
      </w:r>
      <w:r>
        <w:rPr>
          <w:rFonts w:hint="eastAsia" w:ascii="宋体" w:hAnsi="宋体"/>
          <w:color w:val="000000"/>
          <w:sz w:val="32"/>
          <w:szCs w:val="32"/>
        </w:rPr>
        <w:t>，协同发力，搭建产业发展平台，汇聚发展资源要素，打造优质营商环境，促进氢能大规模商业化应用</w:t>
      </w:r>
      <w:r>
        <w:rPr>
          <w:rFonts w:hint="eastAsia" w:ascii="宋体" w:hAnsi="宋体"/>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3"/>
        <w:textAlignment w:val="auto"/>
        <w:rPr>
          <w:rFonts w:ascii="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宋体" w:hAnsi="宋体"/>
          <w:b/>
          <w:bCs/>
          <w:color w:val="000000" w:themeColor="text1"/>
          <w:sz w:val="32"/>
          <w:szCs w:val="32"/>
          <w14:textFill>
            <w14:solidFill>
              <w14:schemeClr w14:val="tx1"/>
            </w14:solidFill>
          </w14:textFill>
        </w:rPr>
        <w:t>区域协同。</w:t>
      </w:r>
      <w:r>
        <w:rPr>
          <w:rFonts w:hint="eastAsia" w:ascii="宋体" w:hAnsi="宋体"/>
          <w:color w:val="000000"/>
          <w:sz w:val="32"/>
          <w:szCs w:val="32"/>
        </w:rPr>
        <w:t>充分发挥大兴区区位优势及</w:t>
      </w:r>
      <w:r>
        <w:rPr>
          <w:rFonts w:hint="eastAsia" w:ascii="仿宋_GB2312" w:hAnsi="楷体" w:cs="楷体"/>
          <w:color w:val="000000"/>
          <w:sz w:val="32"/>
          <w:szCs w:val="32"/>
        </w:rPr>
        <w:t>京津冀燃料电池汽车示范群“群主”的牵头作用，在产业、技术、人才等方面，</w:t>
      </w:r>
      <w:r>
        <w:rPr>
          <w:rFonts w:hint="eastAsia" w:ascii="仿宋_GB2312" w:hAnsi="楷体" w:cs="楷体"/>
          <w:color w:val="000000"/>
          <w:sz w:val="32"/>
          <w:szCs w:val="32"/>
          <w:lang w:eastAsia="zh-CN"/>
        </w:rPr>
        <w:t>在</w:t>
      </w:r>
      <w:r>
        <w:rPr>
          <w:rFonts w:hint="eastAsia" w:ascii="仿宋_GB2312" w:hAnsi="楷体" w:cs="楷体"/>
          <w:color w:val="000000"/>
          <w:sz w:val="32"/>
          <w:szCs w:val="32"/>
        </w:rPr>
        <w:t>京南氢能产业带、</w:t>
      </w:r>
      <w:r>
        <w:rPr>
          <w:rFonts w:hint="eastAsia" w:ascii="仿宋_GB2312" w:hAnsi="楷体" w:cs="楷体"/>
          <w:color w:val="000000"/>
          <w:sz w:val="32"/>
          <w:szCs w:val="32"/>
          <w:highlight w:val="none"/>
        </w:rPr>
        <w:t>北京市及京津冀区域</w:t>
      </w:r>
      <w:r>
        <w:rPr>
          <w:rFonts w:hint="eastAsia" w:ascii="仿宋_GB2312" w:hAnsi="楷体" w:cs="楷体"/>
          <w:color w:val="000000"/>
          <w:sz w:val="32"/>
          <w:szCs w:val="32"/>
          <w:highlight w:val="none"/>
          <w:lang w:eastAsia="zh-CN"/>
        </w:rPr>
        <w:t>加强协同</w:t>
      </w:r>
      <w:r>
        <w:rPr>
          <w:rFonts w:hint="eastAsia" w:ascii="仿宋_GB2312" w:hAnsi="楷体" w:cs="楷体"/>
          <w:color w:val="000000"/>
          <w:sz w:val="32"/>
          <w:szCs w:val="32"/>
        </w:rPr>
        <w:t>，形成资源优势互补、区域协同发展、全产业链联动的强大合力</w:t>
      </w:r>
      <w:r>
        <w:rPr>
          <w:rFonts w:hint="eastAsia" w:ascii="仿宋_GB2312" w:hAnsi="楷体" w:cs="楷体"/>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3"/>
        <w:textAlignment w:val="auto"/>
        <w:rPr>
          <w:rFonts w:ascii="宋体" w:hAnsi="宋体"/>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14:textFill>
            <w14:solidFill>
              <w14:schemeClr w14:val="tx1"/>
            </w14:solidFill>
          </w14:textFill>
        </w:rPr>
        <w:t>示</w:t>
      </w:r>
      <w:r>
        <w:rPr>
          <w:rFonts w:hint="eastAsia" w:ascii="宋体" w:hAnsi="宋体"/>
          <w:b/>
          <w:bCs/>
          <w:color w:val="000000" w:themeColor="text1"/>
          <w:sz w:val="32"/>
          <w:szCs w:val="32"/>
          <w14:textFill>
            <w14:solidFill>
              <w14:schemeClr w14:val="tx1"/>
            </w14:solidFill>
          </w14:textFill>
        </w:rPr>
        <w:t>范引领。</w:t>
      </w:r>
      <w:r>
        <w:rPr>
          <w:rFonts w:hint="eastAsia" w:ascii="仿宋_GB2312" w:hAnsi="楷体" w:cs="楷体"/>
          <w:color w:val="000000"/>
          <w:sz w:val="32"/>
          <w:szCs w:val="32"/>
        </w:rPr>
        <w:t>强化大兴国际氢能示范区的示范引领作用，充分发挥产业基础和</w:t>
      </w:r>
      <w:r>
        <w:rPr>
          <w:rFonts w:hint="eastAsia" w:ascii="仿宋_GB2312" w:hAnsi="楷体" w:cs="楷体"/>
          <w:color w:val="000000"/>
          <w:sz w:val="32"/>
          <w:szCs w:val="32"/>
          <w:lang w:eastAsia="zh-CN"/>
        </w:rPr>
        <w:t>应用</w:t>
      </w:r>
      <w:r>
        <w:rPr>
          <w:rFonts w:hint="eastAsia" w:ascii="仿宋_GB2312" w:hAnsi="楷体" w:cs="楷体"/>
          <w:color w:val="000000"/>
          <w:sz w:val="32"/>
          <w:szCs w:val="32"/>
        </w:rPr>
        <w:t>场景</w:t>
      </w:r>
      <w:r>
        <w:rPr>
          <w:rFonts w:hint="eastAsia" w:ascii="仿宋_GB2312" w:hAnsi="楷体" w:cs="楷体"/>
          <w:color w:val="000000"/>
          <w:sz w:val="32"/>
          <w:szCs w:val="32"/>
          <w:lang w:eastAsia="zh-CN"/>
        </w:rPr>
        <w:t>丰富的</w:t>
      </w:r>
      <w:r>
        <w:rPr>
          <w:rFonts w:hint="eastAsia" w:ascii="仿宋_GB2312" w:hAnsi="楷体" w:cs="楷体"/>
          <w:color w:val="000000"/>
          <w:sz w:val="32"/>
          <w:szCs w:val="32"/>
        </w:rPr>
        <w:t>优势，在市场应用、技术迭代和产业落地等方面，打造富有大兴特色、具备全球影响力的示范标杆</w:t>
      </w:r>
      <w:r>
        <w:rPr>
          <w:rFonts w:hint="eastAsia" w:ascii="仿宋_GB2312" w:hAnsi="楷体" w:cs="楷体"/>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3"/>
        <w:textAlignment w:val="auto"/>
        <w:rPr>
          <w:rFonts w:ascii="仿宋_GB2312" w:hAnsi="楷体" w:cs="楷体"/>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eastAsia" w:ascii="宋体" w:hAnsi="宋体"/>
          <w:b/>
          <w:bCs/>
          <w:color w:val="000000" w:themeColor="text1"/>
          <w:sz w:val="32"/>
          <w:szCs w:val="32"/>
          <w14:textFill>
            <w14:solidFill>
              <w14:schemeClr w14:val="tx1"/>
            </w14:solidFill>
          </w14:textFill>
        </w:rPr>
        <w:t>安全绿色。</w:t>
      </w:r>
      <w:r>
        <w:rPr>
          <w:rFonts w:hint="eastAsia" w:ascii="仿宋_GB2312" w:hAnsi="仿宋_GB2312" w:cs="仿宋_GB2312"/>
          <w:color w:val="000000"/>
          <w:sz w:val="32"/>
          <w:szCs w:val="32"/>
        </w:rPr>
        <w:t>坚持安全为先，强化氢能制、储、运、加、用等全产业链重大安全风险的预防和管控，建立健全安全标准与规范体系，提高检验检测和监测预警能力。构建清洁化、低碳化、低成本的多元</w:t>
      </w:r>
      <w:r>
        <w:rPr>
          <w:rFonts w:ascii="仿宋_GB2312" w:hAnsi="仿宋_GB2312" w:cs="仿宋_GB2312"/>
          <w:color w:val="000000"/>
          <w:sz w:val="32"/>
          <w:szCs w:val="32"/>
        </w:rPr>
        <w:t>供氢</w:t>
      </w:r>
      <w:r>
        <w:rPr>
          <w:rFonts w:hint="eastAsia" w:ascii="仿宋_GB2312" w:hAnsi="仿宋_GB2312" w:cs="仿宋_GB2312"/>
          <w:color w:val="000000"/>
          <w:sz w:val="32"/>
          <w:szCs w:val="32"/>
        </w:rPr>
        <w:t>体系，重点发展可再生能源制氢</w:t>
      </w:r>
      <w:r>
        <w:rPr>
          <w:rFonts w:hint="eastAsia" w:ascii="仿宋_GB2312" w:hAnsi="楷体" w:cs="楷体"/>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0"/>
        <w:textAlignment w:val="auto"/>
        <w:outlineLvl w:val="1"/>
        <w:rPr>
          <w:rFonts w:hint="eastAsia" w:ascii="等线 Light" w:hAnsi="等线 Light" w:eastAsia="楷体_GB2312" w:cs="宋体"/>
          <w:b w:val="0"/>
          <w:bCs/>
          <w:kern w:val="2"/>
          <w:sz w:val="32"/>
          <w:szCs w:val="32"/>
          <w:lang w:val="en-US" w:eastAsia="zh-CN" w:bidi="ar-SA"/>
        </w:rPr>
      </w:pPr>
      <w:bookmarkStart w:id="9" w:name="_Toc109580980"/>
      <w:r>
        <w:rPr>
          <w:rFonts w:hint="eastAsia" w:ascii="等线 Light" w:hAnsi="等线 Light" w:eastAsia="楷体_GB2312" w:cs="宋体"/>
          <w:b w:val="0"/>
          <w:bCs/>
          <w:kern w:val="2"/>
          <w:sz w:val="32"/>
          <w:szCs w:val="32"/>
          <w:lang w:val="en-US" w:eastAsia="zh-CN" w:bidi="ar-SA"/>
        </w:rPr>
        <w:t>（三）发展目标</w:t>
      </w:r>
      <w:bookmarkEnd w:id="9"/>
    </w:p>
    <w:p>
      <w:pPr>
        <w:pageBreakBefore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以科技自主创新和产业壮大发展为双轮核心驱动，以场景应用为牵引，贯彻落实北京市氢能产业和燃料电池汽车产业发展对大兴区的定位要求，充分发挥大兴区应用场景丰富及示范城市群资源互补的优势，加快建成世界级氢能应用样板间，核心技术攻坚的主阵地，产业高效协同的引领区和具有国际影响力的氢能产业示范区，着力打造“标杆氢区、绿色氢区、全球氢区”。</w:t>
      </w:r>
    </w:p>
    <w:p>
      <w:pPr>
        <w:pageBreakBefore w:val="0"/>
        <w:kinsoku/>
        <w:wordWrap/>
        <w:overflowPunct/>
        <w:topLinePunct w:val="0"/>
        <w:autoSpaceDE/>
        <w:autoSpaceDN/>
        <w:bidi w:val="0"/>
        <w:adjustRightInd/>
        <w:snapToGrid/>
        <w:spacing w:line="560" w:lineRule="exact"/>
        <w:ind w:firstLine="640"/>
        <w:textAlignment w:val="auto"/>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到2023年，实现氢能领域部分技术创新突破，初步形成新技术和产品的先行先试样板间，关键产品进入降本区间。</w:t>
      </w:r>
      <w:r>
        <w:rPr>
          <w:rFonts w:hint="eastAsia" w:ascii="仿宋_GB2312"/>
          <w:color w:val="000000" w:themeColor="text1"/>
          <w:sz w:val="32"/>
          <w:szCs w:val="32"/>
          <w:lang w:eastAsia="zh-CN"/>
          <w14:textFill>
            <w14:solidFill>
              <w14:schemeClr w14:val="tx1"/>
            </w14:solidFill>
          </w14:textFill>
        </w:rPr>
        <w:t>氢能相关</w:t>
      </w:r>
      <w:r>
        <w:rPr>
          <w:rFonts w:hint="eastAsia" w:ascii="仿宋_GB2312"/>
          <w:color w:val="000000" w:themeColor="text1"/>
          <w:sz w:val="32"/>
          <w:szCs w:val="32"/>
          <w14:textFill>
            <w14:solidFill>
              <w14:schemeClr w14:val="tx1"/>
            </w14:solidFill>
          </w14:textFill>
        </w:rPr>
        <w:t>企业数量超过100家，2-3家链主企业落地发展，氢能产业规模超过100亿元。燃料电池汽车推广数量不低于1000辆，力争建成5座加氢站，推广分布式热电联</w:t>
      </w:r>
      <w:r>
        <w:rPr>
          <w:rFonts w:hint="eastAsia" w:ascii="仿宋_GB2312"/>
          <w:color w:val="000000" w:themeColor="text1"/>
          <w:sz w:val="32"/>
          <w:szCs w:val="32"/>
          <w:lang w:eastAsia="zh-CN"/>
          <w14:textFill>
            <w14:solidFill>
              <w14:schemeClr w14:val="tx1"/>
            </w14:solidFill>
          </w14:textFill>
        </w:rPr>
        <w:t>供</w:t>
      </w:r>
      <w:r>
        <w:rPr>
          <w:rFonts w:hint="eastAsia" w:ascii="仿宋_GB2312"/>
          <w:color w:val="000000" w:themeColor="text1"/>
          <w:sz w:val="32"/>
          <w:szCs w:val="32"/>
          <w14:textFill>
            <w14:solidFill>
              <w14:schemeClr w14:val="tx1"/>
            </w14:solidFill>
          </w14:textFill>
        </w:rPr>
        <w:t>系统装机规模累计达到2兆瓦。</w:t>
      </w:r>
    </w:p>
    <w:p>
      <w:pPr>
        <w:pageBreakBefore w:val="0"/>
        <w:kinsoku/>
        <w:wordWrap/>
        <w:overflowPunct/>
        <w:topLinePunct w:val="0"/>
        <w:autoSpaceDE/>
        <w:autoSpaceDN/>
        <w:bidi w:val="0"/>
        <w:adjustRightInd/>
        <w:snapToGrid/>
        <w:spacing w:line="560" w:lineRule="exact"/>
        <w:ind w:firstLine="640"/>
        <w:textAlignment w:val="auto"/>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到2025年，实现从关键基础材料到核心零部件的国产化替代，关键核心技术达到国内先进水平，综合成本显著降低。</w:t>
      </w:r>
      <w:r>
        <w:rPr>
          <w:rFonts w:hint="eastAsia" w:ascii="仿宋_GB2312"/>
          <w:color w:val="000000" w:themeColor="text1"/>
          <w:sz w:val="32"/>
          <w:szCs w:val="32"/>
          <w:lang w:eastAsia="zh-CN"/>
          <w14:textFill>
            <w14:solidFill>
              <w14:schemeClr w14:val="tx1"/>
            </w14:solidFill>
          </w14:textFill>
        </w:rPr>
        <w:t>氢能相关</w:t>
      </w:r>
      <w:r>
        <w:rPr>
          <w:rFonts w:hint="eastAsia" w:ascii="仿宋_GB2312"/>
          <w:color w:val="000000" w:themeColor="text1"/>
          <w:sz w:val="32"/>
          <w:szCs w:val="32"/>
          <w14:textFill>
            <w14:solidFill>
              <w14:schemeClr w14:val="tx1"/>
            </w14:solidFill>
          </w14:textFill>
        </w:rPr>
        <w:t>企业数量超过200家，培育4-6家上市企业，孵化2-3家生态引领型企业，氢能产业规模超过200亿元，形成氢能高端装备制造与应用示范区。燃料电池汽车推广数量不低于3000辆，建成至少10座加氢站，推广分布式热电联</w:t>
      </w:r>
      <w:r>
        <w:rPr>
          <w:rFonts w:hint="eastAsia" w:ascii="仿宋_GB2312"/>
          <w:color w:val="000000" w:themeColor="text1"/>
          <w:sz w:val="32"/>
          <w:szCs w:val="32"/>
          <w:lang w:eastAsia="zh-CN"/>
          <w14:textFill>
            <w14:solidFill>
              <w14:schemeClr w14:val="tx1"/>
            </w14:solidFill>
          </w14:textFill>
        </w:rPr>
        <w:t>供</w:t>
      </w:r>
      <w:r>
        <w:rPr>
          <w:rFonts w:hint="eastAsia" w:ascii="仿宋_GB2312"/>
          <w:color w:val="000000" w:themeColor="text1"/>
          <w:sz w:val="32"/>
          <w:szCs w:val="32"/>
          <w14:textFill>
            <w14:solidFill>
              <w14:schemeClr w14:val="tx1"/>
            </w14:solidFill>
          </w14:textFill>
        </w:rPr>
        <w:t>系统装机规模累计达到5兆瓦。</w:t>
      </w:r>
    </w:p>
    <w:p>
      <w:pPr>
        <w:pageBreakBefore w:val="0"/>
        <w:kinsoku/>
        <w:wordWrap/>
        <w:overflowPunct/>
        <w:topLinePunct w:val="0"/>
        <w:autoSpaceDE/>
        <w:autoSpaceDN/>
        <w:bidi w:val="0"/>
        <w:adjustRightInd/>
        <w:snapToGrid/>
        <w:spacing w:line="560" w:lineRule="exact"/>
        <w:ind w:firstLine="640"/>
        <w:textAlignment w:val="auto"/>
        <w:rPr>
          <w:rFonts w:ascii="仿宋_GB2312"/>
          <w:color w:val="000000" w:themeColor="text1"/>
          <w14:textFill>
            <w14:solidFill>
              <w14:schemeClr w14:val="tx1"/>
            </w14:solidFill>
          </w14:textFill>
        </w:rPr>
      </w:pPr>
      <w:r>
        <w:rPr>
          <w:rFonts w:hint="eastAsia" w:ascii="仿宋_GB2312"/>
          <w:color w:val="000000" w:themeColor="text1"/>
          <w:sz w:val="32"/>
          <w:szCs w:val="32"/>
          <w14:textFill>
            <w14:solidFill>
              <w14:schemeClr w14:val="tx1"/>
            </w14:solidFill>
          </w14:textFill>
        </w:rPr>
        <w:t>到2030年，关键核心技术与产品达到国际领先水平，形成具有国际影响力的产业发展集群，构建多元化、规模化的氢能应用生态，对能源绿色转型发展起到重要支撑作用。</w:t>
      </w:r>
    </w:p>
    <w:p>
      <w:pPr>
        <w:pageBreakBefore w:val="0"/>
        <w:kinsoku/>
        <w:wordWrap/>
        <w:overflowPunct/>
        <w:topLinePunct w:val="0"/>
        <w:autoSpaceDE/>
        <w:autoSpaceDN/>
        <w:bidi w:val="0"/>
        <w:adjustRightInd/>
        <w:snapToGrid/>
        <w:spacing w:line="560" w:lineRule="exact"/>
        <w:ind w:firstLine="640"/>
        <w:textAlignment w:val="auto"/>
        <w:outlineLvl w:val="1"/>
        <w:rPr>
          <w:rFonts w:hint="eastAsia" w:ascii="等线 Light" w:hAnsi="等线 Light" w:eastAsia="楷体_GB2312" w:cs="宋体"/>
          <w:b w:val="0"/>
          <w:bCs/>
          <w:kern w:val="2"/>
          <w:sz w:val="32"/>
          <w:szCs w:val="32"/>
          <w:lang w:val="en-US" w:eastAsia="zh-CN" w:bidi="ar-SA"/>
        </w:rPr>
      </w:pPr>
      <w:bookmarkStart w:id="10" w:name="_Toc109580981"/>
      <w:r>
        <w:rPr>
          <w:rFonts w:hint="eastAsia" w:ascii="等线 Light" w:hAnsi="等线 Light" w:eastAsia="楷体_GB2312" w:cs="宋体"/>
          <w:b w:val="0"/>
          <w:bCs/>
          <w:kern w:val="2"/>
          <w:sz w:val="32"/>
          <w:szCs w:val="32"/>
          <w:lang w:val="en-US" w:eastAsia="zh-CN" w:bidi="ar-SA"/>
        </w:rPr>
        <w:t>（四）空间布局</w:t>
      </w:r>
      <w:bookmarkEnd w:id="10"/>
    </w:p>
    <w:p>
      <w:pPr>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olor w:val="000000" w:themeColor="text1"/>
          <w14:textFill>
            <w14:solidFill>
              <w14:schemeClr w14:val="tx1"/>
            </w14:solidFill>
          </w14:textFill>
        </w:rPr>
      </w:pPr>
      <w:r>
        <w:rPr>
          <w:rFonts w:hint="eastAsia" w:cs="Times New Roman"/>
          <w:color w:val="000000" w:themeColor="text1"/>
          <w:sz w:val="32"/>
          <w:szCs w:val="32"/>
          <w14:textFill>
            <w14:solidFill>
              <w14:schemeClr w14:val="tx1"/>
            </w14:solidFill>
          </w14:textFill>
        </w:rPr>
        <w:t>以</w:t>
      </w:r>
      <w:r>
        <w:rPr>
          <w:rFonts w:hint="eastAsia" w:ascii="仿宋_GB2312" w:cs="Times New Roman"/>
          <w:color w:val="000000" w:themeColor="text1"/>
          <w:sz w:val="32"/>
          <w:szCs w:val="32"/>
          <w14:textFill>
            <w14:solidFill>
              <w14:schemeClr w14:val="tx1"/>
            </w14:solidFill>
          </w14:textFill>
        </w:rPr>
        <w:t>占地2平方公里的大兴国际氢能示范区为核心承载，依托示范区实现技术攻坚研发、先进生产制造、综合检验检测、公共生活服务、国际交流峰会和国际人才认证等综合性功能，为企业提供便捷高效、功能集聚、舒适宜人的产业发展环境；以大兴京南物流基地和北京大兴国际机场临空经济区两大区域，作为国际氢能示范的重要“两翼”，持续打造优质高质量的氢能产业</w:t>
      </w:r>
      <w:r>
        <w:rPr>
          <w:rFonts w:hint="eastAsia" w:cs="Times New Roman"/>
          <w:color w:val="000000" w:themeColor="text1"/>
          <w:sz w:val="32"/>
          <w:szCs w:val="32"/>
          <w14:textFill>
            <w14:solidFill>
              <w14:schemeClr w14:val="tx1"/>
            </w14:solidFill>
          </w14:textFill>
        </w:rPr>
        <w:t>应用示范试点，最终实现“一核引领、两翼联动”的产业发展空间格局。</w:t>
      </w:r>
    </w:p>
    <w:p>
      <w:pPr>
        <w:pageBreakBefore w:val="0"/>
        <w:kinsoku/>
        <w:wordWrap/>
        <w:overflowPunct/>
        <w:topLinePunct w:val="0"/>
        <w:autoSpaceDE/>
        <w:autoSpaceDN/>
        <w:bidi w:val="0"/>
        <w:adjustRightInd/>
        <w:snapToGrid/>
        <w:spacing w:line="560" w:lineRule="exact"/>
        <w:ind w:firstLine="2240" w:firstLineChars="800"/>
        <w:jc w:val="both"/>
        <w:textAlignment w:val="auto"/>
        <w:rPr>
          <w:rFonts w:hint="eastAsia" w:ascii="Times New Roman" w:hAnsi="Times New Roman" w:eastAsia="黑体" w:cs="宋体"/>
          <w:b w:val="0"/>
          <w:bCs/>
          <w:kern w:val="44"/>
          <w:sz w:val="32"/>
          <w:szCs w:val="44"/>
          <w:lang w:val="en-US" w:eastAsia="zh-CN" w:bidi="ar-SA"/>
        </w:rPr>
      </w:pPr>
      <w:r>
        <w:rPr>
          <w:color w:val="000000" w:themeColor="text1"/>
          <w14:textFill>
            <w14:solidFill>
              <w14:schemeClr w14:val="tx1"/>
            </w14:solidFill>
          </w14:textFill>
        </w:rPr>
        <w:drawing>
          <wp:anchor distT="0" distB="0" distL="0" distR="0" simplePos="0" relativeHeight="251659264" behindDoc="0" locked="0" layoutInCell="1" allowOverlap="1">
            <wp:simplePos x="0" y="0"/>
            <wp:positionH relativeFrom="column">
              <wp:posOffset>781685</wp:posOffset>
            </wp:positionH>
            <wp:positionV relativeFrom="paragraph">
              <wp:posOffset>43815</wp:posOffset>
            </wp:positionV>
            <wp:extent cx="3999865" cy="3214370"/>
            <wp:effectExtent l="0" t="0" r="635" b="5080"/>
            <wp:wrapTopAndBottom/>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17" cstate="print"/>
                    <a:srcRect/>
                    <a:stretch>
                      <a:fillRect/>
                    </a:stretch>
                  </pic:blipFill>
                  <pic:spPr>
                    <a:xfrm>
                      <a:off x="0" y="0"/>
                      <a:ext cx="3999865" cy="3214370"/>
                    </a:xfrm>
                    <a:prstGeom prst="rect">
                      <a:avLst/>
                    </a:prstGeom>
                  </pic:spPr>
                </pic:pic>
              </a:graphicData>
            </a:graphic>
          </wp:anchor>
        </w:drawing>
      </w:r>
      <w:r>
        <w:rPr>
          <w:rFonts w:hint="eastAsia" w:ascii="黑体" w:hAnsi="黑体" w:eastAsia="黑体"/>
          <w:color w:val="000000" w:themeColor="text1"/>
          <w14:textFill>
            <w14:solidFill>
              <w14:schemeClr w14:val="tx1"/>
            </w14:solidFill>
          </w14:textFill>
        </w:rPr>
        <w:t xml:space="preserve">图 </w:t>
      </w:r>
      <w:r>
        <w:rPr>
          <w:rFonts w:ascii="黑体" w:hAnsi="黑体" w:eastAsia="黑体"/>
          <w:color w:val="000000" w:themeColor="text1"/>
          <w14:textFill>
            <w14:solidFill>
              <w14:schemeClr w14:val="tx1"/>
            </w14:solidFill>
          </w14:textFill>
        </w:rPr>
        <w:t xml:space="preserve">1 </w:t>
      </w:r>
      <w:r>
        <w:rPr>
          <w:rFonts w:hint="eastAsia" w:ascii="黑体" w:hAnsi="黑体" w:eastAsia="黑体"/>
          <w:color w:val="000000" w:themeColor="text1"/>
          <w14:textFill>
            <w14:solidFill>
              <w14:schemeClr w14:val="tx1"/>
            </w14:solidFill>
          </w14:textFill>
        </w:rPr>
        <w:t>大兴区氢能产业发展布局图</w:t>
      </w:r>
      <w:bookmarkStart w:id="11" w:name="_Toc109580982"/>
    </w:p>
    <w:p>
      <w:pPr>
        <w:pageBreakBefore w:val="0"/>
        <w:kinsoku/>
        <w:wordWrap/>
        <w:overflowPunct/>
        <w:topLinePunct w:val="0"/>
        <w:autoSpaceDE/>
        <w:autoSpaceDN/>
        <w:bidi w:val="0"/>
        <w:adjustRightInd/>
        <w:snapToGrid/>
        <w:spacing w:line="560" w:lineRule="exact"/>
        <w:ind w:firstLine="640"/>
        <w:textAlignment w:val="auto"/>
        <w:outlineLvl w:val="0"/>
        <w:rPr>
          <w:rFonts w:hint="eastAsia" w:ascii="Times New Roman" w:hAnsi="Times New Roman" w:eastAsia="黑体" w:cs="宋体"/>
          <w:b w:val="0"/>
          <w:bCs/>
          <w:kern w:val="44"/>
          <w:sz w:val="32"/>
          <w:szCs w:val="44"/>
          <w:lang w:val="en-US" w:eastAsia="zh-CN" w:bidi="ar-SA"/>
        </w:rPr>
      </w:pPr>
      <w:r>
        <w:rPr>
          <w:rFonts w:hint="eastAsia" w:ascii="Times New Roman" w:hAnsi="Times New Roman" w:eastAsia="黑体" w:cs="宋体"/>
          <w:b w:val="0"/>
          <w:bCs/>
          <w:kern w:val="44"/>
          <w:sz w:val="32"/>
          <w:szCs w:val="44"/>
          <w:lang w:val="en-US" w:eastAsia="zh-CN" w:bidi="ar-SA"/>
        </w:rPr>
        <w:t>三、重点任务</w:t>
      </w:r>
      <w:bookmarkEnd w:id="11"/>
    </w:p>
    <w:p>
      <w:pPr>
        <w:pageBreakBefore w:val="0"/>
        <w:kinsoku/>
        <w:wordWrap/>
        <w:overflowPunct/>
        <w:topLinePunct w:val="0"/>
        <w:autoSpaceDE/>
        <w:autoSpaceDN/>
        <w:bidi w:val="0"/>
        <w:adjustRightInd/>
        <w:snapToGrid/>
        <w:spacing w:line="560" w:lineRule="exact"/>
        <w:ind w:firstLine="640"/>
        <w:textAlignment w:val="auto"/>
        <w:outlineLvl w:val="1"/>
        <w:rPr>
          <w:rFonts w:hint="eastAsia" w:ascii="等线 Light" w:hAnsi="等线 Light" w:eastAsia="楷体_GB2312" w:cs="宋体"/>
          <w:b w:val="0"/>
          <w:bCs/>
          <w:kern w:val="2"/>
          <w:sz w:val="32"/>
          <w:szCs w:val="32"/>
          <w:lang w:val="en-US" w:eastAsia="zh-CN" w:bidi="ar-SA"/>
        </w:rPr>
      </w:pPr>
      <w:bookmarkStart w:id="12" w:name="_Toc109580983"/>
      <w:r>
        <w:rPr>
          <w:rFonts w:hint="eastAsia" w:ascii="等线 Light" w:hAnsi="等线 Light" w:eastAsia="楷体_GB2312" w:cs="宋体"/>
          <w:b w:val="0"/>
          <w:bCs/>
          <w:kern w:val="2"/>
          <w:sz w:val="32"/>
          <w:szCs w:val="32"/>
          <w:lang w:val="en-US" w:eastAsia="zh-CN" w:bidi="ar-SA"/>
        </w:rPr>
        <w:t>（一）持续提升关键核心技术</w:t>
      </w:r>
      <w:bookmarkEnd w:id="12"/>
    </w:p>
    <w:p>
      <w:pPr>
        <w:pageBreakBefore w:val="0"/>
        <w:kinsoku/>
        <w:wordWrap/>
        <w:overflowPunct/>
        <w:topLinePunct w:val="0"/>
        <w:autoSpaceDE/>
        <w:autoSpaceDN/>
        <w:bidi w:val="0"/>
        <w:adjustRightInd/>
        <w:snapToGrid/>
        <w:spacing w:line="560" w:lineRule="exact"/>
        <w:ind w:firstLine="640"/>
        <w:textAlignment w:val="auto"/>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聚焦氢能制取、氢能储运及燃料电池三大领域的核心技术环节，以产业化为导向，推动核心技术的关键性能提升与综合成本降低，实现核心技术与产品的自主可控。</w:t>
      </w:r>
    </w:p>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hAnsi="宋体"/>
          <w:b/>
          <w:bCs/>
          <w:color w:val="000000" w:themeColor="text1"/>
          <w:sz w:val="32"/>
          <w:szCs w:val="32"/>
          <w14:textFill>
            <w14:solidFill>
              <w14:schemeClr w14:val="tx1"/>
            </w14:solidFill>
          </w14:textFill>
        </w:rPr>
      </w:pPr>
      <w:r>
        <w:rPr>
          <w:rFonts w:hint="eastAsia" w:ascii="仿宋_GB2312" w:hAnsi="宋体"/>
          <w:b/>
          <w:bCs/>
          <w:color w:val="000000" w:themeColor="text1"/>
          <w:sz w:val="32"/>
          <w:szCs w:val="32"/>
          <w14:textFill>
            <w14:solidFill>
              <w14:schemeClr w14:val="tx1"/>
            </w14:solidFill>
          </w14:textFill>
        </w:rPr>
        <w:t>1.氢能制取领域技术创新</w:t>
      </w:r>
    </w:p>
    <w:p>
      <w:pPr>
        <w:pageBreakBefore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可再生能源制氢是产业绿色化发展的基础，鼓励创新多元化制氢工艺方式。重点创新高效率、长寿命、低成本的P</w:t>
      </w:r>
      <w:r>
        <w:rPr>
          <w:rFonts w:ascii="仿宋_GB2312" w:hAnsi="仿宋_GB2312" w:cs="仿宋_GB2312"/>
          <w:color w:val="000000" w:themeColor="text1"/>
          <w:sz w:val="32"/>
          <w:szCs w:val="32"/>
          <w14:textFill>
            <w14:solidFill>
              <w14:schemeClr w14:val="tx1"/>
            </w14:solidFill>
          </w14:textFill>
        </w:rPr>
        <w:t>EM</w:t>
      </w:r>
      <w:r>
        <w:rPr>
          <w:rFonts w:hint="eastAsia" w:ascii="仿宋_GB2312" w:hAnsi="仿宋_GB2312" w:cs="仿宋_GB2312"/>
          <w:color w:val="000000" w:themeColor="text1"/>
          <w:sz w:val="32"/>
          <w:szCs w:val="32"/>
          <w14:textFill>
            <w14:solidFill>
              <w14:schemeClr w14:val="tx1"/>
            </w14:solidFill>
          </w14:textFill>
        </w:rPr>
        <w:t>电解水、甲醇重整等制氢技术，并实现关键设备的本地自主化生产。提前研究布局生物质、绿氨、高温固体氧化物、光电催化/热分解等前沿制氢技术。</w:t>
      </w:r>
    </w:p>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hAnsi="宋体"/>
          <w:b/>
          <w:bCs/>
          <w:color w:val="000000" w:themeColor="text1"/>
          <w:sz w:val="32"/>
          <w:szCs w:val="32"/>
          <w14:textFill>
            <w14:solidFill>
              <w14:schemeClr w14:val="tx1"/>
            </w14:solidFill>
          </w14:textFill>
        </w:rPr>
      </w:pPr>
      <w:r>
        <w:rPr>
          <w:rFonts w:hint="eastAsia" w:ascii="仿宋_GB2312" w:hAnsi="宋体"/>
          <w:b/>
          <w:bCs/>
          <w:color w:val="000000" w:themeColor="text1"/>
          <w:sz w:val="32"/>
          <w:szCs w:val="32"/>
          <w14:textFill>
            <w14:solidFill>
              <w14:schemeClr w14:val="tx1"/>
            </w14:solidFill>
          </w14:textFill>
        </w:rPr>
        <w:t>2.氢能储运和加注领域技术创新</w:t>
      </w:r>
    </w:p>
    <w:p>
      <w:pPr>
        <w:pageBreakBefore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开展70MPa以上高压、轻质气体存储材料及储运设备的技术创新。提前布局攻关以液态化合物为介质的液态储氢和以合金、纳米材料为介质的固态储氢技术研发，重点突破70MPa加氢站的氢气压缩机、加注机等关键设备及其核心零部件</w:t>
      </w:r>
      <w:r>
        <w:rPr>
          <w:rFonts w:hint="eastAsia" w:ascii="仿宋_GB2312" w:hAnsi="仿宋_GB2312" w:cs="仿宋_GB2312"/>
          <w:color w:val="000000" w:themeColor="text1"/>
          <w:sz w:val="32"/>
          <w:szCs w:val="32"/>
          <w:lang w:eastAsia="zh-CN"/>
          <w14:textFill>
            <w14:solidFill>
              <w14:schemeClr w14:val="tx1"/>
            </w14:solidFill>
          </w14:textFill>
        </w:rPr>
        <w:t>研发</w:t>
      </w:r>
      <w:r>
        <w:rPr>
          <w:rFonts w:hint="eastAsia" w:ascii="仿宋_GB2312" w:hAnsi="仿宋_GB2312" w:cs="仿宋_GB2312"/>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hAnsi="宋体"/>
          <w:b/>
          <w:bCs/>
          <w:color w:val="000000" w:themeColor="text1"/>
          <w:sz w:val="32"/>
          <w:szCs w:val="32"/>
          <w14:textFill>
            <w14:solidFill>
              <w14:schemeClr w14:val="tx1"/>
            </w14:solidFill>
          </w14:textFill>
        </w:rPr>
      </w:pPr>
      <w:r>
        <w:rPr>
          <w:rFonts w:hint="eastAsia" w:ascii="仿宋_GB2312" w:hAnsi="宋体"/>
          <w:b/>
          <w:bCs/>
          <w:color w:val="000000" w:themeColor="text1"/>
          <w:sz w:val="32"/>
          <w:szCs w:val="32"/>
          <w14:textFill>
            <w14:solidFill>
              <w14:schemeClr w14:val="tx1"/>
            </w14:solidFill>
          </w14:textFill>
        </w:rPr>
        <w:t>3.燃料电池领域技术创新</w:t>
      </w:r>
    </w:p>
    <w:p>
      <w:pPr>
        <w:pageBreakBefore w:val="0"/>
        <w:kinsoku/>
        <w:wordWrap/>
        <w:overflowPunct/>
        <w:topLinePunct w:val="0"/>
        <w:autoSpaceDE/>
        <w:autoSpaceDN/>
        <w:bidi w:val="0"/>
        <w:adjustRightInd/>
        <w:snapToGrid/>
        <w:spacing w:line="560" w:lineRule="exact"/>
        <w:ind w:firstLine="640"/>
        <w:textAlignment w:val="auto"/>
        <w:rPr>
          <w:rFonts w:ascii="仿宋_GB2312" w:hAnsi="宋体"/>
          <w:color w:val="000000" w:themeColor="text1"/>
          <w:sz w:val="32"/>
          <w:szCs w:val="32"/>
          <w14:textFill>
            <w14:solidFill>
              <w14:schemeClr w14:val="tx1"/>
            </w14:solidFill>
          </w14:textFill>
        </w:rPr>
      </w:pPr>
      <w:r>
        <w:rPr>
          <w:rFonts w:hint="eastAsia" w:ascii="仿宋_GB2312" w:hAnsi="宋体"/>
          <w:color w:val="000000" w:themeColor="text1"/>
          <w:sz w:val="32"/>
          <w:szCs w:val="32"/>
          <w14:textFill>
            <w14:solidFill>
              <w14:schemeClr w14:val="tx1"/>
            </w14:solidFill>
          </w14:textFill>
        </w:rPr>
        <w:t>聚焦高性能和低成本的催化剂、质子交换膜、碳纸、双极板和膜电极等核心材料，长寿命和大功率电堆，高速无油空压机和氢循环系统等关键零部件及装备制造等领域，开展技术创新，</w:t>
      </w:r>
      <w:r>
        <w:rPr>
          <w:rFonts w:hint="eastAsia" w:ascii="仿宋_GB2312" w:hAnsi="宋体"/>
          <w:color w:val="000000" w:themeColor="text1"/>
          <w:sz w:val="32"/>
          <w:szCs w:val="32"/>
          <w:lang w:eastAsia="zh-CN"/>
          <w14:textFill>
            <w14:solidFill>
              <w14:schemeClr w14:val="tx1"/>
            </w14:solidFill>
          </w14:textFill>
        </w:rPr>
        <w:t>实现燃料电池</w:t>
      </w:r>
      <w:r>
        <w:rPr>
          <w:rFonts w:hint="eastAsia" w:ascii="仿宋_GB2312" w:hAnsi="宋体"/>
          <w:color w:val="000000" w:themeColor="text1"/>
          <w:sz w:val="32"/>
          <w:szCs w:val="32"/>
          <w14:textFill>
            <w14:solidFill>
              <w14:schemeClr w14:val="tx1"/>
            </w14:solidFill>
          </w14:textFill>
        </w:rPr>
        <w:t>关键性能指标达到国际领先水平，综合成本显著降低。</w:t>
      </w:r>
    </w:p>
    <w:p>
      <w:pPr>
        <w:pageBreakBefore w:val="0"/>
        <w:kinsoku/>
        <w:wordWrap/>
        <w:overflowPunct/>
        <w:topLinePunct w:val="0"/>
        <w:autoSpaceDE/>
        <w:autoSpaceDN/>
        <w:bidi w:val="0"/>
        <w:adjustRightInd/>
        <w:snapToGrid/>
        <w:spacing w:line="560" w:lineRule="exact"/>
        <w:ind w:firstLine="640"/>
        <w:textAlignment w:val="auto"/>
        <w:outlineLvl w:val="1"/>
        <w:rPr>
          <w:rFonts w:hint="eastAsia" w:ascii="等线 Light" w:hAnsi="等线 Light" w:eastAsia="楷体_GB2312" w:cs="宋体"/>
          <w:b w:val="0"/>
          <w:bCs/>
          <w:kern w:val="2"/>
          <w:sz w:val="32"/>
          <w:szCs w:val="32"/>
          <w:lang w:val="en-US" w:eastAsia="zh-CN" w:bidi="ar-SA"/>
        </w:rPr>
      </w:pPr>
      <w:bookmarkStart w:id="13" w:name="_Toc109580984"/>
      <w:r>
        <w:rPr>
          <w:rFonts w:hint="eastAsia" w:ascii="等线 Light" w:hAnsi="等线 Light" w:eastAsia="楷体_GB2312" w:cs="宋体"/>
          <w:b w:val="0"/>
          <w:bCs/>
          <w:kern w:val="2"/>
          <w:sz w:val="32"/>
          <w:szCs w:val="32"/>
          <w:lang w:val="en-US" w:eastAsia="zh-CN" w:bidi="ar-SA"/>
        </w:rPr>
        <w:t>（二）加速产业链条全面集聚</w:t>
      </w:r>
      <w:bookmarkEnd w:id="13"/>
    </w:p>
    <w:p>
      <w:pPr>
        <w:pageBreakBefore w:val="0"/>
        <w:kinsoku/>
        <w:wordWrap/>
        <w:overflowPunct/>
        <w:topLinePunct w:val="0"/>
        <w:autoSpaceDE/>
        <w:autoSpaceDN/>
        <w:bidi w:val="0"/>
        <w:adjustRightInd/>
        <w:snapToGrid/>
        <w:spacing w:line="560" w:lineRule="exact"/>
        <w:ind w:firstLine="640"/>
        <w:textAlignment w:val="auto"/>
        <w:rPr>
          <w:rFonts w:ascii="仿宋_GB2312" w:hAnsi="宋体"/>
          <w:color w:val="000000" w:themeColor="text1"/>
          <w:sz w:val="32"/>
          <w:szCs w:val="32"/>
          <w14:textFill>
            <w14:solidFill>
              <w14:schemeClr w14:val="tx1"/>
            </w14:solidFill>
          </w14:textFill>
        </w:rPr>
      </w:pPr>
      <w:bookmarkStart w:id="14" w:name="_Toc96195944"/>
      <w:bookmarkStart w:id="15" w:name="_Toc98772154"/>
      <w:bookmarkStart w:id="16" w:name="_Toc99628528"/>
      <w:r>
        <w:rPr>
          <w:rFonts w:hint="eastAsia" w:ascii="宋体" w:hAnsi="宋体"/>
          <w:color w:val="000000" w:themeColor="text1"/>
          <w:sz w:val="32"/>
          <w:szCs w:val="32"/>
          <w14:textFill>
            <w14:solidFill>
              <w14:schemeClr w14:val="tx1"/>
            </w14:solidFill>
          </w14:textFill>
        </w:rPr>
        <w:t>全力培育优质链主企业，引入相关配套企业，打造国家级涉</w:t>
      </w:r>
      <w:r>
        <w:rPr>
          <w:rFonts w:hint="eastAsia" w:ascii="仿宋_GB2312" w:hAnsi="宋体"/>
          <w:color w:val="000000" w:themeColor="text1"/>
          <w:sz w:val="32"/>
          <w:szCs w:val="32"/>
          <w14:textFill>
            <w14:solidFill>
              <w14:schemeClr w14:val="tx1"/>
            </w14:solidFill>
          </w14:textFill>
        </w:rPr>
        <w:t>氢检测认证基地，加速关键核心技术创新成果的产业化，支撑实现核心技术与产品的国内外市场输出。</w:t>
      </w:r>
    </w:p>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hAnsi="宋体"/>
          <w:b/>
          <w:bCs/>
          <w:color w:val="000000" w:themeColor="text1"/>
          <w:sz w:val="32"/>
          <w:szCs w:val="32"/>
          <w14:textFill>
            <w14:solidFill>
              <w14:schemeClr w14:val="tx1"/>
            </w14:solidFill>
          </w14:textFill>
        </w:rPr>
      </w:pPr>
      <w:r>
        <w:rPr>
          <w:rFonts w:hint="eastAsia" w:ascii="仿宋_GB2312" w:hAnsi="宋体"/>
          <w:b/>
          <w:bCs/>
          <w:color w:val="000000" w:themeColor="text1"/>
          <w:sz w:val="32"/>
          <w:szCs w:val="32"/>
          <w14:textFill>
            <w14:solidFill>
              <w14:schemeClr w14:val="tx1"/>
            </w14:solidFill>
          </w14:textFill>
        </w:rPr>
        <w:t>4.重点培育优质链主企业</w:t>
      </w:r>
      <w:bookmarkEnd w:id="14"/>
      <w:bookmarkEnd w:id="15"/>
      <w:bookmarkEnd w:id="16"/>
    </w:p>
    <w:p>
      <w:pPr>
        <w:pageBreakBefore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聚焦燃料电池动力系统、可再生能源制储氢系统和燃料电池整车系统，以重大项目引进为抓手，积极引入优质链主类企业。从应用场景、要素供给、研发投入、营商环境等方面予以全方位</w:t>
      </w:r>
      <w:r>
        <w:rPr>
          <w:rFonts w:hint="eastAsia" w:ascii="仿宋_GB2312" w:hAnsi="仿宋_GB2312" w:cs="仿宋_GB2312"/>
          <w:color w:val="000000" w:themeColor="text1"/>
          <w:sz w:val="32"/>
          <w:szCs w:val="32"/>
          <w:lang w:eastAsia="zh-CN"/>
          <w14:textFill>
            <w14:solidFill>
              <w14:schemeClr w14:val="tx1"/>
            </w14:solidFill>
          </w14:textFill>
        </w:rPr>
        <w:t>支持</w:t>
      </w:r>
      <w:r>
        <w:rPr>
          <w:rFonts w:hint="eastAsia" w:ascii="仿宋_GB2312" w:hAnsi="仿宋_GB2312" w:cs="仿宋_GB2312"/>
          <w:color w:val="000000" w:themeColor="text1"/>
          <w:sz w:val="32"/>
          <w:szCs w:val="32"/>
          <w14:textFill>
            <w14:solidFill>
              <w14:schemeClr w14:val="tx1"/>
            </w14:solidFill>
          </w14:textFill>
        </w:rPr>
        <w:t>，提升企业科技创新速度和本地规模化生产能力，重点培育一批具有国际知名度的</w:t>
      </w:r>
      <w:r>
        <w:rPr>
          <w:rFonts w:hint="eastAsia" w:ascii="仿宋_GB2312" w:hAnsi="仿宋_GB2312" w:cs="仿宋_GB2312"/>
          <w:color w:val="000000" w:themeColor="text1"/>
          <w:sz w:val="32"/>
          <w:szCs w:val="32"/>
          <w:highlight w:val="none"/>
          <w14:textFill>
            <w14:solidFill>
              <w14:schemeClr w14:val="tx1"/>
            </w14:solidFill>
          </w14:textFill>
        </w:rPr>
        <w:t>生态引领型头部企业</w:t>
      </w:r>
      <w:r>
        <w:rPr>
          <w:rFonts w:hint="eastAsia" w:ascii="仿宋_GB2312" w:hAnsi="仿宋_GB2312" w:cs="仿宋_GB2312"/>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hAnsi="仿宋_GB2312" w:cs="仿宋_GB2312"/>
          <w:color w:val="000000" w:themeColor="text1"/>
          <w:sz w:val="32"/>
          <w:szCs w:val="32"/>
          <w14:textFill>
            <w14:solidFill>
              <w14:schemeClr w14:val="tx1"/>
            </w14:solidFill>
          </w14:textFill>
        </w:rPr>
      </w:pPr>
      <w:bookmarkStart w:id="17" w:name="_Toc96195945"/>
      <w:bookmarkStart w:id="18" w:name="_Toc99628529"/>
      <w:bookmarkStart w:id="19" w:name="_Toc98772155"/>
      <w:r>
        <w:rPr>
          <w:rFonts w:hint="eastAsia" w:ascii="仿宋_GB2312" w:hAnsi="仿宋_GB2312" w:cs="仿宋_GB2312"/>
          <w:b/>
          <w:bCs/>
          <w:color w:val="000000" w:themeColor="text1"/>
          <w:sz w:val="32"/>
          <w:szCs w:val="32"/>
          <w14:textFill>
            <w14:solidFill>
              <w14:schemeClr w14:val="tx1"/>
            </w14:solidFill>
          </w14:textFill>
        </w:rPr>
        <w:t>5.持续引入产业链条企业</w:t>
      </w:r>
      <w:bookmarkEnd w:id="17"/>
      <w:bookmarkEnd w:id="18"/>
      <w:bookmarkEnd w:id="19"/>
    </w:p>
    <w:p>
      <w:pPr>
        <w:pageBreakBefore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持续引入膜电极组件、双极板、空气压缩机、氢气循环泵、车载储氢系统（高压储氢瓶和瓶阀组件）、PEM水电解槽等重点关键核心零部件企业，围绕链主企业形成协同发展的产业生态。重点培育专业赛道的头部企业，打造一批氢能领域专精特新“小巨人”企业。结合企业生产特征和大兴实际条件，鼓励支持发展总部型企业。</w:t>
      </w:r>
    </w:p>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hAnsi="仿宋_GB2312" w:cs="仿宋_GB2312"/>
          <w:b/>
          <w:bCs/>
          <w:color w:val="000000" w:themeColor="text1"/>
          <w:sz w:val="32"/>
          <w:szCs w:val="32"/>
          <w14:textFill>
            <w14:solidFill>
              <w14:schemeClr w14:val="tx1"/>
            </w14:solidFill>
          </w14:textFill>
        </w:rPr>
      </w:pPr>
      <w:bookmarkStart w:id="20" w:name="_Toc98772156"/>
      <w:bookmarkStart w:id="21" w:name="_Toc99628530"/>
      <w:bookmarkStart w:id="22" w:name="_Toc96195946"/>
      <w:r>
        <w:rPr>
          <w:rFonts w:hint="eastAsia" w:ascii="仿宋_GB2312" w:hAnsi="仿宋_GB2312" w:cs="仿宋_GB2312"/>
          <w:b/>
          <w:bCs/>
          <w:color w:val="000000" w:themeColor="text1"/>
          <w:sz w:val="32"/>
          <w:szCs w:val="32"/>
          <w14:textFill>
            <w14:solidFill>
              <w14:schemeClr w14:val="tx1"/>
            </w14:solidFill>
          </w14:textFill>
        </w:rPr>
        <w:t>6.打造国家检测认证基地</w:t>
      </w:r>
      <w:bookmarkEnd w:id="20"/>
      <w:bookmarkEnd w:id="21"/>
      <w:bookmarkEnd w:id="22"/>
    </w:p>
    <w:p>
      <w:pPr>
        <w:pageBreakBefore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构建涵盖燃料电池整车、零部件、高压储氢容器、高纯氢质量、氢能计量的全生态检验检测认证能力，全力打造国家燃料电池汽车质量检验检测中心，推进氢能产品公共技术检验检测及认证综合服务平台建设，</w:t>
      </w:r>
      <w:r>
        <w:rPr>
          <w:rFonts w:hint="eastAsia" w:ascii="仿宋_GB2312" w:hAnsi="仿宋_GB2312" w:cs="仿宋_GB2312"/>
          <w:color w:val="000000" w:themeColor="text1"/>
          <w:sz w:val="32"/>
          <w:szCs w:val="32"/>
          <w:lang w:eastAsia="zh-CN"/>
          <w14:textFill>
            <w14:solidFill>
              <w14:schemeClr w14:val="tx1"/>
            </w14:solidFill>
          </w14:textFill>
        </w:rPr>
        <w:t>有效</w:t>
      </w:r>
      <w:r>
        <w:rPr>
          <w:rFonts w:hint="eastAsia" w:ascii="仿宋_GB2312" w:hAnsi="仿宋_GB2312" w:cs="仿宋_GB2312"/>
          <w:color w:val="000000" w:themeColor="text1"/>
          <w:sz w:val="32"/>
          <w:szCs w:val="32"/>
          <w14:textFill>
            <w14:solidFill>
              <w14:schemeClr w14:val="tx1"/>
            </w14:solidFill>
          </w14:textFill>
        </w:rPr>
        <w:t>支撑大兴及京津冀区域氢能产业发展，助力</w:t>
      </w:r>
      <w:r>
        <w:rPr>
          <w:rFonts w:hint="eastAsia" w:ascii="仿宋_GB2312" w:hAnsi="仿宋_GB2312" w:cs="仿宋_GB2312"/>
          <w:color w:val="000000" w:themeColor="text1"/>
          <w:sz w:val="32"/>
          <w:szCs w:val="32"/>
          <w:lang w:eastAsia="zh-CN"/>
          <w14:textFill>
            <w14:solidFill>
              <w14:schemeClr w14:val="tx1"/>
            </w14:solidFill>
          </w14:textFill>
        </w:rPr>
        <w:t>相关</w:t>
      </w:r>
      <w:r>
        <w:rPr>
          <w:rFonts w:hint="eastAsia" w:ascii="仿宋_GB2312" w:hAnsi="仿宋_GB2312" w:cs="仿宋_GB2312"/>
          <w:color w:val="000000" w:themeColor="text1"/>
          <w:sz w:val="32"/>
          <w:szCs w:val="32"/>
          <w14:textFill>
            <w14:solidFill>
              <w14:schemeClr w14:val="tx1"/>
            </w14:solidFill>
          </w14:textFill>
        </w:rPr>
        <w:t>产业集群加速形成。</w:t>
      </w:r>
    </w:p>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hAnsi="黑体"/>
          <w:b/>
          <w:bCs/>
          <w:color w:val="000000" w:themeColor="text1"/>
          <w:sz w:val="32"/>
          <w:szCs w:val="32"/>
          <w14:textFill>
            <w14:solidFill>
              <w14:schemeClr w14:val="tx1"/>
            </w14:solidFill>
          </w14:textFill>
        </w:rPr>
      </w:pPr>
      <w:r>
        <w:rPr>
          <w:rFonts w:hint="eastAsia" w:ascii="仿宋_GB2312" w:hAnsi="黑体"/>
          <w:b/>
          <w:bCs/>
          <w:color w:val="000000" w:themeColor="text1"/>
          <w:sz w:val="32"/>
          <w:szCs w:val="32"/>
          <w14:textFill>
            <w14:solidFill>
              <w14:schemeClr w14:val="tx1"/>
            </w14:solidFill>
          </w14:textFill>
        </w:rPr>
        <w:t>7.引领规范标准体系制定</w:t>
      </w:r>
    </w:p>
    <w:p>
      <w:pPr>
        <w:pageBreakBefore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黑体"/>
          <w:color w:val="000000" w:themeColor="text1"/>
          <w:sz w:val="32"/>
          <w:szCs w:val="32"/>
          <w14:textFill>
            <w14:solidFill>
              <w14:schemeClr w14:val="tx1"/>
            </w14:solidFill>
          </w14:textFill>
        </w:rPr>
        <w:t>依托北京科创资源优势，成立氢能产业标准化协会，组织开展京津冀氢能制、储、运、加、用及安全等方面的标准体系研究</w:t>
      </w:r>
      <w:r>
        <w:rPr>
          <w:rFonts w:hint="eastAsia" w:ascii="仿宋_GB2312" w:hAnsi="黑体"/>
          <w:color w:val="000000" w:themeColor="text1"/>
          <w:sz w:val="32"/>
          <w:szCs w:val="32"/>
          <w:lang w:eastAsia="zh-CN"/>
          <w14:textFill>
            <w14:solidFill>
              <w14:schemeClr w14:val="tx1"/>
            </w14:solidFill>
          </w14:textFill>
        </w:rPr>
        <w:t>制定</w:t>
      </w:r>
      <w:r>
        <w:rPr>
          <w:rFonts w:hint="eastAsia" w:ascii="仿宋_GB2312" w:hAnsi="黑体"/>
          <w:color w:val="000000" w:themeColor="text1"/>
          <w:sz w:val="32"/>
          <w:szCs w:val="32"/>
          <w14:textFill>
            <w14:solidFill>
              <w14:schemeClr w14:val="tx1"/>
            </w14:solidFill>
          </w14:textFill>
        </w:rPr>
        <w:t>，鼓励龙头企业积极参与地方、行业、国家和国际标准制定。</w:t>
      </w:r>
    </w:p>
    <w:p>
      <w:pPr>
        <w:pageBreakBefore w:val="0"/>
        <w:kinsoku/>
        <w:wordWrap/>
        <w:overflowPunct/>
        <w:topLinePunct w:val="0"/>
        <w:autoSpaceDE/>
        <w:autoSpaceDN/>
        <w:bidi w:val="0"/>
        <w:adjustRightInd/>
        <w:snapToGrid/>
        <w:spacing w:line="560" w:lineRule="exact"/>
        <w:ind w:firstLine="640"/>
        <w:textAlignment w:val="auto"/>
        <w:outlineLvl w:val="1"/>
        <w:rPr>
          <w:rFonts w:hint="eastAsia" w:ascii="等线 Light" w:hAnsi="等线 Light" w:eastAsia="楷体_GB2312" w:cs="宋体"/>
          <w:b w:val="0"/>
          <w:bCs/>
          <w:kern w:val="2"/>
          <w:sz w:val="32"/>
          <w:szCs w:val="32"/>
          <w:lang w:val="en-US" w:eastAsia="zh-CN" w:bidi="ar-SA"/>
        </w:rPr>
      </w:pPr>
      <w:bookmarkStart w:id="23" w:name="_Toc109580985"/>
      <w:r>
        <w:rPr>
          <w:rFonts w:hint="eastAsia" w:ascii="等线 Light" w:hAnsi="等线 Light" w:eastAsia="楷体_GB2312" w:cs="宋体"/>
          <w:b w:val="0"/>
          <w:bCs/>
          <w:kern w:val="2"/>
          <w:sz w:val="32"/>
          <w:szCs w:val="32"/>
          <w:lang w:val="en-US" w:eastAsia="zh-CN" w:bidi="ar-SA"/>
        </w:rPr>
        <w:t>（三）全力打造氢能应用场景</w:t>
      </w:r>
      <w:bookmarkEnd w:id="23"/>
    </w:p>
    <w:p>
      <w:pPr>
        <w:pageBreakBefore w:val="0"/>
        <w:kinsoku/>
        <w:wordWrap/>
        <w:overflowPunct/>
        <w:topLinePunct w:val="0"/>
        <w:autoSpaceDE/>
        <w:autoSpaceDN/>
        <w:bidi w:val="0"/>
        <w:adjustRightInd/>
        <w:snapToGrid/>
        <w:spacing w:line="560" w:lineRule="exact"/>
        <w:ind w:firstLine="640"/>
        <w:textAlignment w:val="auto"/>
        <w:rPr>
          <w:rFonts w:ascii="仿宋_GB2312"/>
          <w:color w:val="000000" w:themeColor="text1"/>
          <w:sz w:val="32"/>
          <w:szCs w:val="32"/>
          <w14:textFill>
            <w14:solidFill>
              <w14:schemeClr w14:val="tx1"/>
            </w14:solidFill>
          </w14:textFill>
        </w:rPr>
      </w:pPr>
      <w:bookmarkStart w:id="24" w:name="_Toc99628532"/>
      <w:bookmarkStart w:id="25" w:name="_Toc98772158"/>
      <w:bookmarkStart w:id="26" w:name="_Toc96195948"/>
      <w:r>
        <w:rPr>
          <w:rFonts w:hint="eastAsia" w:ascii="仿宋_GB2312"/>
          <w:color w:val="000000" w:themeColor="text1"/>
          <w:sz w:val="32"/>
          <w:szCs w:val="32"/>
          <w14:textFill>
            <w14:solidFill>
              <w14:schemeClr w14:val="tx1"/>
            </w14:solidFill>
          </w14:textFill>
        </w:rPr>
        <w:t>围绕重点区域和场景，大力开展氢能在交通运输和分布式供能等领域的推广应用，</w:t>
      </w:r>
      <w:r>
        <w:rPr>
          <w:rFonts w:hint="eastAsia" w:ascii="仿宋_GB2312"/>
          <w:color w:val="000000" w:themeColor="text1"/>
          <w:sz w:val="32"/>
          <w:szCs w:val="32"/>
          <w:lang w:eastAsia="zh-CN"/>
          <w14:textFill>
            <w14:solidFill>
              <w14:schemeClr w14:val="tx1"/>
            </w14:solidFill>
          </w14:textFill>
        </w:rPr>
        <w:t>打造</w:t>
      </w:r>
      <w:r>
        <w:rPr>
          <w:rFonts w:hint="eastAsia" w:ascii="仿宋_GB2312"/>
          <w:color w:val="000000" w:themeColor="text1"/>
          <w:sz w:val="32"/>
          <w:szCs w:val="32"/>
          <w14:textFill>
            <w14:solidFill>
              <w14:schemeClr w14:val="tx1"/>
            </w14:solidFill>
          </w14:textFill>
        </w:rPr>
        <w:t>国际氢能示范区、大兴国际机场</w:t>
      </w:r>
      <w:r>
        <w:rPr>
          <w:rFonts w:hint="eastAsia" w:ascii="仿宋_GB2312"/>
          <w:color w:val="000000" w:themeColor="text1"/>
          <w:sz w:val="32"/>
          <w:szCs w:val="32"/>
          <w:lang w:eastAsia="zh-CN"/>
          <w14:textFill>
            <w14:solidFill>
              <w14:schemeClr w14:val="tx1"/>
            </w14:solidFill>
          </w14:textFill>
        </w:rPr>
        <w:t>和</w:t>
      </w:r>
      <w:r>
        <w:rPr>
          <w:rFonts w:hint="eastAsia" w:ascii="仿宋_GB2312"/>
          <w:color w:val="000000" w:themeColor="text1"/>
          <w:sz w:val="32"/>
          <w:szCs w:val="32"/>
          <w14:textFill>
            <w14:solidFill>
              <w14:schemeClr w14:val="tx1"/>
            </w14:solidFill>
          </w14:textFill>
        </w:rPr>
        <w:t>临空经济区</w:t>
      </w:r>
      <w:r>
        <w:rPr>
          <w:rFonts w:hint="eastAsia" w:ascii="仿宋_GB2312"/>
          <w:color w:val="000000" w:themeColor="text1"/>
          <w:sz w:val="32"/>
          <w:szCs w:val="32"/>
          <w:lang w:eastAsia="zh-CN"/>
          <w14:textFill>
            <w14:solidFill>
              <w14:schemeClr w14:val="tx1"/>
            </w14:solidFill>
          </w14:textFill>
        </w:rPr>
        <w:t>等</w:t>
      </w:r>
      <w:r>
        <w:rPr>
          <w:rFonts w:hint="eastAsia" w:ascii="仿宋_GB2312"/>
          <w:color w:val="000000" w:themeColor="text1"/>
          <w:sz w:val="32"/>
          <w:szCs w:val="32"/>
          <w14:textFill>
            <w14:solidFill>
              <w14:schemeClr w14:val="tx1"/>
            </w14:solidFill>
          </w14:textFill>
        </w:rPr>
        <w:t>氢能应用示范试点，协同构建京津冀燃料电池综合设施大廊道。</w:t>
      </w:r>
    </w:p>
    <w:bookmarkEnd w:id="24"/>
    <w:bookmarkEnd w:id="25"/>
    <w:bookmarkEnd w:id="26"/>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color w:val="000000" w:themeColor="text1"/>
          <w:sz w:val="32"/>
          <w:szCs w:val="32"/>
          <w14:textFill>
            <w14:solidFill>
              <w14:schemeClr w14:val="tx1"/>
            </w14:solidFill>
          </w14:textFill>
        </w:rPr>
      </w:pPr>
      <w:r>
        <w:rPr>
          <w:rFonts w:hint="eastAsia" w:ascii="仿宋_GB2312"/>
          <w:b/>
          <w:bCs/>
          <w:color w:val="000000" w:themeColor="text1"/>
          <w:sz w:val="32"/>
          <w:szCs w:val="32"/>
          <w14:textFill>
            <w14:solidFill>
              <w14:schemeClr w14:val="tx1"/>
            </w14:solidFill>
          </w14:textFill>
        </w:rPr>
        <w:t>8.开展燃料电池车辆推广应用</w:t>
      </w:r>
    </w:p>
    <w:p>
      <w:pPr>
        <w:pageBreakBefore w:val="0"/>
        <w:kinsoku/>
        <w:wordWrap/>
        <w:overflowPunct/>
        <w:topLinePunct w:val="0"/>
        <w:autoSpaceDE/>
        <w:autoSpaceDN/>
        <w:bidi w:val="0"/>
        <w:adjustRightInd/>
        <w:snapToGrid/>
        <w:spacing w:line="560" w:lineRule="exact"/>
        <w:ind w:firstLine="640"/>
        <w:textAlignment w:val="auto"/>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在交通运输领域，依托物流园区、工业园区、机场枢纽及周边和大型冷链仓库等区域，加速孵化城市配送、冷链物流、建筑领域、邮政运输、旅游、通勤、机场服务、环卫作业等燃料电池车适配运输场景，在2025年前实现至少3000辆燃料电池汽车的推广应用，探索形成有效的氢能产业发展的商业化路径。</w:t>
      </w:r>
    </w:p>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color w:val="000000" w:themeColor="text1"/>
          <w:sz w:val="32"/>
          <w:szCs w:val="32"/>
          <w14:textFill>
            <w14:solidFill>
              <w14:schemeClr w14:val="tx1"/>
            </w14:solidFill>
          </w14:textFill>
        </w:rPr>
      </w:pPr>
      <w:r>
        <w:rPr>
          <w:rFonts w:hint="eastAsia" w:ascii="仿宋_GB2312"/>
          <w:b/>
          <w:bCs/>
          <w:color w:val="000000" w:themeColor="text1"/>
          <w:sz w:val="32"/>
          <w:szCs w:val="32"/>
          <w14:textFill>
            <w14:solidFill>
              <w14:schemeClr w14:val="tx1"/>
            </w14:solidFill>
          </w14:textFill>
        </w:rPr>
        <w:t>9.探索创新氢能示范试点应用</w:t>
      </w:r>
    </w:p>
    <w:p>
      <w:pPr>
        <w:pageBreakBefore w:val="0"/>
        <w:kinsoku/>
        <w:wordWrap/>
        <w:overflowPunct/>
        <w:topLinePunct w:val="0"/>
        <w:autoSpaceDE/>
        <w:autoSpaceDN/>
        <w:bidi w:val="0"/>
        <w:adjustRightInd/>
        <w:snapToGrid/>
        <w:spacing w:line="560" w:lineRule="exact"/>
        <w:ind w:firstLine="640"/>
        <w:textAlignment w:val="auto"/>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围绕物流园区和工业园区</w:t>
      </w:r>
      <w:r>
        <w:rPr>
          <w:rFonts w:ascii="仿宋_GB2312"/>
          <w:color w:val="000000"/>
          <w:sz w:val="32"/>
          <w:szCs w:val="32"/>
        </w:rPr>
        <w:t>等场景</w:t>
      </w:r>
      <w:r>
        <w:rPr>
          <w:rFonts w:hint="eastAsia" w:ascii="仿宋_GB2312"/>
          <w:color w:val="000000" w:themeColor="text1"/>
          <w:sz w:val="32"/>
          <w:szCs w:val="32"/>
          <w14:textFill>
            <w14:solidFill>
              <w14:schemeClr w14:val="tx1"/>
            </w14:solidFill>
          </w14:textFill>
        </w:rPr>
        <w:t>，推动实现内燃机叉车和铅酸电池叉车的分阶段替换。探索氢能轨道交通、船舶、无人机和航空器等交通工具的示范应用。</w:t>
      </w:r>
    </w:p>
    <w:p>
      <w:pPr>
        <w:pageBreakBefore w:val="0"/>
        <w:kinsoku/>
        <w:wordWrap/>
        <w:overflowPunct/>
        <w:topLinePunct w:val="0"/>
        <w:autoSpaceDE/>
        <w:autoSpaceDN/>
        <w:bidi w:val="0"/>
        <w:adjustRightInd/>
        <w:snapToGrid/>
        <w:spacing w:line="560" w:lineRule="exact"/>
        <w:ind w:firstLine="640"/>
        <w:textAlignment w:val="auto"/>
        <w:rPr>
          <w:rFonts w:ascii="仿宋_GB2312"/>
          <w:color w:val="000000" w:themeColor="text1"/>
          <w:sz w:val="32"/>
          <w:szCs w:val="32"/>
          <w14:textFill>
            <w14:solidFill>
              <w14:schemeClr w14:val="tx1"/>
            </w14:solidFill>
          </w14:textFill>
        </w:rPr>
      </w:pPr>
      <w:r>
        <w:rPr>
          <w:rFonts w:hint="eastAsia" w:ascii="仿宋_GB2312"/>
          <w:color w:val="000000"/>
          <w:sz w:val="32"/>
          <w:szCs w:val="32"/>
        </w:rPr>
        <w:t>推广氢电一体化综合能源系统示范项目。鼓励大兴国际氢能示范区、北京大兴国际机场及临空经济区、大兴京南物流基地、大兴生物医药基地、经开区等重点区域以及相关企业利用现有资源，开展氢电一体化综合能源系统示范项目</w:t>
      </w:r>
      <w:r>
        <w:rPr>
          <w:rFonts w:hint="eastAsia" w:ascii="仿宋_GB2312"/>
          <w:color w:val="000000" w:themeColor="text1"/>
          <w:sz w:val="32"/>
          <w:szCs w:val="32"/>
          <w14:textFill>
            <w14:solidFill>
              <w14:schemeClr w14:val="tx1"/>
            </w14:solidFill>
          </w14:textFill>
        </w:rPr>
        <w:t>。鼓励企业在新建数据中心时充分利用氢能打造零碳数据中心等试点应用。</w:t>
      </w:r>
    </w:p>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b/>
          <w:bCs/>
          <w:color w:val="000000" w:themeColor="text1"/>
          <w:sz w:val="32"/>
          <w:szCs w:val="32"/>
          <w14:textFill>
            <w14:solidFill>
              <w14:schemeClr w14:val="tx1"/>
            </w14:solidFill>
          </w14:textFill>
        </w:rPr>
      </w:pPr>
      <w:bookmarkStart w:id="27" w:name="_Toc99628534"/>
      <w:bookmarkStart w:id="28" w:name="_Toc96195950"/>
      <w:bookmarkStart w:id="29" w:name="_Toc98772160"/>
      <w:r>
        <w:rPr>
          <w:rFonts w:hint="eastAsia" w:ascii="仿宋_GB2312"/>
          <w:b/>
          <w:bCs/>
          <w:color w:val="000000" w:themeColor="text1"/>
          <w:sz w:val="32"/>
          <w:szCs w:val="32"/>
          <w14:textFill>
            <w14:solidFill>
              <w14:schemeClr w14:val="tx1"/>
            </w14:solidFill>
          </w14:textFill>
        </w:rPr>
        <w:t>10.</w:t>
      </w:r>
      <w:bookmarkEnd w:id="27"/>
      <w:bookmarkEnd w:id="28"/>
      <w:bookmarkEnd w:id="29"/>
      <w:r>
        <w:rPr>
          <w:rFonts w:hint="eastAsia" w:ascii="仿宋_GB2312"/>
          <w:b/>
          <w:bCs/>
          <w:color w:val="000000" w:themeColor="text1"/>
          <w:sz w:val="32"/>
          <w:szCs w:val="32"/>
          <w14:textFill>
            <w14:solidFill>
              <w14:schemeClr w14:val="tx1"/>
            </w14:solidFill>
          </w14:textFill>
        </w:rPr>
        <w:t>构建京津冀燃料电池货运示范廊道</w:t>
      </w:r>
    </w:p>
    <w:p>
      <w:pPr>
        <w:pageBreakBefore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依托京港澳高速、大广高速、京台高速和京沪高速构成的京津冀南部运输大廊道，聚焦高碑店农副产品、天津港生活必需品和环京大宗矿建等场景，协同推广区域燃料电池货运专线车辆，依托企业联盟或第三方运力平台，打造京津冀零排放低碳货运试点示范走廊。</w:t>
      </w:r>
    </w:p>
    <w:p>
      <w:pPr>
        <w:pageBreakBefore w:val="0"/>
        <w:kinsoku/>
        <w:wordWrap/>
        <w:overflowPunct/>
        <w:topLinePunct w:val="0"/>
        <w:autoSpaceDE/>
        <w:autoSpaceDN/>
        <w:bidi w:val="0"/>
        <w:adjustRightInd/>
        <w:snapToGrid/>
        <w:spacing w:line="560" w:lineRule="exact"/>
        <w:ind w:firstLine="640"/>
        <w:textAlignment w:val="auto"/>
        <w:outlineLvl w:val="1"/>
        <w:rPr>
          <w:rFonts w:hint="eastAsia" w:ascii="等线 Light" w:hAnsi="等线 Light" w:eastAsia="楷体_GB2312" w:cs="宋体"/>
          <w:b w:val="0"/>
          <w:bCs/>
          <w:kern w:val="2"/>
          <w:sz w:val="32"/>
          <w:szCs w:val="32"/>
          <w:lang w:val="en-US" w:eastAsia="zh-CN" w:bidi="ar-SA"/>
        </w:rPr>
      </w:pPr>
      <w:bookmarkStart w:id="30" w:name="_Toc109580986"/>
      <w:r>
        <w:rPr>
          <w:rFonts w:hint="eastAsia" w:ascii="等线 Light" w:hAnsi="等线 Light" w:eastAsia="楷体_GB2312" w:cs="宋体"/>
          <w:b w:val="0"/>
          <w:bCs/>
          <w:kern w:val="2"/>
          <w:sz w:val="32"/>
          <w:szCs w:val="32"/>
          <w:lang w:val="en-US" w:eastAsia="zh-CN" w:bidi="ar-SA"/>
        </w:rPr>
        <w:t>（四）协同构建氢能保障体系</w:t>
      </w:r>
      <w:bookmarkEnd w:id="30"/>
    </w:p>
    <w:p>
      <w:pPr>
        <w:pageBreakBefore w:val="0"/>
        <w:kinsoku/>
        <w:wordWrap/>
        <w:overflowPunct/>
        <w:topLinePunct w:val="0"/>
        <w:autoSpaceDE/>
        <w:autoSpaceDN/>
        <w:bidi w:val="0"/>
        <w:adjustRightInd/>
        <w:snapToGrid/>
        <w:spacing w:line="560" w:lineRule="exact"/>
        <w:ind w:firstLine="640"/>
        <w:textAlignment w:val="auto"/>
        <w:rPr>
          <w:rFonts w:cs="Times New Roman"/>
          <w:color w:val="000000" w:themeColor="text1"/>
          <w:sz w:val="32"/>
          <w:szCs w:val="32"/>
          <w14:textFill>
            <w14:solidFill>
              <w14:schemeClr w14:val="tx1"/>
            </w14:solidFill>
          </w14:textFill>
        </w:rPr>
      </w:pPr>
      <w:bookmarkStart w:id="31" w:name="_Toc98772162"/>
      <w:bookmarkStart w:id="32" w:name="_Toc96195952"/>
      <w:bookmarkStart w:id="33" w:name="_Toc99628536"/>
      <w:r>
        <w:rPr>
          <w:rFonts w:hint="eastAsia" w:cs="Times New Roman"/>
          <w:color w:val="000000" w:themeColor="text1"/>
          <w:sz w:val="32"/>
          <w:szCs w:val="32"/>
          <w14:textFill>
            <w14:solidFill>
              <w14:schemeClr w14:val="tx1"/>
            </w14:solidFill>
          </w14:textFill>
        </w:rPr>
        <w:t>立足区域协同互补，建立“区外为主、区内为辅”的氢源持续稳定输送渠道；以需求为导向，统筹布局建设便捷的加氢站网络体系，探索制储加一体化新模式。</w:t>
      </w:r>
    </w:p>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cs="Times New Roman"/>
          <w:b/>
          <w:bCs/>
          <w:color w:val="000000" w:themeColor="text1"/>
          <w:sz w:val="32"/>
          <w:szCs w:val="32"/>
          <w14:textFill>
            <w14:solidFill>
              <w14:schemeClr w14:val="tx1"/>
            </w14:solidFill>
          </w14:textFill>
        </w:rPr>
      </w:pPr>
      <w:r>
        <w:rPr>
          <w:rFonts w:hint="eastAsia" w:ascii="仿宋_GB2312" w:cs="Times New Roman"/>
          <w:b/>
          <w:bCs/>
          <w:color w:val="000000" w:themeColor="text1"/>
          <w:sz w:val="32"/>
          <w:szCs w:val="32"/>
          <w14:textFill>
            <w14:solidFill>
              <w14:schemeClr w14:val="tx1"/>
            </w14:solidFill>
          </w14:textFill>
        </w:rPr>
        <w:t>11.实现优质氢源供应保障</w:t>
      </w:r>
      <w:bookmarkEnd w:id="31"/>
      <w:bookmarkEnd w:id="32"/>
      <w:bookmarkEnd w:id="33"/>
    </w:p>
    <w:p>
      <w:pPr>
        <w:pageBreakBefore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以氢能供应保障为目标，编制大兴区氢能保障综合性规划和实施计划。积极与房山区、环京区域建立氢源供给协作关系，推动与具有可再生能源制氢</w:t>
      </w:r>
      <w:r>
        <w:rPr>
          <w:rFonts w:hint="eastAsia" w:ascii="仿宋_GB2312" w:hAnsi="仿宋_GB2312" w:cs="仿宋_GB2312"/>
          <w:color w:val="000000" w:themeColor="text1"/>
          <w:sz w:val="32"/>
          <w:szCs w:val="32"/>
          <w:lang w:eastAsia="zh-CN"/>
          <w14:textFill>
            <w14:solidFill>
              <w14:schemeClr w14:val="tx1"/>
            </w14:solidFill>
          </w14:textFill>
        </w:rPr>
        <w:t>能力</w:t>
      </w:r>
      <w:r>
        <w:rPr>
          <w:rFonts w:hint="eastAsia" w:ascii="仿宋_GB2312" w:hAnsi="仿宋_GB2312" w:cs="仿宋_GB2312"/>
          <w:color w:val="000000" w:themeColor="text1"/>
          <w:sz w:val="32"/>
          <w:szCs w:val="32"/>
          <w14:textFill>
            <w14:solidFill>
              <w14:schemeClr w14:val="tx1"/>
            </w14:solidFill>
          </w14:textFill>
        </w:rPr>
        <w:t>的企业合作，建立供需企业“点对点”持续稳定的氢能保障模式。积极推动污泥、垃圾制氢等试点项目。</w:t>
      </w:r>
    </w:p>
    <w:p>
      <w:pPr>
        <w:pageBreakBefore w:val="0"/>
        <w:kinsoku/>
        <w:wordWrap/>
        <w:overflowPunct/>
        <w:topLinePunct w:val="0"/>
        <w:autoSpaceDE/>
        <w:autoSpaceDN/>
        <w:bidi w:val="0"/>
        <w:adjustRightInd/>
        <w:snapToGrid/>
        <w:spacing w:line="560" w:lineRule="exact"/>
        <w:ind w:firstLine="643"/>
        <w:textAlignment w:val="auto"/>
        <w:outlineLvl w:val="2"/>
        <w:rPr>
          <w:rFonts w:cs="Times New Roman"/>
          <w:b/>
          <w:bCs/>
          <w:color w:val="000000" w:themeColor="text1"/>
          <w:sz w:val="32"/>
          <w:szCs w:val="32"/>
          <w14:textFill>
            <w14:solidFill>
              <w14:schemeClr w14:val="tx1"/>
            </w14:solidFill>
          </w14:textFill>
        </w:rPr>
      </w:pPr>
      <w:bookmarkStart w:id="34" w:name="_Toc98772163"/>
      <w:bookmarkStart w:id="35" w:name="_Toc99628537"/>
      <w:bookmarkStart w:id="36" w:name="_Toc96195953"/>
      <w:r>
        <w:rPr>
          <w:rFonts w:hint="eastAsia" w:ascii="仿宋_GB2312" w:cs="Times New Roman"/>
          <w:b/>
          <w:bCs/>
          <w:color w:val="000000" w:themeColor="text1"/>
          <w:sz w:val="32"/>
          <w:szCs w:val="32"/>
          <w14:textFill>
            <w14:solidFill>
              <w14:schemeClr w14:val="tx1"/>
            </w14:solidFill>
          </w14:textFill>
        </w:rPr>
        <w:t>12.布</w:t>
      </w:r>
      <w:r>
        <w:rPr>
          <w:rFonts w:cs="Times New Roman"/>
          <w:b/>
          <w:bCs/>
          <w:color w:val="000000" w:themeColor="text1"/>
          <w:sz w:val="32"/>
          <w:szCs w:val="32"/>
          <w14:textFill>
            <w14:solidFill>
              <w14:schemeClr w14:val="tx1"/>
            </w14:solidFill>
          </w14:textFill>
        </w:rPr>
        <w:t>设加氢基础设施网络</w:t>
      </w:r>
      <w:bookmarkEnd w:id="34"/>
      <w:bookmarkEnd w:id="35"/>
      <w:bookmarkEnd w:id="36"/>
    </w:p>
    <w:p>
      <w:pPr>
        <w:pageBreakBefore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结合燃料电池汽车示范应用场景和推广计划，编制并优化区内加氢站布局，围绕燃料电池车辆运行热点区域，在国际氢能示范区、大兴国际机场及临空经济区、京南物流基地，大广高速、京台高速、104国道等区域周边，建设不少于10座加氢站。鼓励支持中石化、中石油等企业利用既有加油加气站，实现加氢站融合建设。</w:t>
      </w:r>
      <w:r>
        <w:rPr>
          <w:rFonts w:hint="eastAsia"/>
          <w:color w:val="000000" w:themeColor="text1"/>
          <w:sz w:val="32"/>
          <w:szCs w:val="32"/>
          <w14:textFill>
            <w14:solidFill>
              <w14:schemeClr w14:val="tx1"/>
            </w14:solidFill>
          </w14:textFill>
        </w:rPr>
        <w:t>推广基于分布式可再生能源的制、储和加注一体化模式的加氢站试点示范项目。</w:t>
      </w:r>
    </w:p>
    <w:p>
      <w:pPr>
        <w:pageBreakBefore w:val="0"/>
        <w:kinsoku/>
        <w:wordWrap/>
        <w:overflowPunct/>
        <w:topLinePunct w:val="0"/>
        <w:autoSpaceDE/>
        <w:autoSpaceDN/>
        <w:bidi w:val="0"/>
        <w:adjustRightInd/>
        <w:snapToGrid/>
        <w:spacing w:line="560" w:lineRule="exact"/>
        <w:ind w:firstLine="640"/>
        <w:textAlignment w:val="auto"/>
        <w:outlineLvl w:val="1"/>
        <w:rPr>
          <w:rFonts w:hint="eastAsia" w:ascii="等线 Light" w:hAnsi="等线 Light" w:eastAsia="楷体_GB2312" w:cs="宋体"/>
          <w:b w:val="0"/>
          <w:bCs/>
          <w:kern w:val="2"/>
          <w:sz w:val="32"/>
          <w:szCs w:val="32"/>
          <w:lang w:val="en-US" w:eastAsia="zh-CN" w:bidi="ar-SA"/>
        </w:rPr>
      </w:pPr>
      <w:bookmarkStart w:id="37" w:name="_Toc109580987"/>
      <w:r>
        <w:rPr>
          <w:rFonts w:hint="eastAsia" w:ascii="等线 Light" w:hAnsi="等线 Light" w:eastAsia="楷体_GB2312" w:cs="宋体"/>
          <w:b w:val="0"/>
          <w:bCs/>
          <w:kern w:val="2"/>
          <w:sz w:val="32"/>
          <w:szCs w:val="32"/>
          <w:lang w:val="en-US" w:eastAsia="zh-CN" w:bidi="ar-SA"/>
        </w:rPr>
        <w:t>（五）推动数字化绿色化创新</w:t>
      </w:r>
      <w:bookmarkEnd w:id="37"/>
    </w:p>
    <w:p>
      <w:pPr>
        <w:pageBreakBefore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bookmarkStart w:id="38" w:name="_Toc96195955"/>
      <w:bookmarkStart w:id="39" w:name="_Toc98772165"/>
      <w:bookmarkStart w:id="40" w:name="_Toc99628539"/>
      <w:r>
        <w:rPr>
          <w:rFonts w:hint="eastAsia"/>
          <w:color w:val="000000" w:themeColor="text1"/>
          <w:sz w:val="32"/>
          <w:szCs w:val="32"/>
          <w14:textFill>
            <w14:solidFill>
              <w14:schemeClr w14:val="tx1"/>
            </w14:solidFill>
          </w14:textFill>
        </w:rPr>
        <w:t>依托京津冀示范城市群，建立氢能产业链综合大数据平台，开展数字化试点工程，创新氢能碳核算方法学并纳入交易体系，积极参与市级绿色金融创新改革示范工作，释放氢能碳资产价值。</w:t>
      </w:r>
    </w:p>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b/>
          <w:bCs/>
          <w:color w:val="000000" w:themeColor="text1"/>
          <w:sz w:val="32"/>
          <w:szCs w:val="32"/>
          <w14:textFill>
            <w14:solidFill>
              <w14:schemeClr w14:val="tx1"/>
            </w14:solidFill>
          </w14:textFill>
        </w:rPr>
      </w:pPr>
      <w:r>
        <w:rPr>
          <w:rFonts w:hint="eastAsia" w:ascii="仿宋_GB2312"/>
          <w:b/>
          <w:bCs/>
          <w:color w:val="000000" w:themeColor="text1"/>
          <w:sz w:val="32"/>
          <w:szCs w:val="32"/>
          <w14:textFill>
            <w14:solidFill>
              <w14:schemeClr w14:val="tx1"/>
            </w14:solidFill>
          </w14:textFill>
        </w:rPr>
        <w:t>13.</w:t>
      </w:r>
      <w:bookmarkEnd w:id="38"/>
      <w:bookmarkEnd w:id="39"/>
      <w:r>
        <w:rPr>
          <w:rFonts w:hint="eastAsia" w:ascii="仿宋_GB2312"/>
          <w:b/>
          <w:bCs/>
          <w:color w:val="000000" w:themeColor="text1"/>
          <w:sz w:val="32"/>
          <w:szCs w:val="32"/>
          <w14:textFill>
            <w14:solidFill>
              <w14:schemeClr w14:val="tx1"/>
            </w14:solidFill>
          </w14:textFill>
        </w:rPr>
        <w:t>建设产业链综合大数据平台</w:t>
      </w:r>
      <w:bookmarkEnd w:id="40"/>
    </w:p>
    <w:p>
      <w:pPr>
        <w:pageBreakBefore w:val="0"/>
        <w:kinsoku/>
        <w:wordWrap/>
        <w:overflowPunct/>
        <w:topLinePunct w:val="0"/>
        <w:autoSpaceDE/>
        <w:autoSpaceDN/>
        <w:bidi w:val="0"/>
        <w:adjustRightInd/>
        <w:snapToGrid/>
        <w:spacing w:line="560" w:lineRule="exact"/>
        <w:ind w:firstLine="640"/>
        <w:textAlignment w:val="auto"/>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以示范城市群为抓手，建设涵盖关键零部件研发、车辆推广应用、氢能制储运加等全链资源的氢能产业大数据平台和数字化公众体验与展示中心，为全面支撑区内氢能产业发展、开展全产业链安全监管服务提供抓手。结合城市配送、航空物流等重点场景，打造集数字全链感知、监测及管理服务于一体的数字化试点工程。吸引培育优质的数字化企业，发展壮大氢能数字化产业。</w:t>
      </w:r>
    </w:p>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b/>
          <w:bCs/>
          <w:color w:val="000000" w:themeColor="text1"/>
          <w:sz w:val="32"/>
          <w:szCs w:val="32"/>
          <w14:textFill>
            <w14:solidFill>
              <w14:schemeClr w14:val="tx1"/>
            </w14:solidFill>
          </w14:textFill>
        </w:rPr>
      </w:pPr>
      <w:bookmarkStart w:id="41" w:name="_Toc96195956"/>
      <w:bookmarkStart w:id="42" w:name="_Toc98772166"/>
      <w:bookmarkStart w:id="43" w:name="_Toc99628540"/>
      <w:r>
        <w:rPr>
          <w:rFonts w:hint="eastAsia" w:ascii="仿宋_GB2312"/>
          <w:b/>
          <w:bCs/>
          <w:color w:val="000000" w:themeColor="text1"/>
          <w:sz w:val="32"/>
          <w:szCs w:val="32"/>
          <w14:textFill>
            <w14:solidFill>
              <w14:schemeClr w14:val="tx1"/>
            </w14:solidFill>
          </w14:textFill>
        </w:rPr>
        <w:t>14.创新氢能绿色化市场工具</w:t>
      </w:r>
      <w:bookmarkEnd w:id="41"/>
      <w:bookmarkEnd w:id="42"/>
      <w:bookmarkEnd w:id="43"/>
    </w:p>
    <w:p>
      <w:pPr>
        <w:pageBreakBefore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加强与北京绿色交易所等碳交易相关机构深度合作。立足京津冀氢能产业特点，创新开发氢能产业全产业链应用场景碳计量与碳减排方法学体系，力争纳入清洁发展机制（CDM）、中国核证自愿减排量（CCER）、北京核证自愿减排量（PCER）等市场交易体系。同步建立基于大数据的氢能产业碳资产计量与管理平台，实现氢能产业碳资产的分步骤开发和转化。积极参与北京市绿色金融创新改革示范工作,在氢能产业领域，探索应用基于碳资产的低息绿债、低碳基金、环境-社会-公司治理（ESG）、间接融资等金融手段，开展</w:t>
      </w:r>
      <w:r>
        <w:rPr>
          <w:rFonts w:hint="eastAsia" w:ascii="仿宋_GB2312"/>
          <w:color w:val="000000" w:themeColor="text1"/>
          <w:sz w:val="32"/>
          <w:szCs w:val="32"/>
          <w:highlight w:val="none"/>
          <w:lang w:eastAsia="zh-CN"/>
          <w14:textFill>
            <w14:solidFill>
              <w14:schemeClr w14:val="tx1"/>
            </w14:solidFill>
          </w14:textFill>
        </w:rPr>
        <w:t>绿色金融政策碳金融</w:t>
      </w:r>
      <w:r>
        <w:rPr>
          <w:rFonts w:hint="eastAsia" w:ascii="仿宋_GB2312"/>
          <w:color w:val="000000" w:themeColor="text1"/>
          <w:sz w:val="32"/>
          <w:szCs w:val="32"/>
          <w:highlight w:val="none"/>
          <w14:textFill>
            <w14:solidFill>
              <w14:schemeClr w14:val="tx1"/>
            </w14:solidFill>
          </w14:textFill>
        </w:rPr>
        <w:t>工具</w:t>
      </w:r>
      <w:r>
        <w:rPr>
          <w:rFonts w:hint="eastAsia" w:ascii="仿宋_GB2312"/>
          <w:color w:val="000000" w:themeColor="text1"/>
          <w:sz w:val="32"/>
          <w:szCs w:val="32"/>
          <w14:textFill>
            <w14:solidFill>
              <w14:schemeClr w14:val="tx1"/>
            </w14:solidFill>
          </w14:textFill>
        </w:rPr>
        <w:t>创新示范</w:t>
      </w:r>
      <w:r>
        <w:rPr>
          <w:rFonts w:hint="eastAsia"/>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0"/>
        <w:textAlignment w:val="auto"/>
        <w:outlineLvl w:val="1"/>
        <w:rPr>
          <w:rFonts w:hint="eastAsia" w:ascii="等线 Light" w:hAnsi="等线 Light" w:eastAsia="楷体_GB2312" w:cs="宋体"/>
          <w:b w:val="0"/>
          <w:bCs/>
          <w:kern w:val="2"/>
          <w:sz w:val="32"/>
          <w:szCs w:val="32"/>
          <w:lang w:val="en-US" w:eastAsia="zh-CN" w:bidi="ar-SA"/>
        </w:rPr>
      </w:pPr>
      <w:bookmarkStart w:id="44" w:name="_Toc109580988"/>
      <w:r>
        <w:rPr>
          <w:rFonts w:hint="eastAsia" w:ascii="等线 Light" w:hAnsi="等线 Light" w:eastAsia="楷体_GB2312" w:cs="宋体"/>
          <w:b w:val="0"/>
          <w:bCs/>
          <w:kern w:val="2"/>
          <w:sz w:val="32"/>
          <w:szCs w:val="32"/>
          <w:lang w:val="en-US" w:eastAsia="zh-CN" w:bidi="ar-SA"/>
        </w:rPr>
        <w:t>（六）积极汇聚人才智力资源</w:t>
      </w:r>
      <w:bookmarkEnd w:id="44"/>
    </w:p>
    <w:p>
      <w:pPr>
        <w:pageBreakBefore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bookmarkStart w:id="45" w:name="_Toc96195958"/>
      <w:bookmarkStart w:id="46" w:name="_Toc99628542"/>
      <w:bookmarkStart w:id="47" w:name="_Toc98772168"/>
      <w:r>
        <w:rPr>
          <w:rFonts w:hint="eastAsia"/>
          <w:color w:val="000000" w:themeColor="text1"/>
          <w:sz w:val="32"/>
          <w:szCs w:val="32"/>
          <w:lang w:eastAsia="zh-CN"/>
          <w14:textFill>
            <w14:solidFill>
              <w14:schemeClr w14:val="tx1"/>
            </w14:solidFill>
          </w14:textFill>
        </w:rPr>
        <w:t>采取</w:t>
      </w:r>
      <w:r>
        <w:rPr>
          <w:rFonts w:hint="eastAsia"/>
          <w:color w:val="000000" w:themeColor="text1"/>
          <w:sz w:val="32"/>
          <w:szCs w:val="32"/>
          <w14:textFill>
            <w14:solidFill>
              <w14:schemeClr w14:val="tx1"/>
            </w14:solidFill>
          </w14:textFill>
        </w:rPr>
        <w:t>多种</w:t>
      </w:r>
      <w:r>
        <w:rPr>
          <w:rFonts w:hint="eastAsia"/>
          <w:color w:val="000000" w:themeColor="text1"/>
          <w:sz w:val="32"/>
          <w:szCs w:val="32"/>
          <w:lang w:eastAsia="zh-CN"/>
          <w14:textFill>
            <w14:solidFill>
              <w14:schemeClr w14:val="tx1"/>
            </w14:solidFill>
          </w14:textFill>
        </w:rPr>
        <w:t>举措</w:t>
      </w:r>
      <w:r>
        <w:rPr>
          <w:rFonts w:hint="eastAsia"/>
          <w:color w:val="000000" w:themeColor="text1"/>
          <w:sz w:val="32"/>
          <w:szCs w:val="32"/>
          <w14:textFill>
            <w14:solidFill>
              <w14:schemeClr w14:val="tx1"/>
            </w14:solidFill>
          </w14:textFill>
        </w:rPr>
        <w:t>，全面</w:t>
      </w:r>
      <w:r>
        <w:rPr>
          <w:rFonts w:hint="eastAsia"/>
          <w:color w:val="000000" w:themeColor="text1"/>
          <w:sz w:val="32"/>
          <w:szCs w:val="32"/>
          <w:lang w:eastAsia="zh-CN"/>
          <w14:textFill>
            <w14:solidFill>
              <w14:schemeClr w14:val="tx1"/>
            </w14:solidFill>
          </w14:textFill>
        </w:rPr>
        <w:t>开展</w:t>
      </w:r>
      <w:r>
        <w:rPr>
          <w:rFonts w:hint="eastAsia"/>
          <w:color w:val="000000" w:themeColor="text1"/>
          <w:sz w:val="32"/>
          <w:szCs w:val="32"/>
          <w14:textFill>
            <w14:solidFill>
              <w14:schemeClr w14:val="tx1"/>
            </w14:solidFill>
          </w14:textFill>
        </w:rPr>
        <w:t>本地化、多层次的氢能人才队伍</w:t>
      </w:r>
      <w:r>
        <w:rPr>
          <w:rFonts w:hint="eastAsia"/>
          <w:color w:val="000000" w:themeColor="text1"/>
          <w:sz w:val="32"/>
          <w:szCs w:val="32"/>
          <w:lang w:eastAsia="zh-CN"/>
          <w14:textFill>
            <w14:solidFill>
              <w14:schemeClr w14:val="tx1"/>
            </w14:solidFill>
          </w14:textFill>
        </w:rPr>
        <w:t>建设</w:t>
      </w:r>
      <w:r>
        <w:rPr>
          <w:rFonts w:hint="eastAsia"/>
          <w:color w:val="000000" w:themeColor="text1"/>
          <w:sz w:val="32"/>
          <w:szCs w:val="32"/>
          <w14:textFill>
            <w14:solidFill>
              <w14:schemeClr w14:val="tx1"/>
            </w14:solidFill>
          </w14:textFill>
        </w:rPr>
        <w:t>，组建</w:t>
      </w:r>
      <w:r>
        <w:rPr>
          <w:rFonts w:hint="eastAsia"/>
          <w:color w:val="000000" w:themeColor="text1"/>
          <w:sz w:val="32"/>
          <w:szCs w:val="32"/>
          <w:lang w:eastAsia="zh-CN"/>
          <w14:textFill>
            <w14:solidFill>
              <w14:schemeClr w14:val="tx1"/>
            </w14:solidFill>
          </w14:textFill>
        </w:rPr>
        <w:t>氢能</w:t>
      </w:r>
      <w:r>
        <w:rPr>
          <w:rFonts w:hint="eastAsia"/>
          <w:color w:val="000000" w:themeColor="text1"/>
          <w:sz w:val="32"/>
          <w:szCs w:val="32"/>
          <w14:textFill>
            <w14:solidFill>
              <w14:schemeClr w14:val="tx1"/>
            </w14:solidFill>
          </w14:textFill>
        </w:rPr>
        <w:t>产业协同发展支撑平台，全力支撑大兴氢能产业发展。</w:t>
      </w:r>
    </w:p>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b/>
          <w:bCs/>
          <w:color w:val="000000" w:themeColor="text1"/>
          <w:sz w:val="32"/>
          <w:szCs w:val="32"/>
          <w14:textFill>
            <w14:solidFill>
              <w14:schemeClr w14:val="tx1"/>
            </w14:solidFill>
          </w14:textFill>
        </w:rPr>
      </w:pPr>
      <w:r>
        <w:rPr>
          <w:rFonts w:hint="eastAsia" w:ascii="仿宋_GB2312"/>
          <w:b/>
          <w:bCs/>
          <w:color w:val="000000" w:themeColor="text1"/>
          <w:sz w:val="32"/>
          <w:szCs w:val="32"/>
          <w14:textFill>
            <w14:solidFill>
              <w14:schemeClr w14:val="tx1"/>
            </w14:solidFill>
          </w14:textFill>
        </w:rPr>
        <w:t>15.打造多层次人才队伍</w:t>
      </w:r>
      <w:bookmarkEnd w:id="45"/>
      <w:bookmarkEnd w:id="46"/>
      <w:bookmarkEnd w:id="47"/>
    </w:p>
    <w:p>
      <w:pPr>
        <w:pageBreakBefore w:val="0"/>
        <w:kinsoku/>
        <w:wordWrap/>
        <w:overflowPunct/>
        <w:topLinePunct w:val="0"/>
        <w:autoSpaceDE/>
        <w:autoSpaceDN/>
        <w:bidi w:val="0"/>
        <w:adjustRightInd/>
        <w:snapToGrid/>
        <w:spacing w:line="560" w:lineRule="exact"/>
        <w:ind w:firstLine="640"/>
        <w:textAlignment w:val="auto"/>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加快打造氢能领域顶级专家、专业工程师和高技术工人等多层次人才队伍。在顶级专家和领军型人才方面，为其核心团队落地大兴提供优质研发和成果转化环境，支持鼓励企业建立院士工作站。在专业工程师方面，建立国际氢能工程师互认基地，制定专项人才引进创新政策，并提供人才公寓、社区医疗、子女教育等配套服务。在高素质技术技能人才方面，鼓励职业院校开设相关专业，推动氢能领域人才学历教育和职业技能培训体系建设，建立高新企业与院校联合培养机制和直接就业渠道。</w:t>
      </w:r>
    </w:p>
    <w:p>
      <w:pPr>
        <w:pageBreakBefore w:val="0"/>
        <w:kinsoku/>
        <w:wordWrap/>
        <w:overflowPunct/>
        <w:topLinePunct w:val="0"/>
        <w:autoSpaceDE/>
        <w:autoSpaceDN/>
        <w:bidi w:val="0"/>
        <w:adjustRightInd/>
        <w:snapToGrid/>
        <w:spacing w:line="560" w:lineRule="exact"/>
        <w:ind w:firstLine="643"/>
        <w:textAlignment w:val="auto"/>
        <w:outlineLvl w:val="2"/>
        <w:rPr>
          <w:rFonts w:ascii="仿宋_GB2312"/>
          <w:b/>
          <w:bCs/>
          <w:color w:val="000000" w:themeColor="text1"/>
          <w:sz w:val="32"/>
          <w:szCs w:val="32"/>
          <w14:textFill>
            <w14:solidFill>
              <w14:schemeClr w14:val="tx1"/>
            </w14:solidFill>
          </w14:textFill>
        </w:rPr>
      </w:pPr>
      <w:bookmarkStart w:id="48" w:name="_Toc96195959"/>
      <w:bookmarkStart w:id="49" w:name="_Toc99628543"/>
      <w:bookmarkStart w:id="50" w:name="_Toc98772169"/>
      <w:r>
        <w:rPr>
          <w:rFonts w:hint="eastAsia" w:ascii="仿宋_GB2312"/>
          <w:b/>
          <w:bCs/>
          <w:color w:val="000000" w:themeColor="text1"/>
          <w:sz w:val="32"/>
          <w:szCs w:val="32"/>
          <w14:textFill>
            <w14:solidFill>
              <w14:schemeClr w14:val="tx1"/>
            </w14:solidFill>
          </w14:textFill>
        </w:rPr>
        <w:t>16.打造产业协同发展平台</w:t>
      </w:r>
      <w:bookmarkEnd w:id="48"/>
      <w:bookmarkEnd w:id="49"/>
      <w:bookmarkEnd w:id="50"/>
    </w:p>
    <w:p>
      <w:pPr>
        <w:pageBreakBefore w:val="0"/>
        <w:kinsoku/>
        <w:wordWrap/>
        <w:overflowPunct/>
        <w:topLinePunct w:val="0"/>
        <w:autoSpaceDE/>
        <w:autoSpaceDN/>
        <w:bidi w:val="0"/>
        <w:adjustRightInd/>
        <w:snapToGrid/>
        <w:spacing w:line="560" w:lineRule="exact"/>
        <w:ind w:firstLine="640"/>
        <w:textAlignment w:val="auto"/>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14:textFill>
            <w14:solidFill>
              <w14:schemeClr w14:val="tx1"/>
            </w14:solidFill>
          </w14:textFill>
        </w:rPr>
        <w:t>依托京津冀燃料电池示范城市群建设，组建产业协同发展支撑平台。</w:t>
      </w:r>
      <w:r>
        <w:rPr>
          <w:rFonts w:hint="eastAsia" w:ascii="仿宋_GB2312"/>
          <w:b w:val="0"/>
          <w:bCs w:val="0"/>
          <w:color w:val="000000" w:themeColor="text1"/>
          <w:sz w:val="32"/>
          <w:szCs w:val="32"/>
          <w14:textFill>
            <w14:solidFill>
              <w14:schemeClr w14:val="tx1"/>
            </w14:solidFill>
          </w14:textFill>
        </w:rPr>
        <w:t>支持组建氢能产业联盟、行业协会</w:t>
      </w:r>
      <w:r>
        <w:rPr>
          <w:rFonts w:hint="eastAsia" w:ascii="仿宋_GB2312"/>
          <w:color w:val="000000" w:themeColor="text1"/>
          <w:sz w:val="32"/>
          <w:szCs w:val="32"/>
          <w14:textFill>
            <w14:solidFill>
              <w14:schemeClr w14:val="tx1"/>
            </w14:solidFill>
          </w14:textFill>
        </w:rPr>
        <w:t>，推动氢能产业实现技术突破、知识产权转化，参与国际、国家和行业标准制定，提升大兴氢能产业整体技术水平和竞争力。</w:t>
      </w:r>
      <w:r>
        <w:rPr>
          <w:rFonts w:hint="eastAsia" w:ascii="仿宋_GB2312"/>
          <w:b w:val="0"/>
          <w:bCs w:val="0"/>
          <w:color w:val="000000" w:themeColor="text1"/>
          <w:sz w:val="32"/>
          <w:szCs w:val="32"/>
          <w14:textFill>
            <w14:solidFill>
              <w14:schemeClr w14:val="tx1"/>
            </w14:solidFill>
          </w14:textFill>
        </w:rPr>
        <w:t>积极建设氢能产业全球交流合作平台</w:t>
      </w:r>
      <w:r>
        <w:rPr>
          <w:rFonts w:hint="eastAsia" w:ascii="仿宋_GB2312"/>
          <w:color w:val="000000" w:themeColor="text1"/>
          <w:sz w:val="32"/>
          <w:szCs w:val="32"/>
          <w14:textFill>
            <w14:solidFill>
              <w14:schemeClr w14:val="tx1"/>
            </w14:solidFill>
          </w14:textFill>
        </w:rPr>
        <w:t>，依托大兴机场国际便捷通道的优势，组织开展国际氢生态年会等具有影响力的交流活动，培育“大兴氢能”品牌。</w:t>
      </w:r>
      <w:r>
        <w:rPr>
          <w:rFonts w:hint="eastAsia" w:ascii="仿宋_GB2312"/>
          <w:b w:val="0"/>
          <w:bCs w:val="0"/>
          <w:color w:val="000000" w:themeColor="text1"/>
          <w:sz w:val="32"/>
          <w:szCs w:val="32"/>
          <w14:textFill>
            <w14:solidFill>
              <w14:schemeClr w14:val="tx1"/>
            </w14:solidFill>
          </w14:textFill>
        </w:rPr>
        <w:t>积极鼓励国际国内高校、职业院校及科研机构成立氢能产学研合作平台</w:t>
      </w:r>
      <w:r>
        <w:rPr>
          <w:rFonts w:hint="eastAsia" w:ascii="仿宋_GB2312"/>
          <w:color w:val="000000" w:themeColor="text1"/>
          <w:sz w:val="32"/>
          <w:szCs w:val="32"/>
          <w14:textFill>
            <w14:solidFill>
              <w14:schemeClr w14:val="tx1"/>
            </w14:solidFill>
          </w14:textFill>
        </w:rPr>
        <w:t>，</w:t>
      </w:r>
      <w:r>
        <w:rPr>
          <w:rFonts w:hint="eastAsia" w:ascii="仿宋_GB2312"/>
          <w:color w:val="000000"/>
          <w:sz w:val="32"/>
          <w:szCs w:val="32"/>
        </w:rPr>
        <w:t>聚集氢能领域高层次创新人才团队和各类创新资源要素，承接一批具有前瞻性、战略性的氢能国家重大科技项目，提升大兴氢能技术创新研发能力。</w:t>
      </w:r>
      <w:r>
        <w:rPr>
          <w:rFonts w:hint="eastAsia" w:ascii="仿宋_GB2312"/>
          <w:b w:val="0"/>
          <w:bCs w:val="0"/>
          <w:color w:val="000000"/>
          <w:sz w:val="32"/>
          <w:szCs w:val="32"/>
        </w:rPr>
        <w:t>充分链接京内外</w:t>
      </w:r>
      <w:r>
        <w:rPr>
          <w:rFonts w:hint="eastAsia" w:ascii="仿宋_GB2312"/>
          <w:b w:val="0"/>
          <w:bCs w:val="0"/>
          <w:color w:val="000000"/>
          <w:sz w:val="32"/>
          <w:szCs w:val="32"/>
          <w:lang w:eastAsia="zh-CN"/>
        </w:rPr>
        <w:t>氢能</w:t>
      </w:r>
      <w:r>
        <w:rPr>
          <w:rFonts w:hint="eastAsia" w:ascii="仿宋_GB2312"/>
          <w:b w:val="0"/>
          <w:bCs w:val="0"/>
          <w:color w:val="000000"/>
          <w:sz w:val="32"/>
          <w:szCs w:val="32"/>
        </w:rPr>
        <w:t>领域科技创新成果，打造氢能产业孵化平台</w:t>
      </w:r>
      <w:r>
        <w:rPr>
          <w:rFonts w:hint="eastAsia" w:ascii="仿宋_GB2312"/>
          <w:color w:val="000000"/>
          <w:sz w:val="32"/>
          <w:szCs w:val="32"/>
        </w:rPr>
        <w:t>，通过“深度孵化+精准投资+创业培训+品牌宣传+资源对接”的模式，为企业打造氢能产业垂直孵化空间，加快推进产业发展</w:t>
      </w:r>
      <w:r>
        <w:rPr>
          <w:rFonts w:hint="eastAsia" w:ascii="仿宋_GB2312"/>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0"/>
        <w:textAlignment w:val="auto"/>
        <w:outlineLvl w:val="0"/>
        <w:rPr>
          <w:rFonts w:hint="eastAsia" w:ascii="Times New Roman" w:hAnsi="Times New Roman" w:eastAsia="黑体" w:cs="宋体"/>
          <w:b w:val="0"/>
          <w:bCs/>
          <w:kern w:val="44"/>
          <w:sz w:val="32"/>
          <w:szCs w:val="44"/>
          <w:lang w:val="en-US" w:eastAsia="zh-CN" w:bidi="ar-SA"/>
        </w:rPr>
      </w:pPr>
      <w:bookmarkStart w:id="51" w:name="_Toc109580989"/>
      <w:r>
        <w:rPr>
          <w:rFonts w:hint="eastAsia" w:ascii="Times New Roman" w:hAnsi="Times New Roman" w:eastAsia="黑体" w:cs="宋体"/>
          <w:b w:val="0"/>
          <w:bCs/>
          <w:kern w:val="44"/>
          <w:sz w:val="32"/>
          <w:szCs w:val="44"/>
          <w:lang w:val="en-US" w:eastAsia="zh-CN" w:bidi="ar-SA"/>
        </w:rPr>
        <w:t>四、保障措施</w:t>
      </w:r>
      <w:bookmarkEnd w:id="51"/>
    </w:p>
    <w:p>
      <w:pPr>
        <w:pageBreakBefore w:val="0"/>
        <w:kinsoku/>
        <w:wordWrap/>
        <w:overflowPunct/>
        <w:topLinePunct w:val="0"/>
        <w:autoSpaceDE/>
        <w:autoSpaceDN/>
        <w:bidi w:val="0"/>
        <w:adjustRightInd/>
        <w:snapToGrid/>
        <w:spacing w:line="560" w:lineRule="exact"/>
        <w:ind w:firstLine="640"/>
        <w:textAlignment w:val="auto"/>
        <w:outlineLvl w:val="1"/>
        <w:rPr>
          <w:rFonts w:hint="eastAsia" w:ascii="等线 Light" w:hAnsi="等线 Light" w:eastAsia="楷体_GB2312" w:cs="宋体"/>
          <w:b w:val="0"/>
          <w:bCs/>
          <w:kern w:val="2"/>
          <w:sz w:val="32"/>
          <w:szCs w:val="32"/>
          <w:lang w:val="en-US" w:eastAsia="zh-CN" w:bidi="ar-SA"/>
        </w:rPr>
      </w:pPr>
      <w:bookmarkStart w:id="52" w:name="_Toc109580990"/>
      <w:r>
        <w:rPr>
          <w:rFonts w:hint="eastAsia" w:ascii="等线 Light" w:hAnsi="等线 Light" w:eastAsia="楷体_GB2312" w:cs="宋体"/>
          <w:b w:val="0"/>
          <w:bCs/>
          <w:kern w:val="2"/>
          <w:sz w:val="32"/>
          <w:szCs w:val="32"/>
          <w:lang w:val="en-US" w:eastAsia="zh-CN" w:bidi="ar-SA"/>
        </w:rPr>
        <w:t>（一）健全组织领导机制</w:t>
      </w:r>
      <w:bookmarkEnd w:id="52"/>
    </w:p>
    <w:p>
      <w:pPr>
        <w:pageBreakBefore w:val="0"/>
        <w:kinsoku/>
        <w:wordWrap/>
        <w:overflowPunct/>
        <w:topLinePunct w:val="0"/>
        <w:autoSpaceDE/>
        <w:autoSpaceDN/>
        <w:bidi w:val="0"/>
        <w:adjustRightInd/>
        <w:snapToGrid/>
        <w:spacing w:line="560" w:lineRule="exact"/>
        <w:ind w:firstLine="640"/>
        <w:textAlignment w:val="auto"/>
        <w:rPr>
          <w:rFonts w:ascii="仿宋_GB2312" w:hAnsi="黑体"/>
          <w:color w:val="000000" w:themeColor="text1"/>
          <w:sz w:val="32"/>
          <w:szCs w:val="32"/>
          <w14:textFill>
            <w14:solidFill>
              <w14:schemeClr w14:val="tx1"/>
            </w14:solidFill>
          </w14:textFill>
        </w:rPr>
      </w:pPr>
      <w:r>
        <w:rPr>
          <w:rFonts w:hint="eastAsia" w:ascii="仿宋_GB2312" w:hAnsi="黑体"/>
          <w:color w:val="000000" w:themeColor="text1"/>
          <w:sz w:val="32"/>
          <w:szCs w:val="32"/>
          <w14:textFill>
            <w14:solidFill>
              <w14:schemeClr w14:val="tx1"/>
            </w14:solidFill>
          </w14:textFill>
        </w:rPr>
        <w:t>用好京津冀燃料电池汽车示范城市群组织协调机制，在政策突破创新、区域产业协同发展、跨区域场景示范应用等方面发挥协调引领作用，有力推动京津冀燃料电池汽车示范城市群更好发展。强化大兴区氢能产业发展领导小组和氢能示范区建设领导小组调度机制，明确发展目标，制定任务分工，定期开展调度，加</w:t>
      </w:r>
      <w:r>
        <w:rPr>
          <w:rFonts w:hint="eastAsia" w:ascii="仿宋_GB2312" w:hAnsi="黑体"/>
          <w:color w:val="000000" w:themeColor="text1"/>
          <w:sz w:val="32"/>
          <w:szCs w:val="32"/>
          <w:lang w:eastAsia="zh-CN"/>
          <w14:textFill>
            <w14:solidFill>
              <w14:schemeClr w14:val="tx1"/>
            </w14:solidFill>
          </w14:textFill>
        </w:rPr>
        <w:t>强监督指导</w:t>
      </w:r>
      <w:r>
        <w:rPr>
          <w:rFonts w:hint="eastAsia" w:ascii="仿宋_GB2312" w:hAnsi="黑体"/>
          <w:color w:val="000000" w:themeColor="text1"/>
          <w:sz w:val="32"/>
          <w:szCs w:val="32"/>
          <w14:textFill>
            <w14:solidFill>
              <w14:schemeClr w14:val="tx1"/>
            </w14:solidFill>
          </w14:textFill>
        </w:rPr>
        <w:t>，协调解决</w:t>
      </w:r>
      <w:r>
        <w:rPr>
          <w:rFonts w:hint="eastAsia" w:ascii="仿宋_GB2312" w:hAnsi="黑体"/>
          <w:color w:val="000000" w:themeColor="text1"/>
          <w:sz w:val="32"/>
          <w:szCs w:val="32"/>
          <w:lang w:eastAsia="zh-CN"/>
          <w14:textFill>
            <w14:solidFill>
              <w14:schemeClr w14:val="tx1"/>
            </w14:solidFill>
          </w14:textFill>
        </w:rPr>
        <w:t>氢能</w:t>
      </w:r>
      <w:r>
        <w:rPr>
          <w:rFonts w:hint="eastAsia" w:ascii="仿宋_GB2312" w:hAnsi="黑体"/>
          <w:color w:val="000000" w:themeColor="text1"/>
          <w:sz w:val="32"/>
          <w:szCs w:val="32"/>
          <w14:textFill>
            <w14:solidFill>
              <w14:schemeClr w14:val="tx1"/>
            </w14:solidFill>
          </w14:textFill>
        </w:rPr>
        <w:t>产业发展过程中遇到的重大问题。探索氢能安全应急监管机制，按照国家和市级氢能安全管理要求，研究推动应急预案和相关管理办法的编制，并依托数字化手段，组织推动加氢站企业</w:t>
      </w:r>
      <w:r>
        <w:rPr>
          <w:rFonts w:hint="eastAsia" w:ascii="仿宋_GB2312" w:hAnsi="黑体"/>
          <w:color w:val="000000" w:themeColor="text1"/>
          <w:sz w:val="32"/>
          <w:szCs w:val="32"/>
          <w:lang w:eastAsia="zh-CN"/>
          <w14:textFill>
            <w14:solidFill>
              <w14:schemeClr w14:val="tx1"/>
            </w14:solidFill>
          </w14:textFill>
        </w:rPr>
        <w:t>在</w:t>
      </w:r>
      <w:r>
        <w:rPr>
          <w:rFonts w:hint="eastAsia" w:ascii="仿宋_GB2312" w:hAnsi="黑体"/>
          <w:color w:val="000000" w:themeColor="text1"/>
          <w:sz w:val="32"/>
          <w:szCs w:val="32"/>
          <w14:textFill>
            <w14:solidFill>
              <w14:schemeClr w14:val="tx1"/>
            </w14:solidFill>
          </w14:textFill>
        </w:rPr>
        <w:t>运营</w:t>
      </w:r>
      <w:r>
        <w:rPr>
          <w:rFonts w:hint="eastAsia" w:ascii="仿宋_GB2312" w:hAnsi="黑体"/>
          <w:color w:val="000000" w:themeColor="text1"/>
          <w:sz w:val="32"/>
          <w:szCs w:val="32"/>
          <w:lang w:eastAsia="zh-CN"/>
          <w14:textFill>
            <w14:solidFill>
              <w14:schemeClr w14:val="tx1"/>
            </w14:solidFill>
          </w14:textFill>
        </w:rPr>
        <w:t>阶段</w:t>
      </w:r>
      <w:r>
        <w:rPr>
          <w:rFonts w:hint="eastAsia" w:ascii="仿宋_GB2312" w:hAnsi="黑体"/>
          <w:color w:val="000000" w:themeColor="text1"/>
          <w:sz w:val="32"/>
          <w:szCs w:val="32"/>
          <w14:textFill>
            <w14:solidFill>
              <w14:schemeClr w14:val="tx1"/>
            </w14:solidFill>
          </w14:textFill>
        </w:rPr>
        <w:t>开展实时监测和安全预警。建立氢能</w:t>
      </w:r>
      <w:r>
        <w:rPr>
          <w:rFonts w:hint="eastAsia" w:ascii="仿宋_GB2312" w:hAnsi="黑体"/>
          <w:color w:val="000000" w:themeColor="text1"/>
          <w:sz w:val="32"/>
          <w:szCs w:val="32"/>
          <w:lang w:eastAsia="zh-CN"/>
          <w14:textFill>
            <w14:solidFill>
              <w14:schemeClr w14:val="tx1"/>
            </w14:solidFill>
          </w14:textFill>
        </w:rPr>
        <w:t>产业</w:t>
      </w:r>
      <w:r>
        <w:rPr>
          <w:rFonts w:hint="eastAsia" w:ascii="仿宋_GB2312" w:hAnsi="黑体"/>
          <w:color w:val="000000" w:themeColor="text1"/>
          <w:sz w:val="32"/>
          <w:szCs w:val="32"/>
          <w14:textFill>
            <w14:solidFill>
              <w14:schemeClr w14:val="tx1"/>
            </w14:solidFill>
          </w14:textFill>
        </w:rPr>
        <w:t>发展评估机制，定期开展任务落实和产业发展</w:t>
      </w:r>
      <w:r>
        <w:rPr>
          <w:rFonts w:hint="eastAsia" w:ascii="仿宋_GB2312" w:hAnsi="黑体"/>
          <w:color w:val="000000" w:themeColor="text1"/>
          <w:sz w:val="32"/>
          <w:szCs w:val="32"/>
          <w:lang w:eastAsia="zh-CN"/>
          <w14:textFill>
            <w14:solidFill>
              <w14:schemeClr w14:val="tx1"/>
            </w14:solidFill>
          </w14:textFill>
        </w:rPr>
        <w:t>情况</w:t>
      </w:r>
      <w:r>
        <w:rPr>
          <w:rFonts w:hint="eastAsia" w:ascii="仿宋_GB2312" w:hAnsi="黑体"/>
          <w:color w:val="000000" w:themeColor="text1"/>
          <w:sz w:val="32"/>
          <w:szCs w:val="32"/>
          <w14:textFill>
            <w14:solidFill>
              <w14:schemeClr w14:val="tx1"/>
            </w14:solidFill>
          </w14:textFill>
        </w:rPr>
        <w:t>评估，明确存在问题，甄别潜在风险，提出解决策略，持续有效促进大兴氢能产业发展。</w:t>
      </w:r>
    </w:p>
    <w:p>
      <w:pPr>
        <w:pageBreakBefore w:val="0"/>
        <w:kinsoku/>
        <w:wordWrap/>
        <w:overflowPunct/>
        <w:topLinePunct w:val="0"/>
        <w:autoSpaceDE/>
        <w:autoSpaceDN/>
        <w:bidi w:val="0"/>
        <w:adjustRightInd/>
        <w:snapToGrid/>
        <w:spacing w:line="560" w:lineRule="exact"/>
        <w:ind w:firstLine="640"/>
        <w:textAlignment w:val="auto"/>
        <w:outlineLvl w:val="1"/>
        <w:rPr>
          <w:rFonts w:hint="eastAsia" w:ascii="等线 Light" w:hAnsi="等线 Light" w:eastAsia="楷体_GB2312" w:cs="宋体"/>
          <w:b w:val="0"/>
          <w:bCs/>
          <w:kern w:val="2"/>
          <w:sz w:val="32"/>
          <w:szCs w:val="32"/>
          <w:lang w:val="en-US" w:eastAsia="zh-CN" w:bidi="ar-SA"/>
        </w:rPr>
      </w:pPr>
      <w:bookmarkStart w:id="53" w:name="_Toc109580991"/>
      <w:r>
        <w:rPr>
          <w:rFonts w:hint="eastAsia" w:ascii="等线 Light" w:hAnsi="等线 Light" w:eastAsia="楷体_GB2312" w:cs="宋体"/>
          <w:b w:val="0"/>
          <w:bCs/>
          <w:kern w:val="2"/>
          <w:sz w:val="32"/>
          <w:szCs w:val="32"/>
          <w:lang w:val="en-US" w:eastAsia="zh-CN" w:bidi="ar-SA"/>
        </w:rPr>
        <w:t>（二）加大政策支持力度</w:t>
      </w:r>
      <w:bookmarkEnd w:id="53"/>
    </w:p>
    <w:p>
      <w:pPr>
        <w:pageBreakBefore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黑体"/>
          <w:color w:val="000000"/>
          <w:sz w:val="32"/>
          <w:szCs w:val="32"/>
        </w:rPr>
        <w:t>全面实施《大兴区促进氢能产业发展暂行办法》，</w:t>
      </w:r>
      <w:r>
        <w:rPr>
          <w:rFonts w:ascii="仿宋_GB2312" w:hAnsi="黑体"/>
          <w:color w:val="000000"/>
          <w:sz w:val="32"/>
          <w:szCs w:val="32"/>
        </w:rPr>
        <w:t>根据产业发展适时优化政策</w:t>
      </w:r>
      <w:r>
        <w:rPr>
          <w:rFonts w:hint="eastAsia" w:ascii="仿宋_GB2312" w:hAnsi="黑体"/>
          <w:color w:val="000000"/>
          <w:sz w:val="32"/>
          <w:szCs w:val="32"/>
        </w:rPr>
        <w:t>，为企业在技术攻关、生产制造、平台搭建、应用推广等方面给予政策支持。</w:t>
      </w:r>
      <w:r>
        <w:rPr>
          <w:rFonts w:ascii="仿宋_GB2312" w:hAnsi="黑体"/>
          <w:color w:val="000000"/>
          <w:sz w:val="32"/>
          <w:szCs w:val="32"/>
        </w:rPr>
        <w:t>积极争取国家和市级氢能发展政策</w:t>
      </w:r>
      <w:r>
        <w:rPr>
          <w:rFonts w:hint="eastAsia" w:ascii="仿宋_GB2312" w:hAnsi="黑体"/>
          <w:color w:val="000000"/>
          <w:sz w:val="32"/>
          <w:szCs w:val="32"/>
        </w:rPr>
        <w:t>，</w:t>
      </w:r>
      <w:r>
        <w:rPr>
          <w:rFonts w:ascii="仿宋_GB2312" w:hAnsi="仿宋_GB2312" w:cs="仿宋_GB2312"/>
          <w:color w:val="000000"/>
          <w:sz w:val="32"/>
          <w:szCs w:val="32"/>
        </w:rPr>
        <w:t>加大</w:t>
      </w:r>
      <w:r>
        <w:rPr>
          <w:rFonts w:ascii="仿宋_GB2312" w:hAnsi="黑体"/>
          <w:color w:val="000000"/>
          <w:sz w:val="32"/>
          <w:szCs w:val="32"/>
        </w:rPr>
        <w:t>与北京市和津冀区域相关部门对接力度，大力推动</w:t>
      </w:r>
      <w:r>
        <w:rPr>
          <w:rFonts w:hint="eastAsia" w:ascii="仿宋_GB2312" w:hAnsi="黑体"/>
          <w:color w:val="000000"/>
          <w:sz w:val="32"/>
          <w:szCs w:val="32"/>
        </w:rPr>
        <w:t>在燃料电池汽车路权开放、区域高速费用减免和</w:t>
      </w:r>
      <w:r>
        <w:rPr>
          <w:rFonts w:hint="eastAsia" w:ascii="仿宋_GB2312" w:hAnsi="仿宋_GB2312" w:cs="仿宋_GB2312"/>
          <w:color w:val="000000"/>
          <w:sz w:val="32"/>
          <w:szCs w:val="32"/>
        </w:rPr>
        <w:t>氢气终端价格等方面</w:t>
      </w:r>
      <w:r>
        <w:rPr>
          <w:rFonts w:ascii="仿宋_GB2312" w:hAnsi="仿宋_GB2312" w:cs="仿宋_GB2312"/>
          <w:color w:val="000000"/>
          <w:sz w:val="32"/>
          <w:szCs w:val="32"/>
        </w:rPr>
        <w:t>的政策突破和创新</w:t>
      </w:r>
      <w:r>
        <w:rPr>
          <w:rFonts w:hint="eastAsia" w:ascii="仿宋_GB2312" w:hAnsi="仿宋_GB2312" w:cs="仿宋_GB2312"/>
          <w:color w:val="000000"/>
          <w:sz w:val="32"/>
          <w:szCs w:val="32"/>
        </w:rPr>
        <w:t>，形成促进氢能示范应用的良好政策环境</w:t>
      </w:r>
      <w:r>
        <w:rPr>
          <w:rFonts w:hint="eastAsia" w:ascii="仿宋_GB2312" w:hAnsi="仿宋_GB2312" w:cs="仿宋_GB2312"/>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firstLine="640"/>
        <w:textAlignment w:val="auto"/>
        <w:outlineLvl w:val="1"/>
        <w:rPr>
          <w:rFonts w:hint="eastAsia" w:ascii="等线 Light" w:hAnsi="等线 Light" w:eastAsia="楷体_GB2312" w:cs="宋体"/>
          <w:b w:val="0"/>
          <w:bCs/>
          <w:kern w:val="2"/>
          <w:sz w:val="32"/>
          <w:szCs w:val="32"/>
          <w:lang w:val="en-US" w:eastAsia="zh-CN" w:bidi="ar-SA"/>
        </w:rPr>
      </w:pPr>
      <w:bookmarkStart w:id="54" w:name="_Toc109580992"/>
      <w:r>
        <w:rPr>
          <w:rFonts w:hint="eastAsia" w:ascii="等线 Light" w:hAnsi="等线 Light" w:eastAsia="楷体_GB2312" w:cs="宋体"/>
          <w:b w:val="0"/>
          <w:bCs/>
          <w:kern w:val="2"/>
          <w:sz w:val="32"/>
          <w:szCs w:val="32"/>
          <w:lang w:val="en-US" w:eastAsia="zh-CN" w:bidi="ar-SA"/>
        </w:rPr>
        <w:t>（三）扩大国际国内影响力</w:t>
      </w:r>
      <w:bookmarkEnd w:id="54"/>
    </w:p>
    <w:p>
      <w:pPr>
        <w:pageBreakBefore w:val="0"/>
        <w:kinsoku/>
        <w:wordWrap/>
        <w:overflowPunct/>
        <w:topLinePunct w:val="0"/>
        <w:autoSpaceDE/>
        <w:autoSpaceDN/>
        <w:bidi w:val="0"/>
        <w:adjustRightInd/>
        <w:snapToGrid/>
        <w:spacing w:line="560" w:lineRule="exact"/>
        <w:ind w:firstLine="640"/>
        <w:textAlignment w:val="auto"/>
        <w:rPr>
          <w:rFonts w:ascii="仿宋_GB2312" w:hAnsi="黑体"/>
          <w:color w:val="000000" w:themeColor="text1"/>
          <w:sz w:val="32"/>
          <w:szCs w:val="32"/>
          <w14:textFill>
            <w14:solidFill>
              <w14:schemeClr w14:val="tx1"/>
            </w14:solidFill>
          </w14:textFill>
        </w:rPr>
      </w:pPr>
      <w:r>
        <w:rPr>
          <w:rFonts w:hint="eastAsia" w:ascii="仿宋_GB2312" w:hAnsi="黑体"/>
          <w:color w:val="000000" w:themeColor="text1"/>
          <w:sz w:val="32"/>
          <w:szCs w:val="32"/>
          <w14:textFill>
            <w14:solidFill>
              <w14:schemeClr w14:val="tx1"/>
            </w14:solidFill>
          </w14:textFill>
        </w:rPr>
        <w:t>面向全球和全国范围，办好国际氢生态年会、全球绿氢大会、京津冀燃料电池示范城市群会议等具有国际影响力的论坛会议，持续提升“大兴氢能”影响力。充分发挥行业协会、联盟等作用，围绕氢能技术发展、场景应用、数字化等组织专题活动，集聚国内外氢能产业优秀智力力量，共同探讨先进技术及规划方向，打造氢能产业发展交流高端平台和良好氛围。依托国际氢能交流中心，持续开展氢能科普推广活动，提高公众对于氢能的认知度，营造浓厚的氢能社会氛围。</w:t>
      </w:r>
    </w:p>
    <w:p>
      <w:pPr>
        <w:pageBreakBefore w:val="0"/>
        <w:kinsoku/>
        <w:wordWrap/>
        <w:overflowPunct/>
        <w:topLinePunct w:val="0"/>
        <w:autoSpaceDE/>
        <w:autoSpaceDN/>
        <w:bidi w:val="0"/>
        <w:adjustRightInd/>
        <w:snapToGrid/>
        <w:spacing w:line="560" w:lineRule="exact"/>
        <w:ind w:firstLine="640"/>
        <w:textAlignment w:val="auto"/>
        <w:rPr>
          <w:rFonts w:ascii="仿宋_GB2312" w:hAnsi="黑体"/>
          <w:color w:val="000000" w:themeColor="text1"/>
          <w:sz w:val="32"/>
          <w:szCs w:val="32"/>
          <w14:textFill>
            <w14:solidFill>
              <w14:schemeClr w14:val="tx1"/>
            </w14:solidFill>
          </w14:textFill>
        </w:rPr>
      </w:pPr>
    </w:p>
    <w:sectPr>
      <w:headerReference r:id="rId13" w:type="first"/>
      <w:headerReference r:id="rId11" w:type="default"/>
      <w:footerReference r:id="rId14" w:type="default"/>
      <w:headerReference r:id="rId12" w:type="even"/>
      <w:footerReference r:id="rId15" w:type="even"/>
      <w:pgSz w:w="11906" w:h="16838"/>
      <w:pgMar w:top="1701" w:right="1474" w:bottom="1587" w:left="1587" w:header="851" w:footer="992" w:gutter="0"/>
      <w:pgNumType w:start="1"/>
      <w:cols w:space="425"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Chars="11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94"/>
    <w:rsid w:val="00007869"/>
    <w:rsid w:val="00023135"/>
    <w:rsid w:val="00040F28"/>
    <w:rsid w:val="00054EE3"/>
    <w:rsid w:val="00065594"/>
    <w:rsid w:val="00065B8A"/>
    <w:rsid w:val="00071DC9"/>
    <w:rsid w:val="00084EAC"/>
    <w:rsid w:val="00087341"/>
    <w:rsid w:val="0009608C"/>
    <w:rsid w:val="000A1BCE"/>
    <w:rsid w:val="000A290B"/>
    <w:rsid w:val="000A2B4D"/>
    <w:rsid w:val="000A4FD3"/>
    <w:rsid w:val="000B0435"/>
    <w:rsid w:val="000B7920"/>
    <w:rsid w:val="000D23A0"/>
    <w:rsid w:val="000F50AA"/>
    <w:rsid w:val="00106CC7"/>
    <w:rsid w:val="00107FA3"/>
    <w:rsid w:val="0011227C"/>
    <w:rsid w:val="00123B08"/>
    <w:rsid w:val="00124B67"/>
    <w:rsid w:val="00156DA5"/>
    <w:rsid w:val="001603B4"/>
    <w:rsid w:val="00164D67"/>
    <w:rsid w:val="00164E46"/>
    <w:rsid w:val="001658CB"/>
    <w:rsid w:val="0018087F"/>
    <w:rsid w:val="00184A9F"/>
    <w:rsid w:val="001B0A0B"/>
    <w:rsid w:val="001C6B2C"/>
    <w:rsid w:val="001D4C1F"/>
    <w:rsid w:val="001E4DB4"/>
    <w:rsid w:val="001F4F81"/>
    <w:rsid w:val="002256A5"/>
    <w:rsid w:val="002341C4"/>
    <w:rsid w:val="0024656D"/>
    <w:rsid w:val="002561FB"/>
    <w:rsid w:val="00263D4B"/>
    <w:rsid w:val="00283B05"/>
    <w:rsid w:val="00286821"/>
    <w:rsid w:val="002925F3"/>
    <w:rsid w:val="00296656"/>
    <w:rsid w:val="002A5913"/>
    <w:rsid w:val="002B0AB5"/>
    <w:rsid w:val="002C0595"/>
    <w:rsid w:val="002C5023"/>
    <w:rsid w:val="002D3183"/>
    <w:rsid w:val="002D6BF9"/>
    <w:rsid w:val="002F559B"/>
    <w:rsid w:val="002F707E"/>
    <w:rsid w:val="002F7C3C"/>
    <w:rsid w:val="00316AB1"/>
    <w:rsid w:val="00330FA2"/>
    <w:rsid w:val="003508C9"/>
    <w:rsid w:val="0036307C"/>
    <w:rsid w:val="0037713E"/>
    <w:rsid w:val="00390CEB"/>
    <w:rsid w:val="0039475B"/>
    <w:rsid w:val="003A1C3F"/>
    <w:rsid w:val="003A29D6"/>
    <w:rsid w:val="003A44B4"/>
    <w:rsid w:val="003A6B7A"/>
    <w:rsid w:val="003B53DF"/>
    <w:rsid w:val="003B5EBB"/>
    <w:rsid w:val="003B76CC"/>
    <w:rsid w:val="003C1361"/>
    <w:rsid w:val="003C6843"/>
    <w:rsid w:val="003C6BDE"/>
    <w:rsid w:val="003D4E2D"/>
    <w:rsid w:val="003F0079"/>
    <w:rsid w:val="003F233A"/>
    <w:rsid w:val="003F6BA5"/>
    <w:rsid w:val="003F78E4"/>
    <w:rsid w:val="004046F2"/>
    <w:rsid w:val="00405FB1"/>
    <w:rsid w:val="00411CF2"/>
    <w:rsid w:val="004164D3"/>
    <w:rsid w:val="004336EA"/>
    <w:rsid w:val="00437A7A"/>
    <w:rsid w:val="004556E3"/>
    <w:rsid w:val="00456EF5"/>
    <w:rsid w:val="0046112B"/>
    <w:rsid w:val="00461617"/>
    <w:rsid w:val="00464B09"/>
    <w:rsid w:val="00467389"/>
    <w:rsid w:val="00476436"/>
    <w:rsid w:val="004804E5"/>
    <w:rsid w:val="00490CF0"/>
    <w:rsid w:val="004945CD"/>
    <w:rsid w:val="00494760"/>
    <w:rsid w:val="00494FE8"/>
    <w:rsid w:val="004B7B5C"/>
    <w:rsid w:val="004C24DE"/>
    <w:rsid w:val="004C4161"/>
    <w:rsid w:val="004D11A7"/>
    <w:rsid w:val="004D250D"/>
    <w:rsid w:val="004E730A"/>
    <w:rsid w:val="005009DF"/>
    <w:rsid w:val="00503E45"/>
    <w:rsid w:val="0051050C"/>
    <w:rsid w:val="005255A5"/>
    <w:rsid w:val="00544F0B"/>
    <w:rsid w:val="00550BB2"/>
    <w:rsid w:val="00553FC2"/>
    <w:rsid w:val="005641F5"/>
    <w:rsid w:val="00576935"/>
    <w:rsid w:val="005808C7"/>
    <w:rsid w:val="00587C86"/>
    <w:rsid w:val="005917D3"/>
    <w:rsid w:val="00593022"/>
    <w:rsid w:val="00594465"/>
    <w:rsid w:val="00594DDC"/>
    <w:rsid w:val="005A07B8"/>
    <w:rsid w:val="005A1B77"/>
    <w:rsid w:val="005A57A0"/>
    <w:rsid w:val="005C17A2"/>
    <w:rsid w:val="005C624F"/>
    <w:rsid w:val="005E64CE"/>
    <w:rsid w:val="005F3249"/>
    <w:rsid w:val="00610175"/>
    <w:rsid w:val="00611FF0"/>
    <w:rsid w:val="00612BDA"/>
    <w:rsid w:val="00617A4E"/>
    <w:rsid w:val="0062031D"/>
    <w:rsid w:val="00634A02"/>
    <w:rsid w:val="006416AB"/>
    <w:rsid w:val="00642652"/>
    <w:rsid w:val="00651F83"/>
    <w:rsid w:val="00656218"/>
    <w:rsid w:val="00660663"/>
    <w:rsid w:val="00664FF6"/>
    <w:rsid w:val="00672BFE"/>
    <w:rsid w:val="0067358C"/>
    <w:rsid w:val="00674F39"/>
    <w:rsid w:val="00677AD7"/>
    <w:rsid w:val="006878B0"/>
    <w:rsid w:val="006A4253"/>
    <w:rsid w:val="006A44BF"/>
    <w:rsid w:val="006B5AA2"/>
    <w:rsid w:val="006C000B"/>
    <w:rsid w:val="006C2B0A"/>
    <w:rsid w:val="006C7291"/>
    <w:rsid w:val="006D0095"/>
    <w:rsid w:val="006D35AD"/>
    <w:rsid w:val="006D5672"/>
    <w:rsid w:val="00707930"/>
    <w:rsid w:val="00710990"/>
    <w:rsid w:val="00710A82"/>
    <w:rsid w:val="00711F3F"/>
    <w:rsid w:val="007150CB"/>
    <w:rsid w:val="007171B7"/>
    <w:rsid w:val="007210AD"/>
    <w:rsid w:val="00721498"/>
    <w:rsid w:val="007235DA"/>
    <w:rsid w:val="007255A2"/>
    <w:rsid w:val="00740B84"/>
    <w:rsid w:val="00743669"/>
    <w:rsid w:val="00744723"/>
    <w:rsid w:val="0074630F"/>
    <w:rsid w:val="00746C1A"/>
    <w:rsid w:val="007474F5"/>
    <w:rsid w:val="00747F34"/>
    <w:rsid w:val="0075083F"/>
    <w:rsid w:val="0076657F"/>
    <w:rsid w:val="007668A1"/>
    <w:rsid w:val="007858EC"/>
    <w:rsid w:val="00787948"/>
    <w:rsid w:val="00794CF0"/>
    <w:rsid w:val="00797C8B"/>
    <w:rsid w:val="007B1F54"/>
    <w:rsid w:val="007B5E83"/>
    <w:rsid w:val="007C1F72"/>
    <w:rsid w:val="007C7020"/>
    <w:rsid w:val="007D062D"/>
    <w:rsid w:val="0081124F"/>
    <w:rsid w:val="00813586"/>
    <w:rsid w:val="00817476"/>
    <w:rsid w:val="00853E00"/>
    <w:rsid w:val="00872638"/>
    <w:rsid w:val="0088365D"/>
    <w:rsid w:val="00891127"/>
    <w:rsid w:val="00892CD2"/>
    <w:rsid w:val="0089307C"/>
    <w:rsid w:val="00893188"/>
    <w:rsid w:val="0089793F"/>
    <w:rsid w:val="00897994"/>
    <w:rsid w:val="008A2A45"/>
    <w:rsid w:val="008D269D"/>
    <w:rsid w:val="008D5102"/>
    <w:rsid w:val="008E3798"/>
    <w:rsid w:val="008F445A"/>
    <w:rsid w:val="00902543"/>
    <w:rsid w:val="00910882"/>
    <w:rsid w:val="009165A4"/>
    <w:rsid w:val="009347D3"/>
    <w:rsid w:val="00934C06"/>
    <w:rsid w:val="00940C04"/>
    <w:rsid w:val="00944510"/>
    <w:rsid w:val="009447DC"/>
    <w:rsid w:val="009453DB"/>
    <w:rsid w:val="00963C77"/>
    <w:rsid w:val="00965CAC"/>
    <w:rsid w:val="00977D06"/>
    <w:rsid w:val="00984A51"/>
    <w:rsid w:val="0099555A"/>
    <w:rsid w:val="009B22CC"/>
    <w:rsid w:val="009C3A40"/>
    <w:rsid w:val="009E0064"/>
    <w:rsid w:val="009E1476"/>
    <w:rsid w:val="009F6FFB"/>
    <w:rsid w:val="00A011C2"/>
    <w:rsid w:val="00A0481F"/>
    <w:rsid w:val="00A30879"/>
    <w:rsid w:val="00A42CA3"/>
    <w:rsid w:val="00A45F56"/>
    <w:rsid w:val="00A466E6"/>
    <w:rsid w:val="00A50ED8"/>
    <w:rsid w:val="00A5178A"/>
    <w:rsid w:val="00A56627"/>
    <w:rsid w:val="00A60506"/>
    <w:rsid w:val="00A621F2"/>
    <w:rsid w:val="00A62E07"/>
    <w:rsid w:val="00A674ED"/>
    <w:rsid w:val="00A70016"/>
    <w:rsid w:val="00A71967"/>
    <w:rsid w:val="00A72278"/>
    <w:rsid w:val="00A90B28"/>
    <w:rsid w:val="00AA368D"/>
    <w:rsid w:val="00AB1540"/>
    <w:rsid w:val="00AB6CF8"/>
    <w:rsid w:val="00AC194F"/>
    <w:rsid w:val="00AC3534"/>
    <w:rsid w:val="00AD22B1"/>
    <w:rsid w:val="00AF70AB"/>
    <w:rsid w:val="00B00459"/>
    <w:rsid w:val="00B33D33"/>
    <w:rsid w:val="00B40DDF"/>
    <w:rsid w:val="00B438B6"/>
    <w:rsid w:val="00B66903"/>
    <w:rsid w:val="00B722EA"/>
    <w:rsid w:val="00B73060"/>
    <w:rsid w:val="00B76BED"/>
    <w:rsid w:val="00BB7C09"/>
    <w:rsid w:val="00BC0B81"/>
    <w:rsid w:val="00BC1639"/>
    <w:rsid w:val="00BC23E2"/>
    <w:rsid w:val="00BC57ED"/>
    <w:rsid w:val="00BD414E"/>
    <w:rsid w:val="00BD4538"/>
    <w:rsid w:val="00BE5C00"/>
    <w:rsid w:val="00C111CA"/>
    <w:rsid w:val="00C12515"/>
    <w:rsid w:val="00C3736A"/>
    <w:rsid w:val="00C41C76"/>
    <w:rsid w:val="00C42177"/>
    <w:rsid w:val="00C424C0"/>
    <w:rsid w:val="00C46A14"/>
    <w:rsid w:val="00C54B01"/>
    <w:rsid w:val="00C55FC9"/>
    <w:rsid w:val="00C67832"/>
    <w:rsid w:val="00C80065"/>
    <w:rsid w:val="00C83AB6"/>
    <w:rsid w:val="00C85E36"/>
    <w:rsid w:val="00C95566"/>
    <w:rsid w:val="00CA166F"/>
    <w:rsid w:val="00CA403C"/>
    <w:rsid w:val="00CC5709"/>
    <w:rsid w:val="00CD3B61"/>
    <w:rsid w:val="00CE2789"/>
    <w:rsid w:val="00CE365E"/>
    <w:rsid w:val="00D04D8A"/>
    <w:rsid w:val="00D139C6"/>
    <w:rsid w:val="00D17721"/>
    <w:rsid w:val="00D243CB"/>
    <w:rsid w:val="00D44989"/>
    <w:rsid w:val="00D50647"/>
    <w:rsid w:val="00D5265A"/>
    <w:rsid w:val="00D56EF9"/>
    <w:rsid w:val="00D617A5"/>
    <w:rsid w:val="00D63EE1"/>
    <w:rsid w:val="00D77A9B"/>
    <w:rsid w:val="00D920FA"/>
    <w:rsid w:val="00D96BC5"/>
    <w:rsid w:val="00DA4399"/>
    <w:rsid w:val="00DD445F"/>
    <w:rsid w:val="00DD7048"/>
    <w:rsid w:val="00DE1E77"/>
    <w:rsid w:val="00DE2F18"/>
    <w:rsid w:val="00DE4103"/>
    <w:rsid w:val="00DF48FF"/>
    <w:rsid w:val="00DF5C89"/>
    <w:rsid w:val="00DF7F5B"/>
    <w:rsid w:val="00E06E7B"/>
    <w:rsid w:val="00E36763"/>
    <w:rsid w:val="00E368D8"/>
    <w:rsid w:val="00E41670"/>
    <w:rsid w:val="00E4470E"/>
    <w:rsid w:val="00E55A49"/>
    <w:rsid w:val="00E670F8"/>
    <w:rsid w:val="00E83F01"/>
    <w:rsid w:val="00EA21E6"/>
    <w:rsid w:val="00EA2B91"/>
    <w:rsid w:val="00EA57F0"/>
    <w:rsid w:val="00ED780A"/>
    <w:rsid w:val="00EF02E7"/>
    <w:rsid w:val="00EF514D"/>
    <w:rsid w:val="00F2586C"/>
    <w:rsid w:val="00F30095"/>
    <w:rsid w:val="00F319F3"/>
    <w:rsid w:val="00F35D4F"/>
    <w:rsid w:val="00F51486"/>
    <w:rsid w:val="00F55D86"/>
    <w:rsid w:val="00F644B9"/>
    <w:rsid w:val="00F7087F"/>
    <w:rsid w:val="00F72B2E"/>
    <w:rsid w:val="00F930C6"/>
    <w:rsid w:val="00FA72B6"/>
    <w:rsid w:val="00FC12A4"/>
    <w:rsid w:val="00FC2573"/>
    <w:rsid w:val="00FC2F1E"/>
    <w:rsid w:val="00FD0096"/>
    <w:rsid w:val="00FD6381"/>
    <w:rsid w:val="06B30653"/>
    <w:rsid w:val="07FF0EBE"/>
    <w:rsid w:val="17BF6C08"/>
    <w:rsid w:val="1DFF03C2"/>
    <w:rsid w:val="27FE6C56"/>
    <w:rsid w:val="2DB155B3"/>
    <w:rsid w:val="36AE05E0"/>
    <w:rsid w:val="37BFFEAC"/>
    <w:rsid w:val="3DBF2233"/>
    <w:rsid w:val="3DFE98FC"/>
    <w:rsid w:val="3FBE0B05"/>
    <w:rsid w:val="3FE85B04"/>
    <w:rsid w:val="3FF39B73"/>
    <w:rsid w:val="4B6E9C2E"/>
    <w:rsid w:val="597B4828"/>
    <w:rsid w:val="5F1C48E5"/>
    <w:rsid w:val="5F8F9461"/>
    <w:rsid w:val="5FCB562F"/>
    <w:rsid w:val="5FDBC746"/>
    <w:rsid w:val="5FEF3255"/>
    <w:rsid w:val="62F2332B"/>
    <w:rsid w:val="65DB91E5"/>
    <w:rsid w:val="6EFFCE61"/>
    <w:rsid w:val="6F6F9671"/>
    <w:rsid w:val="757DABB9"/>
    <w:rsid w:val="75EB250A"/>
    <w:rsid w:val="76FF152D"/>
    <w:rsid w:val="77DEBFDC"/>
    <w:rsid w:val="77FFEB17"/>
    <w:rsid w:val="7A76D73C"/>
    <w:rsid w:val="7ACD954C"/>
    <w:rsid w:val="7BF3BAB6"/>
    <w:rsid w:val="7CF30447"/>
    <w:rsid w:val="7D357B53"/>
    <w:rsid w:val="7D694D60"/>
    <w:rsid w:val="7DC650AB"/>
    <w:rsid w:val="7DFD3B47"/>
    <w:rsid w:val="7EFF69C9"/>
    <w:rsid w:val="7F7FA8A2"/>
    <w:rsid w:val="7FEE6995"/>
    <w:rsid w:val="7FFD42E8"/>
    <w:rsid w:val="7FFDD416"/>
    <w:rsid w:val="7FFE32BC"/>
    <w:rsid w:val="9B7FE140"/>
    <w:rsid w:val="9FD50CBB"/>
    <w:rsid w:val="9FFF3F63"/>
    <w:rsid w:val="AFBF04F7"/>
    <w:rsid w:val="B7EF344C"/>
    <w:rsid w:val="BDFE17A4"/>
    <w:rsid w:val="CFF3E729"/>
    <w:rsid w:val="D7BFDD28"/>
    <w:rsid w:val="DCEA3084"/>
    <w:rsid w:val="DEDF5161"/>
    <w:rsid w:val="DEFFA9A6"/>
    <w:rsid w:val="E67FCCAA"/>
    <w:rsid w:val="E9E3E399"/>
    <w:rsid w:val="EBB302B8"/>
    <w:rsid w:val="EBD71016"/>
    <w:rsid w:val="EDEB91F6"/>
    <w:rsid w:val="EE7F6237"/>
    <w:rsid w:val="EFB56227"/>
    <w:rsid w:val="EFFCFCB2"/>
    <w:rsid w:val="F3FE3CF5"/>
    <w:rsid w:val="F4776EE8"/>
    <w:rsid w:val="F5D40CB8"/>
    <w:rsid w:val="F6FFD926"/>
    <w:rsid w:val="F7CD2DEF"/>
    <w:rsid w:val="F99D4FA8"/>
    <w:rsid w:val="FABAB16D"/>
    <w:rsid w:val="FAED3D6F"/>
    <w:rsid w:val="FBDD2C72"/>
    <w:rsid w:val="FBEBFF50"/>
    <w:rsid w:val="FBEF107B"/>
    <w:rsid w:val="FC9FB9FD"/>
    <w:rsid w:val="FCF9B5AF"/>
    <w:rsid w:val="FDFFF428"/>
    <w:rsid w:val="FEF71236"/>
    <w:rsid w:val="FF5A8FC0"/>
    <w:rsid w:val="FF7F2C02"/>
    <w:rsid w:val="FFF94ADD"/>
    <w:rsid w:val="FFFD5D08"/>
    <w:rsid w:val="FFFE8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宋体"/>
      <w:kern w:val="2"/>
      <w:sz w:val="28"/>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rFonts w:eastAsia="黑体"/>
      <w:bCs/>
      <w:kern w:val="44"/>
      <w:sz w:val="32"/>
      <w:szCs w:val="44"/>
    </w:rPr>
  </w:style>
  <w:style w:type="paragraph" w:styleId="3">
    <w:name w:val="heading 2"/>
    <w:next w:val="1"/>
    <w:link w:val="20"/>
    <w:unhideWhenUsed/>
    <w:qFormat/>
    <w:uiPriority w:val="9"/>
    <w:pPr>
      <w:keepNext/>
      <w:keepLines/>
      <w:spacing w:before="260" w:after="260" w:line="416" w:lineRule="auto"/>
      <w:outlineLvl w:val="1"/>
    </w:pPr>
    <w:rPr>
      <w:rFonts w:ascii="等线 Light" w:hAnsi="等线 Light" w:eastAsia="楷体_GB2312" w:cs="宋体"/>
      <w:bCs/>
      <w:kern w:val="2"/>
      <w:sz w:val="32"/>
      <w:szCs w:val="32"/>
      <w:lang w:val="en-US" w:eastAsia="zh-CN" w:bidi="ar-SA"/>
    </w:rPr>
  </w:style>
  <w:style w:type="paragraph" w:styleId="4">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pPr>
      <w:ind w:firstLine="0" w:firstLineChars="0"/>
    </w:pPr>
    <w:rPr>
      <w:rFonts w:ascii="等线 Light" w:hAnsi="等线 Light" w:eastAsia="黑体"/>
      <w:sz w:val="20"/>
      <w:szCs w:val="20"/>
    </w:rPr>
  </w:style>
  <w:style w:type="paragraph" w:styleId="6">
    <w:name w:val="annotation text"/>
    <w:basedOn w:val="1"/>
    <w:link w:val="28"/>
    <w:qFormat/>
    <w:uiPriority w:val="99"/>
    <w:pPr>
      <w:jc w:val="left"/>
    </w:pPr>
  </w:style>
  <w:style w:type="paragraph" w:styleId="7">
    <w:name w:val="toc 3"/>
    <w:basedOn w:val="1"/>
    <w:next w:val="1"/>
    <w:qFormat/>
    <w:uiPriority w:val="39"/>
    <w:pPr>
      <w:ind w:left="840" w:leftChars="400"/>
    </w:pPr>
  </w:style>
  <w:style w:type="paragraph" w:styleId="8">
    <w:name w:val="Date"/>
    <w:basedOn w:val="1"/>
    <w:next w:val="1"/>
    <w:link w:val="35"/>
    <w:qFormat/>
    <w:uiPriority w:val="99"/>
    <w:pPr>
      <w:ind w:left="100" w:leftChars="2500"/>
    </w:p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302"/>
      </w:tabs>
      <w:spacing w:line="560" w:lineRule="exact"/>
      <w:ind w:firstLine="0" w:firstLineChars="0"/>
    </w:pPr>
    <w:rPr>
      <w:rFonts w:ascii="黑体" w:hAnsi="黑体" w:eastAsia="黑体"/>
      <w:b/>
      <w:bCs/>
      <w:sz w:val="32"/>
      <w:szCs w:val="32"/>
    </w:rPr>
  </w:style>
  <w:style w:type="paragraph" w:styleId="12">
    <w:name w:val="toc 2"/>
    <w:basedOn w:val="1"/>
    <w:next w:val="1"/>
    <w:qFormat/>
    <w:uiPriority w:val="39"/>
    <w:pPr>
      <w:ind w:left="420" w:leftChars="200"/>
    </w:pPr>
  </w:style>
  <w:style w:type="paragraph" w:styleId="13">
    <w:name w:val="Normal (Web)"/>
    <w:basedOn w:val="1"/>
    <w:semiHidden/>
    <w:unhideWhenUsed/>
    <w:qFormat/>
    <w:uiPriority w:val="99"/>
    <w:pPr>
      <w:widowControl/>
      <w:spacing w:before="100" w:beforeAutospacing="1" w:after="100" w:afterAutospacing="1"/>
      <w:ind w:firstLine="0" w:firstLineChars="0"/>
      <w:jc w:val="left"/>
    </w:pPr>
    <w:rPr>
      <w:rFonts w:ascii="宋体" w:hAnsi="宋体" w:eastAsia="宋体"/>
      <w:kern w:val="0"/>
      <w:sz w:val="24"/>
      <w:szCs w:val="24"/>
    </w:rPr>
  </w:style>
  <w:style w:type="paragraph" w:styleId="14">
    <w:name w:val="annotation subject"/>
    <w:basedOn w:val="6"/>
    <w:next w:val="6"/>
    <w:link w:val="29"/>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99"/>
    <w:rPr>
      <w:color w:val="0563C1"/>
      <w:u w:val="single"/>
    </w:rPr>
  </w:style>
  <w:style w:type="character" w:styleId="19">
    <w:name w:val="annotation reference"/>
    <w:basedOn w:val="17"/>
    <w:qFormat/>
    <w:uiPriority w:val="99"/>
    <w:rPr>
      <w:sz w:val="21"/>
      <w:szCs w:val="21"/>
    </w:rPr>
  </w:style>
  <w:style w:type="character" w:customStyle="1" w:styleId="20">
    <w:name w:val="标题 2 字符"/>
    <w:basedOn w:val="17"/>
    <w:link w:val="3"/>
    <w:qFormat/>
    <w:uiPriority w:val="9"/>
    <w:rPr>
      <w:rFonts w:ascii="等线 Light" w:hAnsi="等线 Light" w:eastAsia="楷体_GB2312" w:cs="宋体"/>
      <w:bCs/>
      <w:sz w:val="32"/>
      <w:szCs w:val="32"/>
    </w:rPr>
  </w:style>
  <w:style w:type="character" w:customStyle="1" w:styleId="21">
    <w:name w:val="页眉 字符"/>
    <w:basedOn w:val="17"/>
    <w:link w:val="10"/>
    <w:qFormat/>
    <w:uiPriority w:val="99"/>
    <w:rPr>
      <w:rFonts w:ascii="Times New Roman" w:hAnsi="Times New Roman" w:eastAsia="宋体"/>
      <w:sz w:val="18"/>
      <w:szCs w:val="18"/>
    </w:rPr>
  </w:style>
  <w:style w:type="character" w:customStyle="1" w:styleId="22">
    <w:name w:val="页脚 字符"/>
    <w:basedOn w:val="17"/>
    <w:link w:val="9"/>
    <w:qFormat/>
    <w:uiPriority w:val="99"/>
    <w:rPr>
      <w:rFonts w:ascii="Times New Roman" w:hAnsi="Times New Roman" w:eastAsia="宋体"/>
      <w:sz w:val="18"/>
      <w:szCs w:val="18"/>
    </w:rPr>
  </w:style>
  <w:style w:type="character" w:customStyle="1" w:styleId="23">
    <w:name w:val="标题 1 字符"/>
    <w:basedOn w:val="17"/>
    <w:link w:val="2"/>
    <w:qFormat/>
    <w:uiPriority w:val="9"/>
    <w:rPr>
      <w:rFonts w:ascii="Times New Roman" w:hAnsi="Times New Roman" w:eastAsia="黑体"/>
      <w:bCs/>
      <w:kern w:val="44"/>
      <w:sz w:val="32"/>
      <w:szCs w:val="44"/>
    </w:rPr>
  </w:style>
  <w:style w:type="character" w:customStyle="1" w:styleId="24">
    <w:name w:val="标题 3 字符"/>
    <w:basedOn w:val="17"/>
    <w:link w:val="4"/>
    <w:qFormat/>
    <w:uiPriority w:val="9"/>
    <w:rPr>
      <w:rFonts w:ascii="Times New Roman" w:hAnsi="Times New Roman" w:eastAsia="宋体"/>
      <w:b/>
      <w:bCs/>
      <w:sz w:val="32"/>
      <w:szCs w:val="32"/>
    </w:rPr>
  </w:style>
  <w:style w:type="paragraph" w:styleId="25">
    <w:name w:val="List Paragraph"/>
    <w:basedOn w:val="1"/>
    <w:qFormat/>
    <w:uiPriority w:val="99"/>
    <w:pPr>
      <w:ind w:firstLine="420"/>
    </w:pPr>
    <w:rPr>
      <w:sz w:val="32"/>
    </w:rPr>
  </w:style>
  <w:style w:type="table" w:customStyle="1" w:styleId="26">
    <w:name w:val="网格型1"/>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修订1"/>
    <w:qFormat/>
    <w:uiPriority w:val="99"/>
    <w:rPr>
      <w:rFonts w:ascii="Times New Roman" w:hAnsi="Times New Roman" w:eastAsia="仿宋_GB2312" w:cs="宋体"/>
      <w:kern w:val="2"/>
      <w:sz w:val="28"/>
      <w:szCs w:val="22"/>
      <w:lang w:val="en-US" w:eastAsia="zh-CN" w:bidi="ar-SA"/>
    </w:rPr>
  </w:style>
  <w:style w:type="character" w:customStyle="1" w:styleId="28">
    <w:name w:val="批注文字 字符"/>
    <w:basedOn w:val="17"/>
    <w:link w:val="6"/>
    <w:qFormat/>
    <w:uiPriority w:val="99"/>
    <w:rPr>
      <w:rFonts w:ascii="Times New Roman" w:hAnsi="Times New Roman" w:eastAsia="仿宋_GB2312"/>
      <w:kern w:val="2"/>
      <w:sz w:val="28"/>
      <w:szCs w:val="22"/>
    </w:rPr>
  </w:style>
  <w:style w:type="character" w:customStyle="1" w:styleId="29">
    <w:name w:val="批注主题 字符"/>
    <w:basedOn w:val="28"/>
    <w:link w:val="14"/>
    <w:qFormat/>
    <w:uiPriority w:val="99"/>
    <w:rPr>
      <w:rFonts w:ascii="Times New Roman" w:hAnsi="Times New Roman" w:eastAsia="仿宋_GB2312"/>
      <w:b/>
      <w:bCs/>
      <w:kern w:val="2"/>
      <w:sz w:val="28"/>
      <w:szCs w:val="22"/>
    </w:rPr>
  </w:style>
  <w:style w:type="character" w:customStyle="1" w:styleId="30">
    <w:name w:val="UserStyle_5"/>
    <w:qFormat/>
    <w:uiPriority w:val="0"/>
  </w:style>
  <w:style w:type="character" w:customStyle="1" w:styleId="31">
    <w:name w:val="fontstyle01"/>
    <w:basedOn w:val="17"/>
    <w:qFormat/>
    <w:uiPriority w:val="0"/>
    <w:rPr>
      <w:rFonts w:hint="eastAsia" w:ascii="仿宋_GB2312" w:eastAsia="仿宋_GB2312"/>
      <w:color w:val="000000"/>
      <w:sz w:val="32"/>
      <w:szCs w:val="32"/>
    </w:rPr>
  </w:style>
  <w:style w:type="paragraph" w:customStyle="1" w:styleId="32">
    <w:name w:val="TOC 标题1"/>
    <w:basedOn w:val="2"/>
    <w:next w:val="1"/>
    <w:qFormat/>
    <w:uiPriority w:val="39"/>
    <w:pPr>
      <w:widowControl/>
      <w:spacing w:before="240" w:after="0" w:line="259" w:lineRule="auto"/>
      <w:ind w:firstLine="0" w:firstLineChars="0"/>
      <w:jc w:val="left"/>
      <w:outlineLvl w:val="9"/>
    </w:pPr>
    <w:rPr>
      <w:rFonts w:ascii="等线 Light" w:hAnsi="等线 Light" w:eastAsia="等线 Light"/>
      <w:bCs w:val="0"/>
      <w:color w:val="2F5496"/>
      <w:kern w:val="0"/>
      <w:sz w:val="32"/>
      <w:szCs w:val="32"/>
    </w:rPr>
  </w:style>
  <w:style w:type="paragraph" w:customStyle="1" w:styleId="33">
    <w:name w:val="PIC"/>
    <w:basedOn w:val="4"/>
    <w:link w:val="34"/>
    <w:qFormat/>
    <w:uiPriority w:val="0"/>
    <w:pPr>
      <w:spacing w:before="0" w:after="0" w:line="240" w:lineRule="auto"/>
      <w:ind w:firstLine="0" w:firstLineChars="0"/>
      <w:jc w:val="center"/>
      <w:outlineLvl w:val="9"/>
    </w:pPr>
  </w:style>
  <w:style w:type="character" w:customStyle="1" w:styleId="34">
    <w:name w:val="PIC 字符"/>
    <w:basedOn w:val="24"/>
    <w:link w:val="33"/>
    <w:qFormat/>
    <w:uiPriority w:val="0"/>
    <w:rPr>
      <w:rFonts w:ascii="Times New Roman" w:hAnsi="Times New Roman" w:eastAsia="仿宋_GB2312"/>
      <w:kern w:val="2"/>
      <w:sz w:val="32"/>
      <w:szCs w:val="32"/>
    </w:rPr>
  </w:style>
  <w:style w:type="character" w:customStyle="1" w:styleId="35">
    <w:name w:val="日期 字符"/>
    <w:basedOn w:val="17"/>
    <w:link w:val="8"/>
    <w:qFormat/>
    <w:uiPriority w:val="99"/>
    <w:rPr>
      <w:rFonts w:ascii="Times New Roman" w:hAnsi="Times New Roman" w:eastAsia="仿宋_GB2312"/>
      <w:kern w:val="2"/>
      <w:sz w:val="28"/>
      <w:szCs w:val="22"/>
    </w:rPr>
  </w:style>
  <w:style w:type="paragraph" w:customStyle="1" w:styleId="36">
    <w:name w:val="Revision"/>
    <w:hidden/>
    <w:semiHidden/>
    <w:qFormat/>
    <w:uiPriority w:val="99"/>
    <w:rPr>
      <w:rFonts w:ascii="Times New Roman" w:hAnsi="Times New Roman" w:eastAsia="仿宋_GB2312" w:cs="宋体"/>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1413</Words>
  <Characters>8060</Characters>
  <Lines>67</Lines>
  <Paragraphs>18</Paragraphs>
  <TotalTime>27</TotalTime>
  <ScaleCrop>false</ScaleCrop>
  <LinksUpToDate>false</LinksUpToDate>
  <CharactersWithSpaces>9455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2022-07-27T02:51:00Z</dcterms:created>
  <dc:creator>聘玺 王</dc:creator>
  <cp:lastModifiedBy>147</cp:lastModifiedBy>
  <cp:lastPrinted>2022-07-27T17:29:00Z</cp:lastPrinted>
  <dcterms:modified xsi:type="dcterms:W3CDTF">2022-08-02T04:05:15Z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C1598F96FEEA4FF7992965829FA0FF0F</vt:lpwstr>
  </property>
</Properties>
</file>