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大兴区促进文化产业高质量发展暂行办法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（征求意见稿）</w:t>
      </w:r>
    </w:p>
    <w:bookmarkEnd w:id="0"/>
    <w:p>
      <w:pPr>
        <w:spacing w:line="580" w:lineRule="exact"/>
        <w:jc w:val="center"/>
        <w:rPr>
          <w:rFonts w:ascii="方正小标宋简体" w:eastAsia="方正小标宋简体"/>
          <w:sz w:val="44"/>
          <w:szCs w:val="44"/>
        </w:rPr>
      </w:pPr>
    </w:p>
    <w:p>
      <w:pPr>
        <w:spacing w:line="580" w:lineRule="exact"/>
        <w:jc w:val="center"/>
        <w:rPr>
          <w:rFonts w:ascii="黑体" w:hAnsi="黑体" w:eastAsia="黑体"/>
          <w:sz w:val="32"/>
          <w:szCs w:val="32"/>
        </w:rPr>
      </w:pPr>
      <w:r>
        <w:rPr>
          <w:rFonts w:hint="eastAsia" w:ascii="黑体" w:hAnsi="黑体" w:eastAsia="黑体"/>
          <w:sz w:val="32"/>
          <w:szCs w:val="32"/>
        </w:rPr>
        <w:t>第一章　总</w:t>
      </w:r>
      <w:r>
        <w:rPr>
          <w:rFonts w:hint="eastAsia" w:ascii="仿宋_GB2312" w:eastAsia="仿宋_GB2312"/>
          <w:sz w:val="32"/>
          <w:szCs w:val="32"/>
        </w:rPr>
        <w:t xml:space="preserve">  </w:t>
      </w:r>
      <w:r>
        <w:rPr>
          <w:rFonts w:hint="eastAsia" w:ascii="黑体" w:hAnsi="黑体" w:eastAsia="黑体"/>
          <w:sz w:val="32"/>
          <w:szCs w:val="32"/>
        </w:rPr>
        <w:t>则</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为促进文化产业高质量发展，推进北京全国文化中心建设，根据国家、北京市和大兴区相关文件规定，结合现阶段文化产业发展情况，制定本办法。</w:t>
      </w:r>
    </w:p>
    <w:p>
      <w:pPr>
        <w:spacing w:line="580" w:lineRule="exact"/>
        <w:rPr>
          <w:rFonts w:ascii="仿宋_GB2312" w:eastAsia="仿宋_GB2312"/>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第二章　支持范围和方式</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本办法支持促进产业集聚发展的文化企业或机构,重点支持文化与科技、文化与数字等产业融合发展，本办法属于“1</w:t>
      </w:r>
      <w:r>
        <w:rPr>
          <w:rFonts w:ascii="仿宋_GB2312" w:eastAsia="仿宋_GB2312"/>
          <w:sz w:val="32"/>
          <w:szCs w:val="32"/>
        </w:rPr>
        <w:t>+</w:t>
      </w:r>
      <w:r>
        <w:rPr>
          <w:rFonts w:hint="eastAsia" w:ascii="仿宋_GB2312" w:eastAsia="仿宋_GB2312"/>
          <w:sz w:val="32"/>
          <w:szCs w:val="32"/>
        </w:rPr>
        <w:t>N”产业政策体系中扶持类政策，同时也享受《促进产业高质量发展的指导意见》中通用政策条款。</w:t>
      </w:r>
      <w:r>
        <w:rPr>
          <w:rFonts w:ascii="仿宋_GB2312" w:eastAsia="仿宋_GB2312"/>
          <w:sz w:val="32"/>
          <w:szCs w:val="32"/>
        </w:rPr>
        <w:t xml:space="preserve"> </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同一企业的同一项目同时符合大兴区多项奖励政策，按照“择优不重复”的原则进行奖励。</w:t>
      </w:r>
      <w:r>
        <w:rPr>
          <w:rFonts w:ascii="仿宋_GB2312" w:eastAsia="仿宋_GB2312"/>
          <w:sz w:val="32"/>
          <w:szCs w:val="32"/>
        </w:rPr>
        <w:t xml:space="preserve"> </w:t>
      </w:r>
    </w:p>
    <w:p>
      <w:pPr>
        <w:spacing w:line="580" w:lineRule="exact"/>
        <w:rPr>
          <w:rFonts w:ascii="仿宋_GB2312" w:eastAsia="仿宋_GB2312"/>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第三章</w:t>
      </w:r>
      <w:r>
        <w:rPr>
          <w:rFonts w:hint="eastAsia" w:ascii="仿宋_GB2312" w:eastAsia="仿宋_GB2312"/>
          <w:sz w:val="32"/>
          <w:szCs w:val="32"/>
        </w:rPr>
        <w:t>　</w:t>
      </w:r>
      <w:r>
        <w:rPr>
          <w:rFonts w:hint="eastAsia" w:ascii="黑体" w:hAnsi="黑体" w:eastAsia="黑体"/>
          <w:sz w:val="32"/>
          <w:szCs w:val="32"/>
        </w:rPr>
        <w:t>支持内容和标准</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w:t>
      </w:r>
      <w:r>
        <w:rPr>
          <w:rFonts w:hint="eastAsia" w:ascii="楷体_GB2312" w:eastAsia="楷体_GB2312"/>
          <w:sz w:val="32"/>
          <w:szCs w:val="32"/>
        </w:rPr>
        <w:t>支持企业入区发展。</w:t>
      </w:r>
      <w:r>
        <w:rPr>
          <w:rFonts w:hint="eastAsia" w:ascii="仿宋_GB2312" w:eastAsia="仿宋_GB2312"/>
          <w:sz w:val="32"/>
          <w:szCs w:val="32"/>
        </w:rPr>
        <w:t>对于新购办公用房面积1000平方米以上，达到一定的规模且成长性较好的企业，可给予最高2000万元一次性购房补贴。</w:t>
      </w:r>
    </w:p>
    <w:p>
      <w:pPr>
        <w:spacing w:line="580" w:lineRule="exact"/>
        <w:ind w:firstLine="640" w:firstLineChars="200"/>
        <w:rPr>
          <w:rFonts w:ascii="楷体_GB2312" w:eastAsia="楷体_GB2312"/>
          <w:sz w:val="24"/>
        </w:rPr>
      </w:pPr>
      <w:r>
        <w:rPr>
          <w:rFonts w:hint="eastAsia" w:ascii="黑体" w:hAnsi="黑体" w:eastAsia="黑体"/>
          <w:sz w:val="32"/>
          <w:szCs w:val="32"/>
        </w:rPr>
        <w:t>第五条</w:t>
      </w:r>
      <w:r>
        <w:rPr>
          <w:rFonts w:hint="eastAsia" w:ascii="仿宋_GB2312" w:eastAsia="仿宋_GB2312"/>
          <w:sz w:val="32"/>
          <w:szCs w:val="32"/>
        </w:rPr>
        <w:t>　</w:t>
      </w:r>
      <w:r>
        <w:rPr>
          <w:rFonts w:hint="eastAsia" w:ascii="楷体_GB2312" w:eastAsia="楷体_GB2312"/>
          <w:sz w:val="32"/>
          <w:szCs w:val="32"/>
        </w:rPr>
        <w:t>支持高效益企业发展。</w:t>
      </w:r>
      <w:r>
        <w:rPr>
          <w:rFonts w:hint="eastAsia" w:ascii="仿宋_GB2312" w:eastAsia="仿宋_GB2312"/>
          <w:sz w:val="32"/>
          <w:szCs w:val="32"/>
        </w:rPr>
        <w:t>对经综合评判的具有良好经济和社会效益的企业，可给予最高</w:t>
      </w:r>
      <w:r>
        <w:rPr>
          <w:rFonts w:ascii="仿宋_GB2312" w:eastAsia="仿宋_GB2312"/>
          <w:sz w:val="32"/>
          <w:szCs w:val="32"/>
        </w:rPr>
        <w:t>1000</w:t>
      </w:r>
      <w:r>
        <w:rPr>
          <w:rFonts w:hint="eastAsia" w:ascii="仿宋_GB2312" w:eastAsia="仿宋_GB2312"/>
          <w:sz w:val="32"/>
          <w:szCs w:val="32"/>
        </w:rPr>
        <w:t>万元一次性奖励。</w:t>
      </w:r>
    </w:p>
    <w:p>
      <w:pPr>
        <w:spacing w:line="580" w:lineRule="exact"/>
        <w:ind w:firstLine="640" w:firstLineChars="200"/>
        <w:rPr>
          <w:rFonts w:ascii="楷体_GB2312" w:eastAsia="楷体_GB2312"/>
          <w:sz w:val="24"/>
        </w:rPr>
      </w:pPr>
      <w:r>
        <w:rPr>
          <w:rFonts w:hint="eastAsia" w:ascii="黑体" w:hAnsi="黑体" w:eastAsia="黑体"/>
          <w:sz w:val="32"/>
          <w:szCs w:val="32"/>
        </w:rPr>
        <w:t>第六条</w:t>
      </w:r>
      <w:r>
        <w:rPr>
          <w:rFonts w:hint="eastAsia" w:ascii="仿宋_GB2312" w:eastAsia="仿宋_GB2312"/>
          <w:sz w:val="32"/>
          <w:szCs w:val="32"/>
        </w:rPr>
        <w:t>　</w:t>
      </w:r>
      <w:r>
        <w:rPr>
          <w:rFonts w:hint="eastAsia" w:ascii="楷体_GB2312" w:eastAsia="楷体_GB2312"/>
          <w:sz w:val="32"/>
          <w:szCs w:val="32"/>
        </w:rPr>
        <w:t>支持高成长型企业发展。</w:t>
      </w:r>
      <w:r>
        <w:rPr>
          <w:rFonts w:hint="eastAsia" w:ascii="仿宋_GB2312" w:eastAsia="仿宋_GB2312"/>
          <w:sz w:val="32"/>
          <w:szCs w:val="32"/>
        </w:rPr>
        <w:t>对经综合评判的高成长性的企业，可给予最高500万元奖励。</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w:t>
      </w:r>
      <w:r>
        <w:rPr>
          <w:rFonts w:hint="eastAsia" w:ascii="楷体_GB2312" w:eastAsia="楷体_GB2312"/>
          <w:sz w:val="32"/>
          <w:szCs w:val="32"/>
        </w:rPr>
        <w:t>支持文化载体和功能平台建设。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（一）鼓励园区申报国家级、北京市、大兴区文化产业示范园区、</w:t>
      </w:r>
      <w:r>
        <w:rPr>
          <w:rFonts w:hint="eastAsia" w:ascii="仿宋_GB2312" w:hAnsi="仿宋_GB2312" w:eastAsia="仿宋_GB2312" w:cs="仿宋_GB2312"/>
          <w:color w:val="191919"/>
          <w:sz w:val="32"/>
          <w:szCs w:val="32"/>
          <w:shd w:val="clear" w:color="auto" w:fill="FFFFFF"/>
        </w:rPr>
        <w:t>文化和科技融合示范基地等项目</w:t>
      </w:r>
      <w:r>
        <w:rPr>
          <w:rFonts w:hint="eastAsia" w:ascii="仿宋_GB2312" w:eastAsia="仿宋_GB2312"/>
          <w:sz w:val="32"/>
          <w:szCs w:val="32"/>
        </w:rPr>
        <w:t>，对获得认定的园区最高可按照国家级100万元、北京市级50万元、区级3</w:t>
      </w:r>
      <w:r>
        <w:rPr>
          <w:rFonts w:ascii="仿宋_GB2312" w:eastAsia="仿宋_GB2312"/>
          <w:sz w:val="32"/>
          <w:szCs w:val="32"/>
        </w:rPr>
        <w:t>0</w:t>
      </w:r>
      <w:r>
        <w:rPr>
          <w:rFonts w:hint="eastAsia" w:ascii="仿宋_GB2312" w:eastAsia="仿宋_GB2312"/>
          <w:sz w:val="32"/>
          <w:szCs w:val="32"/>
        </w:rPr>
        <w:t>万元，给予一次性奖励。鼓励企业申报国际、国家、北京市级“非物质文化遗产”等项目，对获得认定的企业最高可按照国际级2</w:t>
      </w:r>
      <w:r>
        <w:rPr>
          <w:rFonts w:ascii="仿宋_GB2312" w:eastAsia="仿宋_GB2312"/>
          <w:sz w:val="32"/>
          <w:szCs w:val="32"/>
        </w:rPr>
        <w:t>00</w:t>
      </w:r>
      <w:r>
        <w:rPr>
          <w:rFonts w:hint="eastAsia" w:ascii="仿宋_GB2312" w:eastAsia="仿宋_GB2312"/>
          <w:sz w:val="32"/>
          <w:szCs w:val="32"/>
        </w:rPr>
        <w:t>万元、国家级1</w:t>
      </w:r>
      <w:r>
        <w:rPr>
          <w:rFonts w:ascii="仿宋_GB2312" w:eastAsia="仿宋_GB2312"/>
          <w:sz w:val="32"/>
          <w:szCs w:val="32"/>
        </w:rPr>
        <w:t>00</w:t>
      </w:r>
      <w:r>
        <w:rPr>
          <w:rFonts w:hint="eastAsia" w:ascii="仿宋_GB2312" w:eastAsia="仿宋_GB2312"/>
          <w:sz w:val="32"/>
          <w:szCs w:val="32"/>
        </w:rPr>
        <w:t>万元、北京市级5</w:t>
      </w:r>
      <w:r>
        <w:rPr>
          <w:rFonts w:ascii="仿宋_GB2312" w:eastAsia="仿宋_GB2312"/>
          <w:sz w:val="32"/>
          <w:szCs w:val="32"/>
        </w:rPr>
        <w:t>0</w:t>
      </w:r>
      <w:r>
        <w:rPr>
          <w:rFonts w:hint="eastAsia" w:ascii="仿宋_GB2312" w:eastAsia="仿宋_GB2312"/>
          <w:sz w:val="32"/>
          <w:szCs w:val="32"/>
        </w:rPr>
        <w:t>万元，给予一次性奖励。</w:t>
      </w:r>
    </w:p>
    <w:p>
      <w:pPr>
        <w:pStyle w:val="4"/>
        <w:widowControl/>
        <w:shd w:val="clear" w:color="auto" w:fill="FFFFFF"/>
        <w:spacing w:before="0" w:beforeAutospacing="0" w:after="0" w:afterAutospacing="0"/>
        <w:ind w:firstLine="640" w:firstLineChars="200"/>
        <w:jc w:val="both"/>
        <w:rPr>
          <w:rFonts w:ascii="楷体_GB2312" w:hAnsi="黑体" w:eastAsia="楷体_GB2312"/>
          <w:color w:val="000000"/>
          <w:kern w:val="2"/>
        </w:rPr>
      </w:pPr>
      <w:r>
        <w:rPr>
          <w:rFonts w:hint="eastAsia" w:ascii="仿宋_GB2312" w:eastAsia="仿宋_GB2312"/>
          <w:sz w:val="32"/>
          <w:szCs w:val="32"/>
        </w:rPr>
        <w:t>（二）对具有良好带动效应的公共服务平台，按照建设投资额的30%，给予最高300万元资金支持。支持符合条件的示范园区运营管理机构开展文化产业公共服务和公共文化服务，可按照实际发生相关费用的30%，给予最高</w:t>
      </w:r>
      <w:r>
        <w:rPr>
          <w:rFonts w:ascii="仿宋_GB2312" w:eastAsia="仿宋_GB2312"/>
          <w:sz w:val="32"/>
          <w:szCs w:val="32"/>
        </w:rPr>
        <w:t>2</w:t>
      </w:r>
      <w:r>
        <w:rPr>
          <w:rFonts w:hint="eastAsia" w:ascii="仿宋_GB2312" w:eastAsia="仿宋_GB2312"/>
          <w:sz w:val="32"/>
          <w:szCs w:val="32"/>
        </w:rPr>
        <w:t>00万元资金支持。</w:t>
      </w:r>
    </w:p>
    <w:p>
      <w:pPr>
        <w:pStyle w:val="4"/>
        <w:widowControl/>
        <w:shd w:val="clear" w:color="auto" w:fill="FFFFFF"/>
        <w:spacing w:before="0" w:beforeAutospacing="0" w:after="0" w:afterAutospacing="0"/>
        <w:ind w:firstLine="640" w:firstLineChars="200"/>
        <w:jc w:val="both"/>
        <w:rPr>
          <w:rFonts w:ascii="楷体_GB2312" w:hAnsi="黑体" w:eastAsia="楷体_GB2312"/>
          <w:color w:val="000000"/>
          <w:kern w:val="2"/>
        </w:rPr>
      </w:pPr>
      <w:r>
        <w:rPr>
          <w:rFonts w:hint="eastAsia" w:ascii="黑体" w:hAnsi="黑体" w:eastAsia="黑体"/>
          <w:color w:val="000000"/>
          <w:sz w:val="32"/>
          <w:szCs w:val="32"/>
        </w:rPr>
        <w:t xml:space="preserve">第八条 </w:t>
      </w:r>
      <w:r>
        <w:rPr>
          <w:rFonts w:hint="eastAsia" w:ascii="楷体_GB2312" w:eastAsia="楷体_GB2312"/>
          <w:sz w:val="32"/>
          <w:szCs w:val="32"/>
        </w:rPr>
        <w:t>支持科技与文化融合发展的相关成果转化项目落地。</w:t>
      </w:r>
      <w:r>
        <w:rPr>
          <w:rFonts w:hint="eastAsia" w:ascii="仿宋_GB2312" w:eastAsia="仿宋_GB2312"/>
          <w:sz w:val="32"/>
          <w:szCs w:val="32"/>
        </w:rPr>
        <w:t>推动以数字化、网络化、智能化为技术基点，对重点突破影视出版、文化旅游、文化艺术、设计制作、科普创作等领域的科技成果应用技术转化项目，可按照实际发生相关研发费用的20%，给予最高</w:t>
      </w:r>
      <w:r>
        <w:rPr>
          <w:rFonts w:ascii="仿宋_GB2312" w:eastAsia="仿宋_GB2312"/>
          <w:sz w:val="32"/>
          <w:szCs w:val="32"/>
        </w:rPr>
        <w:t>10</w:t>
      </w:r>
      <w:r>
        <w:rPr>
          <w:rFonts w:hint="eastAsia" w:ascii="仿宋_GB2312" w:eastAsia="仿宋_GB2312"/>
          <w:sz w:val="32"/>
          <w:szCs w:val="32"/>
        </w:rPr>
        <w:t>0万元资金支持。</w:t>
      </w:r>
    </w:p>
    <w:p>
      <w:pPr>
        <w:pStyle w:val="4"/>
        <w:widowControl/>
        <w:shd w:val="clear" w:color="auto" w:fill="FFFFFF"/>
        <w:spacing w:before="0" w:beforeAutospacing="0" w:after="0" w:afterAutospacing="0"/>
        <w:ind w:firstLine="640" w:firstLineChars="200"/>
        <w:jc w:val="both"/>
        <w:rPr>
          <w:rFonts w:ascii="楷体_GB2312" w:hAnsi="黑体" w:eastAsia="楷体_GB2312"/>
          <w:color w:val="000000"/>
          <w:kern w:val="2"/>
        </w:rPr>
      </w:pPr>
      <w:r>
        <w:rPr>
          <w:rFonts w:hint="eastAsia" w:ascii="黑体" w:hAnsi="黑体" w:eastAsia="黑体"/>
          <w:color w:val="000000"/>
          <w:kern w:val="2"/>
          <w:sz w:val="32"/>
          <w:szCs w:val="32"/>
        </w:rPr>
        <w:t>第九条</w:t>
      </w:r>
      <w:r>
        <w:rPr>
          <w:rFonts w:hint="eastAsia" w:ascii="仿宋_GB2312" w:eastAsia="仿宋_GB2312"/>
          <w:sz w:val="32"/>
          <w:szCs w:val="32"/>
        </w:rPr>
        <w:t xml:space="preserve"> </w:t>
      </w:r>
      <w:r>
        <w:rPr>
          <w:rFonts w:hint="eastAsia" w:ascii="楷体_GB2312" w:eastAsia="楷体_GB2312"/>
          <w:sz w:val="32"/>
          <w:szCs w:val="32"/>
        </w:rPr>
        <w:t>支持投资优秀文化产品。</w:t>
      </w:r>
      <w:r>
        <w:rPr>
          <w:rFonts w:hint="eastAsia" w:ascii="仿宋_GB2312" w:eastAsia="仿宋_GB2312"/>
          <w:sz w:val="32"/>
          <w:szCs w:val="32"/>
        </w:rPr>
        <w:t>对深入挖掘区域文化内涵，制作符合社会主义核心价值观的电影、电视剧、舞台剧、动漫等原创作品，获得行业审批许可发行的企业，可按照审定后总投资额的10%，给予最高200万元资金支持。</w:t>
      </w:r>
    </w:p>
    <w:p>
      <w:pPr>
        <w:pStyle w:val="4"/>
        <w:widowControl/>
        <w:shd w:val="clear" w:color="auto" w:fill="FFFFFF"/>
        <w:spacing w:before="0" w:beforeAutospacing="0" w:after="0" w:afterAutospacing="0"/>
        <w:ind w:firstLine="640" w:firstLineChars="200"/>
        <w:jc w:val="both"/>
        <w:rPr>
          <w:rFonts w:ascii="楷体_GB2312" w:hAnsi="黑体" w:eastAsia="楷体_GB2312"/>
          <w:color w:val="000000"/>
          <w:kern w:val="2"/>
        </w:rPr>
      </w:pPr>
      <w:r>
        <w:rPr>
          <w:rFonts w:hint="eastAsia" w:ascii="黑体" w:hAnsi="黑体" w:eastAsia="黑体"/>
          <w:color w:val="000000"/>
          <w:kern w:val="2"/>
          <w:sz w:val="32"/>
          <w:szCs w:val="32"/>
        </w:rPr>
        <w:t xml:space="preserve">第十条 </w:t>
      </w:r>
      <w:r>
        <w:rPr>
          <w:rFonts w:hint="eastAsia" w:ascii="楷体_GB2312" w:eastAsia="楷体_GB2312"/>
          <w:sz w:val="32"/>
          <w:szCs w:val="32"/>
        </w:rPr>
        <w:t>支持特色文旅商品研发销售。</w:t>
      </w:r>
      <w:r>
        <w:rPr>
          <w:rFonts w:hint="eastAsia" w:ascii="仿宋_GB2312" w:eastAsia="仿宋_GB2312"/>
          <w:sz w:val="32"/>
          <w:szCs w:val="32"/>
        </w:rPr>
        <w:t>对自主研发特色文旅商品且市场销售较好的企业，可按照审定后研发投入的30%或销售额的30%，给予最高</w:t>
      </w:r>
      <w:r>
        <w:rPr>
          <w:rFonts w:ascii="仿宋_GB2312" w:eastAsia="仿宋_GB2312"/>
          <w:sz w:val="32"/>
          <w:szCs w:val="32"/>
        </w:rPr>
        <w:t>2</w:t>
      </w:r>
      <w:r>
        <w:rPr>
          <w:rFonts w:hint="eastAsia" w:ascii="仿宋_GB2312" w:eastAsia="仿宋_GB2312"/>
          <w:sz w:val="32"/>
          <w:szCs w:val="32"/>
        </w:rPr>
        <w:t>00万元资金支持。</w:t>
      </w:r>
    </w:p>
    <w:p>
      <w:pPr>
        <w:pStyle w:val="4"/>
        <w:widowControl/>
        <w:shd w:val="clear" w:color="auto" w:fill="FFFFFF"/>
        <w:spacing w:before="0" w:beforeAutospacing="0" w:after="0" w:afterAutospacing="0"/>
        <w:ind w:firstLine="640" w:firstLineChars="200"/>
        <w:jc w:val="both"/>
        <w:rPr>
          <w:rFonts w:ascii="楷体_GB2312" w:hAnsi="黑体" w:eastAsia="楷体_GB2312"/>
          <w:color w:val="000000"/>
          <w:kern w:val="2"/>
        </w:rPr>
      </w:pPr>
      <w:r>
        <w:rPr>
          <w:rFonts w:hint="eastAsia" w:ascii="黑体" w:hAnsi="黑体" w:eastAsia="黑体"/>
          <w:color w:val="000000"/>
          <w:kern w:val="2"/>
          <w:sz w:val="32"/>
          <w:szCs w:val="32"/>
        </w:rPr>
        <w:t xml:space="preserve">第十一条 </w:t>
      </w:r>
      <w:r>
        <w:rPr>
          <w:rFonts w:hint="eastAsia" w:ascii="楷体_GB2312" w:eastAsia="楷体_GB2312"/>
          <w:sz w:val="32"/>
          <w:szCs w:val="32"/>
        </w:rPr>
        <w:t>支持提升文化消费。</w:t>
      </w:r>
      <w:r>
        <w:rPr>
          <w:rFonts w:hint="eastAsia" w:ascii="仿宋_GB2312" w:eastAsia="仿宋_GB2312"/>
          <w:sz w:val="32"/>
          <w:szCs w:val="32"/>
        </w:rPr>
        <w:t>对举办文创市集、演艺、沉浸式文娱活动的旅游度假区、景区（点）、特色商业街（区）等，可按照审定后投资额的30%，给予最高50万元资金支持。对延长营业时间，探索开发适于夜间文化消费的灯光秀、演艺、沉浸式娱乐等项目可按照审定后投资额的30%，给予最高</w:t>
      </w:r>
      <w:r>
        <w:rPr>
          <w:rFonts w:ascii="仿宋_GB2312" w:eastAsia="仿宋_GB2312"/>
          <w:sz w:val="32"/>
          <w:szCs w:val="32"/>
        </w:rPr>
        <w:t>2</w:t>
      </w:r>
      <w:r>
        <w:rPr>
          <w:rFonts w:hint="eastAsia" w:ascii="仿宋_GB2312" w:eastAsia="仿宋_GB2312"/>
          <w:sz w:val="32"/>
          <w:szCs w:val="32"/>
        </w:rPr>
        <w:t>00万元资金支持。</w:t>
      </w:r>
    </w:p>
    <w:p>
      <w:pPr>
        <w:pStyle w:val="4"/>
        <w:widowControl/>
        <w:shd w:val="clear" w:color="auto" w:fill="FFFFFF"/>
        <w:spacing w:before="0" w:beforeAutospacing="0" w:after="0" w:afterAutospacing="0"/>
        <w:ind w:firstLine="640" w:firstLineChars="200"/>
        <w:jc w:val="both"/>
        <w:rPr>
          <w:rFonts w:ascii="楷体_GB2312" w:hAnsi="黑体" w:eastAsia="楷体_GB2312"/>
          <w:color w:val="000000"/>
          <w:kern w:val="2"/>
        </w:rPr>
      </w:pPr>
      <w:r>
        <w:rPr>
          <w:rFonts w:hint="eastAsia" w:ascii="黑体" w:hAnsi="黑体" w:eastAsia="黑体"/>
          <w:color w:val="000000"/>
          <w:kern w:val="2"/>
          <w:sz w:val="32"/>
          <w:szCs w:val="32"/>
        </w:rPr>
        <w:t xml:space="preserve">第十二条 </w:t>
      </w:r>
      <w:r>
        <w:rPr>
          <w:rFonts w:hint="eastAsia" w:ascii="楷体_GB2312" w:hAnsi="黑体" w:eastAsia="楷体_GB2312"/>
          <w:color w:val="000000"/>
          <w:kern w:val="2"/>
          <w:sz w:val="32"/>
          <w:szCs w:val="32"/>
        </w:rPr>
        <w:t>支持会展旅游发展。</w:t>
      </w:r>
      <w:r>
        <w:rPr>
          <w:rFonts w:hint="eastAsia" w:ascii="仿宋_GB2312" w:hAnsi="黑体" w:eastAsia="仿宋_GB2312"/>
          <w:color w:val="000000"/>
          <w:kern w:val="2"/>
          <w:sz w:val="32"/>
          <w:szCs w:val="32"/>
        </w:rPr>
        <w:t>对举办规模300人以上或境外参会人员50%以上的大型活动，可按照审定后实际发生住宿费用的5</w:t>
      </w:r>
      <w:r>
        <w:rPr>
          <w:rFonts w:ascii="仿宋_GB2312" w:hAnsi="黑体" w:eastAsia="仿宋_GB2312"/>
          <w:color w:val="000000"/>
          <w:kern w:val="2"/>
          <w:sz w:val="32"/>
          <w:szCs w:val="32"/>
        </w:rPr>
        <w:t>0%</w:t>
      </w:r>
      <w:r>
        <w:rPr>
          <w:rFonts w:hint="eastAsia" w:ascii="仿宋_GB2312" w:hAnsi="黑体" w:eastAsia="仿宋_GB2312"/>
          <w:color w:val="000000"/>
          <w:kern w:val="2"/>
          <w:sz w:val="32"/>
          <w:szCs w:val="32"/>
        </w:rPr>
        <w:t>，给予最高50万元资金支持；可按照审定后实际发生场地租赁费用的50%，给予最高40万元</w:t>
      </w:r>
      <w:r>
        <w:rPr>
          <w:rFonts w:hint="eastAsia" w:ascii="仿宋_GB2312" w:eastAsia="仿宋_GB2312"/>
          <w:sz w:val="32"/>
          <w:szCs w:val="32"/>
        </w:rPr>
        <w:t>资金支持</w:t>
      </w:r>
      <w:r>
        <w:rPr>
          <w:rFonts w:hint="eastAsia" w:ascii="仿宋_GB2312" w:hAnsi="黑体" w:eastAsia="仿宋_GB2312"/>
          <w:color w:val="000000"/>
          <w:kern w:val="2"/>
          <w:sz w:val="32"/>
          <w:szCs w:val="32"/>
        </w:rPr>
        <w:t>。</w:t>
      </w:r>
    </w:p>
    <w:p>
      <w:pPr>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第十三条</w:t>
      </w:r>
      <w:r>
        <w:rPr>
          <w:rFonts w:hint="eastAsia" w:ascii="仿宋_GB2312" w:eastAsia="仿宋_GB2312"/>
          <w:color w:val="000000"/>
          <w:sz w:val="32"/>
          <w:szCs w:val="32"/>
        </w:rPr>
        <w:t xml:space="preserve">  </w:t>
      </w:r>
      <w:r>
        <w:rPr>
          <w:rFonts w:hint="eastAsia" w:ascii="楷体_GB2312" w:eastAsia="楷体_GB2312"/>
          <w:sz w:val="32"/>
          <w:szCs w:val="32"/>
        </w:rPr>
        <w:t>支持产业空间转型升级。</w:t>
      </w:r>
      <w:r>
        <w:rPr>
          <w:rFonts w:hint="eastAsia" w:ascii="仿宋_GB2312" w:eastAsia="仿宋_GB2312"/>
          <w:color w:val="000000"/>
          <w:sz w:val="32"/>
          <w:szCs w:val="32"/>
        </w:rPr>
        <w:t>对经审批改造老旧厂房，竣工后引入符合主导产业方向的项目，可按照审定后项目实际投资额的30%，给予最高1000万元</w:t>
      </w:r>
      <w:r>
        <w:rPr>
          <w:rFonts w:hint="eastAsia" w:ascii="仿宋_GB2312" w:eastAsia="仿宋_GB2312"/>
          <w:sz w:val="32"/>
          <w:szCs w:val="32"/>
        </w:rPr>
        <w:t>资金支持</w:t>
      </w:r>
      <w:r>
        <w:rPr>
          <w:rFonts w:hint="eastAsia" w:ascii="仿宋_GB2312" w:eastAsia="仿宋_GB2312"/>
          <w:color w:val="000000"/>
          <w:sz w:val="32"/>
          <w:szCs w:val="32"/>
        </w:rPr>
        <w:t>。</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w:t>
      </w:r>
      <w:r>
        <w:rPr>
          <w:rFonts w:hint="eastAsia" w:ascii="楷体_GB2312" w:eastAsia="楷体_GB2312"/>
          <w:sz w:val="32"/>
          <w:szCs w:val="32"/>
        </w:rPr>
        <w:t>支持文化活动开展。</w:t>
      </w:r>
      <w:r>
        <w:rPr>
          <w:rFonts w:hint="eastAsia" w:ascii="仿宋_GB2312" w:eastAsia="仿宋_GB2312"/>
          <w:sz w:val="32"/>
          <w:szCs w:val="32"/>
        </w:rPr>
        <w:t>对举办国内外重大文化产业活动且取得良好社会效益的企业、行业协会、行业组织、国际非政府组织国内代表机构等，可按照活动实际费用的30%，给予最高300万元一次性补贴。</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w:t>
      </w:r>
      <w:r>
        <w:rPr>
          <w:rFonts w:hint="eastAsia" w:ascii="楷体_GB2312" w:eastAsia="楷体_GB2312"/>
          <w:sz w:val="32"/>
          <w:szCs w:val="32"/>
        </w:rPr>
        <w:t>一事一议。</w:t>
      </w:r>
      <w:r>
        <w:rPr>
          <w:rFonts w:hint="eastAsia" w:ascii="仿宋_GB2312" w:hAnsi="仿宋_GB2312" w:eastAsia="仿宋_GB2312" w:cs="仿宋_GB2312"/>
          <w:kern w:val="0"/>
          <w:sz w:val="32"/>
          <w:szCs w:val="32"/>
        </w:rPr>
        <w:t>为企业提供“店小二式”服务，对不适用以上政策的企业，可由大兴区推进全国文化中心建设文化产业发展组（以下简称“文化产业发展组”）专题研究解决措施，并报北京大兴</w:t>
      </w:r>
      <w:r>
        <w:rPr>
          <w:rFonts w:hint="eastAsia" w:ascii="仿宋_GB2312" w:eastAsia="仿宋_GB2312"/>
          <w:sz w:val="32"/>
          <w:szCs w:val="32"/>
        </w:rPr>
        <w:t>区产业发展领导小组备案。</w:t>
      </w:r>
    </w:p>
    <w:p>
      <w:pPr>
        <w:spacing w:line="580" w:lineRule="exact"/>
        <w:rPr>
          <w:rFonts w:ascii="仿宋_GB2312" w:eastAsia="仿宋_GB2312"/>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第四章  申报流程</w:t>
      </w:r>
    </w:p>
    <w:p>
      <w:pPr>
        <w:snapToGrid w:val="0"/>
        <w:spacing w:line="560" w:lineRule="exact"/>
        <w:ind w:firstLine="640" w:firstLineChars="200"/>
        <w:rPr>
          <w:rFonts w:ascii="仿宋_GB2312" w:hAnsi="仿宋" w:eastAsia="仿宋_GB2312" w:cs="黑体"/>
          <w:sz w:val="32"/>
          <w:szCs w:val="32"/>
        </w:rPr>
      </w:pPr>
      <w:r>
        <w:rPr>
          <w:rFonts w:hint="eastAsia" w:ascii="黑体" w:hAnsi="黑体" w:eastAsia="黑体"/>
          <w:sz w:val="32"/>
          <w:szCs w:val="32"/>
        </w:rPr>
        <w:t>第十六条</w:t>
      </w:r>
      <w:r>
        <w:rPr>
          <w:rFonts w:hint="eastAsia" w:ascii="仿宋_GB2312" w:eastAsia="仿宋_GB2312"/>
          <w:sz w:val="32"/>
          <w:szCs w:val="32"/>
        </w:rPr>
        <w:t>　</w:t>
      </w:r>
      <w:r>
        <w:rPr>
          <w:rFonts w:hint="eastAsia" w:ascii="楷体_GB2312" w:hAnsi="楷体_GB2312" w:eastAsia="楷体_GB2312" w:cs="楷体_GB2312"/>
          <w:sz w:val="32"/>
          <w:szCs w:val="32"/>
        </w:rPr>
        <w:t>项目征集。</w:t>
      </w:r>
      <w:r>
        <w:rPr>
          <w:rFonts w:hint="eastAsia" w:ascii="仿宋_GB2312" w:hAnsi="仿宋_GB2312" w:eastAsia="仿宋_GB2312" w:cs="仿宋_GB2312"/>
          <w:kern w:val="0"/>
          <w:sz w:val="32"/>
          <w:szCs w:val="32"/>
        </w:rPr>
        <w:t>文化产业发展组</w:t>
      </w:r>
      <w:r>
        <w:rPr>
          <w:rFonts w:hint="eastAsia" w:ascii="仿宋_GB2312" w:hAnsi="仿宋" w:eastAsia="仿宋_GB2312" w:cs="黑体"/>
          <w:sz w:val="32"/>
          <w:szCs w:val="32"/>
        </w:rPr>
        <w:t>每年面向全区征集相关项目，各镇、街道、园区管委会负责辖区内项目的初审及推荐工作，并在规定时间内反馈。</w:t>
      </w:r>
    </w:p>
    <w:p>
      <w:pPr>
        <w:snapToGrid w:val="0"/>
        <w:spacing w:line="560" w:lineRule="exact"/>
        <w:ind w:firstLine="640" w:firstLineChars="200"/>
        <w:rPr>
          <w:rFonts w:ascii="仿宋_GB2312" w:hAnsi="仿宋" w:eastAsia="仿宋_GB2312" w:cs="黑体"/>
          <w:sz w:val="32"/>
          <w:szCs w:val="32"/>
        </w:rPr>
      </w:pPr>
      <w:r>
        <w:rPr>
          <w:rFonts w:hint="eastAsia" w:ascii="黑体" w:hAnsi="黑体" w:eastAsia="黑体" w:cs="黑体"/>
          <w:sz w:val="32"/>
          <w:szCs w:val="32"/>
        </w:rPr>
        <w:t xml:space="preserve">第十七条  </w:t>
      </w:r>
      <w:r>
        <w:rPr>
          <w:rFonts w:hint="eastAsia" w:ascii="楷体_GB2312" w:hAnsi="楷体_GB2312" w:eastAsia="楷体_GB2312" w:cs="楷体_GB2312"/>
          <w:sz w:val="32"/>
          <w:szCs w:val="32"/>
        </w:rPr>
        <w:t>项目审核兑现。</w:t>
      </w:r>
      <w:r>
        <w:rPr>
          <w:rFonts w:hint="eastAsia" w:ascii="仿宋_GB2312" w:hAnsi="仿宋_GB2312" w:eastAsia="仿宋_GB2312" w:cs="仿宋_GB2312"/>
          <w:kern w:val="0"/>
          <w:sz w:val="32"/>
          <w:szCs w:val="32"/>
        </w:rPr>
        <w:t>文化产业发展组</w:t>
      </w:r>
      <w:r>
        <w:rPr>
          <w:rFonts w:hint="eastAsia" w:ascii="仿宋_GB2312" w:hAnsi="仿宋" w:eastAsia="仿宋_GB2312" w:cs="黑体"/>
          <w:sz w:val="32"/>
          <w:szCs w:val="32"/>
        </w:rPr>
        <w:t>组织第三方专业机构或专家协助开展项目评审，并按照既定程序在大兴区人民政府网站公示，公示期不少于5个工作日。</w:t>
      </w:r>
    </w:p>
    <w:p>
      <w:pPr>
        <w:spacing w:line="560" w:lineRule="exact"/>
        <w:ind w:firstLine="640" w:firstLineChars="200"/>
        <w:rPr>
          <w:rFonts w:ascii="仿宋_GB2312" w:hAnsi="仿宋" w:eastAsia="仿宋_GB2312" w:cs="黑体"/>
          <w:sz w:val="32"/>
          <w:szCs w:val="32"/>
        </w:rPr>
      </w:pPr>
      <w:r>
        <w:rPr>
          <w:rFonts w:hint="eastAsia" w:ascii="黑体" w:hAnsi="黑体" w:eastAsia="黑体" w:cs="黑体"/>
          <w:sz w:val="32"/>
          <w:szCs w:val="32"/>
        </w:rPr>
        <w:t xml:space="preserve">第十八条  </w:t>
      </w:r>
      <w:r>
        <w:rPr>
          <w:rFonts w:hint="eastAsia" w:ascii="楷体_GB2312" w:hAnsi="楷体_GB2312" w:eastAsia="楷体_GB2312" w:cs="楷体_GB2312"/>
          <w:sz w:val="32"/>
          <w:szCs w:val="32"/>
        </w:rPr>
        <w:t>监督与管理。</w:t>
      </w:r>
      <w:r>
        <w:rPr>
          <w:rFonts w:hint="eastAsia" w:ascii="仿宋_GB2312" w:hAnsi="仿宋" w:eastAsia="仿宋_GB2312" w:cs="黑体"/>
          <w:sz w:val="32"/>
          <w:szCs w:val="32"/>
        </w:rPr>
        <w:t>对在审计与监督检查中发现存在严重问题，经核查违规的企业，自发现之日起，已获得政策资金支持的单位三年内不得申报本办法，并限期返还已获得的资金。</w:t>
      </w:r>
    </w:p>
    <w:p>
      <w:pPr>
        <w:spacing w:line="580" w:lineRule="exact"/>
        <w:jc w:val="center"/>
        <w:rPr>
          <w:rFonts w:ascii="黑体" w:hAnsi="黑体" w:eastAsia="黑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第五章</w:t>
      </w:r>
      <w:r>
        <w:rPr>
          <w:rFonts w:hint="eastAsia" w:ascii="仿宋_GB2312" w:eastAsia="仿宋_GB2312"/>
          <w:sz w:val="32"/>
          <w:szCs w:val="32"/>
        </w:rPr>
        <w:t>　</w:t>
      </w:r>
      <w:r>
        <w:rPr>
          <w:rFonts w:hint="eastAsia" w:ascii="黑体" w:hAnsi="黑体" w:eastAsia="黑体"/>
          <w:sz w:val="32"/>
          <w:szCs w:val="32"/>
        </w:rPr>
        <w:t>附</w:t>
      </w:r>
      <w:r>
        <w:rPr>
          <w:rFonts w:hint="eastAsia" w:ascii="仿宋_GB2312" w:eastAsia="仿宋_GB2312"/>
          <w:sz w:val="32"/>
          <w:szCs w:val="32"/>
        </w:rPr>
        <w:t>　　</w:t>
      </w:r>
      <w:r>
        <w:rPr>
          <w:rFonts w:hint="eastAsia" w:ascii="黑体" w:hAnsi="黑体" w:eastAsia="黑体"/>
          <w:sz w:val="32"/>
          <w:szCs w:val="32"/>
        </w:rPr>
        <w:t>则</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本办法由</w:t>
      </w:r>
      <w:r>
        <w:rPr>
          <w:rFonts w:hint="eastAsia" w:ascii="仿宋_GB2312" w:hAnsi="仿宋_GB2312" w:eastAsia="仿宋_GB2312" w:cs="仿宋_GB2312"/>
          <w:kern w:val="0"/>
          <w:sz w:val="32"/>
          <w:szCs w:val="32"/>
        </w:rPr>
        <w:t>大兴经济开发区管理委员会</w:t>
      </w:r>
      <w:r>
        <w:rPr>
          <w:rFonts w:hint="eastAsia" w:ascii="仿宋_GB2312" w:eastAsia="仿宋_GB2312"/>
          <w:sz w:val="32"/>
          <w:szCs w:val="32"/>
        </w:rPr>
        <w:t>负责解释。</w:t>
      </w:r>
    </w:p>
    <w:p>
      <w:pPr>
        <w:spacing w:line="560" w:lineRule="exact"/>
        <w:ind w:firstLine="640" w:firstLineChars="200"/>
        <w:jc w:val="left"/>
        <w:rPr>
          <w:rFonts w:ascii="仿宋_GB2312" w:hAnsi="仿宋"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本办法自公布之日起试行2年，期间如遇国家及北京市相关政策调整，本办法同步调整。</w:t>
      </w:r>
    </w:p>
    <w:p>
      <w:pPr>
        <w:spacing w:line="58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D0069"/>
    <w:rsid w:val="00000BA4"/>
    <w:rsid w:val="00004174"/>
    <w:rsid w:val="00006916"/>
    <w:rsid w:val="0001190F"/>
    <w:rsid w:val="00023840"/>
    <w:rsid w:val="00026654"/>
    <w:rsid w:val="00036D4B"/>
    <w:rsid w:val="000372ED"/>
    <w:rsid w:val="00040C7B"/>
    <w:rsid w:val="00043D38"/>
    <w:rsid w:val="000465CD"/>
    <w:rsid w:val="0004669B"/>
    <w:rsid w:val="000520F8"/>
    <w:rsid w:val="00057D3D"/>
    <w:rsid w:val="000601AE"/>
    <w:rsid w:val="000608B8"/>
    <w:rsid w:val="00060BBF"/>
    <w:rsid w:val="00067E6F"/>
    <w:rsid w:val="000704A7"/>
    <w:rsid w:val="00071ECB"/>
    <w:rsid w:val="00073798"/>
    <w:rsid w:val="00075E9E"/>
    <w:rsid w:val="0008136D"/>
    <w:rsid w:val="0008369A"/>
    <w:rsid w:val="0008763C"/>
    <w:rsid w:val="000900FE"/>
    <w:rsid w:val="000A007D"/>
    <w:rsid w:val="000A231D"/>
    <w:rsid w:val="000A2C66"/>
    <w:rsid w:val="000A58FF"/>
    <w:rsid w:val="000B1FC4"/>
    <w:rsid w:val="000B22A3"/>
    <w:rsid w:val="000B790D"/>
    <w:rsid w:val="000D0627"/>
    <w:rsid w:val="000D0A3B"/>
    <w:rsid w:val="000D1530"/>
    <w:rsid w:val="000D19DC"/>
    <w:rsid w:val="000E2A49"/>
    <w:rsid w:val="000E3A46"/>
    <w:rsid w:val="000E5B12"/>
    <w:rsid w:val="000E6402"/>
    <w:rsid w:val="000E7C10"/>
    <w:rsid w:val="000F14BB"/>
    <w:rsid w:val="000F3860"/>
    <w:rsid w:val="000F756D"/>
    <w:rsid w:val="000F7D0C"/>
    <w:rsid w:val="00101D7D"/>
    <w:rsid w:val="00105B60"/>
    <w:rsid w:val="001065EF"/>
    <w:rsid w:val="0011383B"/>
    <w:rsid w:val="001254E9"/>
    <w:rsid w:val="00126329"/>
    <w:rsid w:val="0013045E"/>
    <w:rsid w:val="001347CD"/>
    <w:rsid w:val="00134821"/>
    <w:rsid w:val="00137D5E"/>
    <w:rsid w:val="001445A9"/>
    <w:rsid w:val="001472B6"/>
    <w:rsid w:val="00147DFC"/>
    <w:rsid w:val="00151FA8"/>
    <w:rsid w:val="0015239C"/>
    <w:rsid w:val="00155371"/>
    <w:rsid w:val="001622E7"/>
    <w:rsid w:val="001811E5"/>
    <w:rsid w:val="00182C91"/>
    <w:rsid w:val="001933AB"/>
    <w:rsid w:val="001957B8"/>
    <w:rsid w:val="0019639C"/>
    <w:rsid w:val="00196432"/>
    <w:rsid w:val="00196B8C"/>
    <w:rsid w:val="001A0EF1"/>
    <w:rsid w:val="001A281A"/>
    <w:rsid w:val="001A3C22"/>
    <w:rsid w:val="001A3F6D"/>
    <w:rsid w:val="001A5ED3"/>
    <w:rsid w:val="001B02FE"/>
    <w:rsid w:val="001B05B6"/>
    <w:rsid w:val="001B2BED"/>
    <w:rsid w:val="001B5DAF"/>
    <w:rsid w:val="001C1281"/>
    <w:rsid w:val="001C19C8"/>
    <w:rsid w:val="001C414C"/>
    <w:rsid w:val="001D03DD"/>
    <w:rsid w:val="001D4102"/>
    <w:rsid w:val="001E068F"/>
    <w:rsid w:val="001E447B"/>
    <w:rsid w:val="001E4596"/>
    <w:rsid w:val="001E5B40"/>
    <w:rsid w:val="001E699D"/>
    <w:rsid w:val="001E7CB1"/>
    <w:rsid w:val="001F0A1C"/>
    <w:rsid w:val="001F143D"/>
    <w:rsid w:val="001F4125"/>
    <w:rsid w:val="001F4328"/>
    <w:rsid w:val="002014EB"/>
    <w:rsid w:val="0020340D"/>
    <w:rsid w:val="00203503"/>
    <w:rsid w:val="00203B42"/>
    <w:rsid w:val="00204BA6"/>
    <w:rsid w:val="002075B6"/>
    <w:rsid w:val="00207DD2"/>
    <w:rsid w:val="00212DBA"/>
    <w:rsid w:val="0022123F"/>
    <w:rsid w:val="00222DA8"/>
    <w:rsid w:val="00224ABD"/>
    <w:rsid w:val="002263FD"/>
    <w:rsid w:val="00230C07"/>
    <w:rsid w:val="00236DDC"/>
    <w:rsid w:val="002425D4"/>
    <w:rsid w:val="002464EF"/>
    <w:rsid w:val="002538F3"/>
    <w:rsid w:val="00261880"/>
    <w:rsid w:val="002705B1"/>
    <w:rsid w:val="00270F67"/>
    <w:rsid w:val="002725A7"/>
    <w:rsid w:val="00274BCA"/>
    <w:rsid w:val="0028672B"/>
    <w:rsid w:val="0029045E"/>
    <w:rsid w:val="0029156F"/>
    <w:rsid w:val="00292D1F"/>
    <w:rsid w:val="00296361"/>
    <w:rsid w:val="002A3108"/>
    <w:rsid w:val="002A6237"/>
    <w:rsid w:val="002B16AD"/>
    <w:rsid w:val="002B18C6"/>
    <w:rsid w:val="002B46A7"/>
    <w:rsid w:val="002B4722"/>
    <w:rsid w:val="002B55E6"/>
    <w:rsid w:val="002B6C07"/>
    <w:rsid w:val="002C6C91"/>
    <w:rsid w:val="002D1014"/>
    <w:rsid w:val="002D4FBA"/>
    <w:rsid w:val="002E104E"/>
    <w:rsid w:val="002E4E91"/>
    <w:rsid w:val="002F6991"/>
    <w:rsid w:val="002F7E77"/>
    <w:rsid w:val="003051ED"/>
    <w:rsid w:val="00305C8B"/>
    <w:rsid w:val="00307027"/>
    <w:rsid w:val="0031082E"/>
    <w:rsid w:val="00310943"/>
    <w:rsid w:val="00313951"/>
    <w:rsid w:val="00314A4E"/>
    <w:rsid w:val="003157A3"/>
    <w:rsid w:val="00315A35"/>
    <w:rsid w:val="00315C90"/>
    <w:rsid w:val="003209E7"/>
    <w:rsid w:val="003264DB"/>
    <w:rsid w:val="00326B55"/>
    <w:rsid w:val="0033743D"/>
    <w:rsid w:val="003419F0"/>
    <w:rsid w:val="003437C6"/>
    <w:rsid w:val="00346A07"/>
    <w:rsid w:val="00347BC5"/>
    <w:rsid w:val="00351009"/>
    <w:rsid w:val="00352CE2"/>
    <w:rsid w:val="00360F0B"/>
    <w:rsid w:val="00362622"/>
    <w:rsid w:val="00363FC4"/>
    <w:rsid w:val="003652F1"/>
    <w:rsid w:val="003669A2"/>
    <w:rsid w:val="00366C07"/>
    <w:rsid w:val="00367477"/>
    <w:rsid w:val="00367E4D"/>
    <w:rsid w:val="003706D2"/>
    <w:rsid w:val="003715E3"/>
    <w:rsid w:val="00373E5E"/>
    <w:rsid w:val="003779DD"/>
    <w:rsid w:val="0038133B"/>
    <w:rsid w:val="003827EA"/>
    <w:rsid w:val="00393411"/>
    <w:rsid w:val="00393510"/>
    <w:rsid w:val="0039352D"/>
    <w:rsid w:val="00395BD0"/>
    <w:rsid w:val="003964E5"/>
    <w:rsid w:val="00397205"/>
    <w:rsid w:val="003A65B1"/>
    <w:rsid w:val="003B18D8"/>
    <w:rsid w:val="003B4E06"/>
    <w:rsid w:val="003B628E"/>
    <w:rsid w:val="003B776E"/>
    <w:rsid w:val="003C0515"/>
    <w:rsid w:val="003C2C46"/>
    <w:rsid w:val="003C42BD"/>
    <w:rsid w:val="003D17FE"/>
    <w:rsid w:val="003D192E"/>
    <w:rsid w:val="003D1FCB"/>
    <w:rsid w:val="003D28BC"/>
    <w:rsid w:val="003D4152"/>
    <w:rsid w:val="003D7B14"/>
    <w:rsid w:val="003E3217"/>
    <w:rsid w:val="003E3907"/>
    <w:rsid w:val="003E434B"/>
    <w:rsid w:val="003E568B"/>
    <w:rsid w:val="003E6C65"/>
    <w:rsid w:val="003F3924"/>
    <w:rsid w:val="003F79A9"/>
    <w:rsid w:val="0040196E"/>
    <w:rsid w:val="00414A10"/>
    <w:rsid w:val="00414E7B"/>
    <w:rsid w:val="00415338"/>
    <w:rsid w:val="004234E8"/>
    <w:rsid w:val="00427BCA"/>
    <w:rsid w:val="0043151F"/>
    <w:rsid w:val="00431529"/>
    <w:rsid w:val="00433405"/>
    <w:rsid w:val="004338CC"/>
    <w:rsid w:val="004365B4"/>
    <w:rsid w:val="004417D1"/>
    <w:rsid w:val="004430B3"/>
    <w:rsid w:val="00450714"/>
    <w:rsid w:val="0045176E"/>
    <w:rsid w:val="004539A6"/>
    <w:rsid w:val="0045765A"/>
    <w:rsid w:val="00461095"/>
    <w:rsid w:val="00461423"/>
    <w:rsid w:val="00461624"/>
    <w:rsid w:val="00464B9E"/>
    <w:rsid w:val="00467419"/>
    <w:rsid w:val="00471EB4"/>
    <w:rsid w:val="00483C57"/>
    <w:rsid w:val="00487F1F"/>
    <w:rsid w:val="004910B5"/>
    <w:rsid w:val="00495A9E"/>
    <w:rsid w:val="004A080C"/>
    <w:rsid w:val="004A6192"/>
    <w:rsid w:val="004B15DB"/>
    <w:rsid w:val="004B2633"/>
    <w:rsid w:val="004B2C7B"/>
    <w:rsid w:val="004B3ABA"/>
    <w:rsid w:val="004B5EE8"/>
    <w:rsid w:val="004B7E66"/>
    <w:rsid w:val="004C569C"/>
    <w:rsid w:val="004C7F56"/>
    <w:rsid w:val="004D0944"/>
    <w:rsid w:val="004D0AB8"/>
    <w:rsid w:val="004E0081"/>
    <w:rsid w:val="004E0992"/>
    <w:rsid w:val="004E177B"/>
    <w:rsid w:val="004E6673"/>
    <w:rsid w:val="004F021E"/>
    <w:rsid w:val="004F4C38"/>
    <w:rsid w:val="00502C70"/>
    <w:rsid w:val="00504956"/>
    <w:rsid w:val="00505547"/>
    <w:rsid w:val="00511353"/>
    <w:rsid w:val="00511964"/>
    <w:rsid w:val="00512218"/>
    <w:rsid w:val="00512CB9"/>
    <w:rsid w:val="00523AB5"/>
    <w:rsid w:val="00524256"/>
    <w:rsid w:val="005278E3"/>
    <w:rsid w:val="00534BAE"/>
    <w:rsid w:val="00542FC9"/>
    <w:rsid w:val="005474CF"/>
    <w:rsid w:val="005558D7"/>
    <w:rsid w:val="005615D9"/>
    <w:rsid w:val="00563F8A"/>
    <w:rsid w:val="0057055D"/>
    <w:rsid w:val="00572BB3"/>
    <w:rsid w:val="005765A1"/>
    <w:rsid w:val="0059267E"/>
    <w:rsid w:val="005954B6"/>
    <w:rsid w:val="005A0E48"/>
    <w:rsid w:val="005A2C0A"/>
    <w:rsid w:val="005B0D50"/>
    <w:rsid w:val="005B192B"/>
    <w:rsid w:val="005B5BBD"/>
    <w:rsid w:val="005B66E4"/>
    <w:rsid w:val="005C2335"/>
    <w:rsid w:val="005C6F26"/>
    <w:rsid w:val="005D1E56"/>
    <w:rsid w:val="005D5E13"/>
    <w:rsid w:val="005E1E94"/>
    <w:rsid w:val="005E4F1C"/>
    <w:rsid w:val="005E6756"/>
    <w:rsid w:val="005F2492"/>
    <w:rsid w:val="005F2EA6"/>
    <w:rsid w:val="005F5CE1"/>
    <w:rsid w:val="005F5FAF"/>
    <w:rsid w:val="005F7C59"/>
    <w:rsid w:val="00610381"/>
    <w:rsid w:val="00611C00"/>
    <w:rsid w:val="00615FB0"/>
    <w:rsid w:val="00625343"/>
    <w:rsid w:val="00631EBC"/>
    <w:rsid w:val="00635123"/>
    <w:rsid w:val="00636426"/>
    <w:rsid w:val="006407E7"/>
    <w:rsid w:val="006442A0"/>
    <w:rsid w:val="0064525A"/>
    <w:rsid w:val="00646472"/>
    <w:rsid w:val="00652435"/>
    <w:rsid w:val="00657D3B"/>
    <w:rsid w:val="00665FF2"/>
    <w:rsid w:val="00666701"/>
    <w:rsid w:val="00666C3D"/>
    <w:rsid w:val="00671D5E"/>
    <w:rsid w:val="00672460"/>
    <w:rsid w:val="00672DB3"/>
    <w:rsid w:val="0067384B"/>
    <w:rsid w:val="00673DBA"/>
    <w:rsid w:val="00674E27"/>
    <w:rsid w:val="00677806"/>
    <w:rsid w:val="00680D2C"/>
    <w:rsid w:val="00690265"/>
    <w:rsid w:val="006A2DFA"/>
    <w:rsid w:val="006A37E6"/>
    <w:rsid w:val="006A562F"/>
    <w:rsid w:val="006A564E"/>
    <w:rsid w:val="006A6C91"/>
    <w:rsid w:val="006B29D1"/>
    <w:rsid w:val="006B3C6E"/>
    <w:rsid w:val="006B4B3C"/>
    <w:rsid w:val="006B5571"/>
    <w:rsid w:val="006B5E1A"/>
    <w:rsid w:val="006C069E"/>
    <w:rsid w:val="006C22DC"/>
    <w:rsid w:val="006C4A67"/>
    <w:rsid w:val="006C4DF6"/>
    <w:rsid w:val="006C5F94"/>
    <w:rsid w:val="006E1EB7"/>
    <w:rsid w:val="006E2313"/>
    <w:rsid w:val="006E2315"/>
    <w:rsid w:val="006E2B0C"/>
    <w:rsid w:val="006E3B83"/>
    <w:rsid w:val="006E7404"/>
    <w:rsid w:val="006F1E7C"/>
    <w:rsid w:val="006F2DDB"/>
    <w:rsid w:val="006F3C81"/>
    <w:rsid w:val="00701C0D"/>
    <w:rsid w:val="00705A05"/>
    <w:rsid w:val="00710C62"/>
    <w:rsid w:val="007143C6"/>
    <w:rsid w:val="00715338"/>
    <w:rsid w:val="007228B6"/>
    <w:rsid w:val="00725F6E"/>
    <w:rsid w:val="00730F61"/>
    <w:rsid w:val="00732346"/>
    <w:rsid w:val="00734271"/>
    <w:rsid w:val="007352C7"/>
    <w:rsid w:val="00737394"/>
    <w:rsid w:val="007432BD"/>
    <w:rsid w:val="0074589C"/>
    <w:rsid w:val="00746BF7"/>
    <w:rsid w:val="00747764"/>
    <w:rsid w:val="007545B0"/>
    <w:rsid w:val="00755433"/>
    <w:rsid w:val="00761104"/>
    <w:rsid w:val="00764868"/>
    <w:rsid w:val="007658A8"/>
    <w:rsid w:val="00765FB5"/>
    <w:rsid w:val="00770475"/>
    <w:rsid w:val="00774123"/>
    <w:rsid w:val="00774F20"/>
    <w:rsid w:val="0078608C"/>
    <w:rsid w:val="00795EE5"/>
    <w:rsid w:val="00797F86"/>
    <w:rsid w:val="007A7C0B"/>
    <w:rsid w:val="007B07C2"/>
    <w:rsid w:val="007C09A6"/>
    <w:rsid w:val="007C26B1"/>
    <w:rsid w:val="007C2E76"/>
    <w:rsid w:val="007C687F"/>
    <w:rsid w:val="007D7890"/>
    <w:rsid w:val="007E0741"/>
    <w:rsid w:val="007E0BB2"/>
    <w:rsid w:val="007E2303"/>
    <w:rsid w:val="007E655C"/>
    <w:rsid w:val="007F4150"/>
    <w:rsid w:val="007F637F"/>
    <w:rsid w:val="008037A9"/>
    <w:rsid w:val="008055AF"/>
    <w:rsid w:val="008059D2"/>
    <w:rsid w:val="00806938"/>
    <w:rsid w:val="00811266"/>
    <w:rsid w:val="008129DF"/>
    <w:rsid w:val="00812F1C"/>
    <w:rsid w:val="00826189"/>
    <w:rsid w:val="00826B58"/>
    <w:rsid w:val="00830D08"/>
    <w:rsid w:val="008339A8"/>
    <w:rsid w:val="00834DF8"/>
    <w:rsid w:val="0083648E"/>
    <w:rsid w:val="00841605"/>
    <w:rsid w:val="00845A46"/>
    <w:rsid w:val="008479A6"/>
    <w:rsid w:val="00855A80"/>
    <w:rsid w:val="00856A5A"/>
    <w:rsid w:val="008604BE"/>
    <w:rsid w:val="008673FC"/>
    <w:rsid w:val="008708B1"/>
    <w:rsid w:val="00874AFD"/>
    <w:rsid w:val="00874D86"/>
    <w:rsid w:val="008773A1"/>
    <w:rsid w:val="00881BA6"/>
    <w:rsid w:val="008860A0"/>
    <w:rsid w:val="008917AC"/>
    <w:rsid w:val="008924F2"/>
    <w:rsid w:val="00892AA4"/>
    <w:rsid w:val="0089468D"/>
    <w:rsid w:val="00896486"/>
    <w:rsid w:val="00897F8A"/>
    <w:rsid w:val="008A1DBE"/>
    <w:rsid w:val="008A4398"/>
    <w:rsid w:val="008A7DAD"/>
    <w:rsid w:val="008B192E"/>
    <w:rsid w:val="008B4B7B"/>
    <w:rsid w:val="008B6EF8"/>
    <w:rsid w:val="008C502A"/>
    <w:rsid w:val="008C5129"/>
    <w:rsid w:val="008C51D2"/>
    <w:rsid w:val="008C6F0E"/>
    <w:rsid w:val="008D0D5B"/>
    <w:rsid w:val="008D389F"/>
    <w:rsid w:val="008D3B76"/>
    <w:rsid w:val="008D681E"/>
    <w:rsid w:val="008E3388"/>
    <w:rsid w:val="008F410E"/>
    <w:rsid w:val="008F4B3B"/>
    <w:rsid w:val="00904E7B"/>
    <w:rsid w:val="009060B1"/>
    <w:rsid w:val="00911AD0"/>
    <w:rsid w:val="00913D06"/>
    <w:rsid w:val="00915C70"/>
    <w:rsid w:val="00916137"/>
    <w:rsid w:val="009168F8"/>
    <w:rsid w:val="00922012"/>
    <w:rsid w:val="009254DE"/>
    <w:rsid w:val="00926E31"/>
    <w:rsid w:val="00932757"/>
    <w:rsid w:val="00933234"/>
    <w:rsid w:val="00935768"/>
    <w:rsid w:val="00937CCE"/>
    <w:rsid w:val="00937E99"/>
    <w:rsid w:val="00940A6A"/>
    <w:rsid w:val="00941FFC"/>
    <w:rsid w:val="00943510"/>
    <w:rsid w:val="00943F69"/>
    <w:rsid w:val="00945578"/>
    <w:rsid w:val="00945F47"/>
    <w:rsid w:val="009616D4"/>
    <w:rsid w:val="00962CF3"/>
    <w:rsid w:val="009668BE"/>
    <w:rsid w:val="00966CD5"/>
    <w:rsid w:val="009671B5"/>
    <w:rsid w:val="009746AC"/>
    <w:rsid w:val="00976769"/>
    <w:rsid w:val="0098091F"/>
    <w:rsid w:val="00980F63"/>
    <w:rsid w:val="0098408A"/>
    <w:rsid w:val="00985917"/>
    <w:rsid w:val="009874F0"/>
    <w:rsid w:val="00987BFD"/>
    <w:rsid w:val="009926B3"/>
    <w:rsid w:val="00993AA6"/>
    <w:rsid w:val="00997047"/>
    <w:rsid w:val="009A27AB"/>
    <w:rsid w:val="009B36C8"/>
    <w:rsid w:val="009B38E2"/>
    <w:rsid w:val="009B3AD6"/>
    <w:rsid w:val="009C2304"/>
    <w:rsid w:val="009C66B3"/>
    <w:rsid w:val="009D2672"/>
    <w:rsid w:val="009D5710"/>
    <w:rsid w:val="009D5B41"/>
    <w:rsid w:val="009D5ECA"/>
    <w:rsid w:val="009D6AC7"/>
    <w:rsid w:val="009E3319"/>
    <w:rsid w:val="009E5D51"/>
    <w:rsid w:val="009E6596"/>
    <w:rsid w:val="009F0596"/>
    <w:rsid w:val="009F19D8"/>
    <w:rsid w:val="009F1E48"/>
    <w:rsid w:val="009F2DEA"/>
    <w:rsid w:val="009F41C6"/>
    <w:rsid w:val="009F4F96"/>
    <w:rsid w:val="009F5653"/>
    <w:rsid w:val="00A02D6A"/>
    <w:rsid w:val="00A0317A"/>
    <w:rsid w:val="00A12583"/>
    <w:rsid w:val="00A13A4F"/>
    <w:rsid w:val="00A2043E"/>
    <w:rsid w:val="00A24E06"/>
    <w:rsid w:val="00A26434"/>
    <w:rsid w:val="00A27419"/>
    <w:rsid w:val="00A27CF6"/>
    <w:rsid w:val="00A30C73"/>
    <w:rsid w:val="00A467E8"/>
    <w:rsid w:val="00A50CB1"/>
    <w:rsid w:val="00A533C7"/>
    <w:rsid w:val="00A55D24"/>
    <w:rsid w:val="00A64909"/>
    <w:rsid w:val="00A65440"/>
    <w:rsid w:val="00A65ADE"/>
    <w:rsid w:val="00A74326"/>
    <w:rsid w:val="00A76523"/>
    <w:rsid w:val="00A811F9"/>
    <w:rsid w:val="00A82C54"/>
    <w:rsid w:val="00A90B4A"/>
    <w:rsid w:val="00A91723"/>
    <w:rsid w:val="00A92B3B"/>
    <w:rsid w:val="00A9671D"/>
    <w:rsid w:val="00AA0267"/>
    <w:rsid w:val="00AA039C"/>
    <w:rsid w:val="00AA09F3"/>
    <w:rsid w:val="00AA1247"/>
    <w:rsid w:val="00AA2199"/>
    <w:rsid w:val="00AA533D"/>
    <w:rsid w:val="00AA6E93"/>
    <w:rsid w:val="00AB389C"/>
    <w:rsid w:val="00AD0DE6"/>
    <w:rsid w:val="00AD1885"/>
    <w:rsid w:val="00AD4625"/>
    <w:rsid w:val="00AD5B5A"/>
    <w:rsid w:val="00AD7A28"/>
    <w:rsid w:val="00AE5D9B"/>
    <w:rsid w:val="00AF26C6"/>
    <w:rsid w:val="00AF4006"/>
    <w:rsid w:val="00AF4640"/>
    <w:rsid w:val="00B02D98"/>
    <w:rsid w:val="00B05E1E"/>
    <w:rsid w:val="00B1188F"/>
    <w:rsid w:val="00B168E1"/>
    <w:rsid w:val="00B175DC"/>
    <w:rsid w:val="00B20524"/>
    <w:rsid w:val="00B225F9"/>
    <w:rsid w:val="00B26335"/>
    <w:rsid w:val="00B32E48"/>
    <w:rsid w:val="00B34E39"/>
    <w:rsid w:val="00B36F18"/>
    <w:rsid w:val="00B476A2"/>
    <w:rsid w:val="00B5099A"/>
    <w:rsid w:val="00B509C8"/>
    <w:rsid w:val="00B526EF"/>
    <w:rsid w:val="00B55154"/>
    <w:rsid w:val="00B551DC"/>
    <w:rsid w:val="00B5667C"/>
    <w:rsid w:val="00B67F2B"/>
    <w:rsid w:val="00B71C28"/>
    <w:rsid w:val="00B740EC"/>
    <w:rsid w:val="00B8266C"/>
    <w:rsid w:val="00B83994"/>
    <w:rsid w:val="00B90AD4"/>
    <w:rsid w:val="00B90D26"/>
    <w:rsid w:val="00B935EE"/>
    <w:rsid w:val="00BA5932"/>
    <w:rsid w:val="00BB2997"/>
    <w:rsid w:val="00BB4562"/>
    <w:rsid w:val="00BB4E7B"/>
    <w:rsid w:val="00BC08F0"/>
    <w:rsid w:val="00BC0B29"/>
    <w:rsid w:val="00BC628F"/>
    <w:rsid w:val="00BC6FA8"/>
    <w:rsid w:val="00BD39F5"/>
    <w:rsid w:val="00BD431A"/>
    <w:rsid w:val="00BD6DA5"/>
    <w:rsid w:val="00BE75C1"/>
    <w:rsid w:val="00BF35CE"/>
    <w:rsid w:val="00C04FD3"/>
    <w:rsid w:val="00C05D26"/>
    <w:rsid w:val="00C06458"/>
    <w:rsid w:val="00C07117"/>
    <w:rsid w:val="00C07E47"/>
    <w:rsid w:val="00C12AD8"/>
    <w:rsid w:val="00C14976"/>
    <w:rsid w:val="00C1644F"/>
    <w:rsid w:val="00C16860"/>
    <w:rsid w:val="00C249DE"/>
    <w:rsid w:val="00C31376"/>
    <w:rsid w:val="00C45C60"/>
    <w:rsid w:val="00C52525"/>
    <w:rsid w:val="00C53DEB"/>
    <w:rsid w:val="00C55DB0"/>
    <w:rsid w:val="00C571FF"/>
    <w:rsid w:val="00C63770"/>
    <w:rsid w:val="00C63CB1"/>
    <w:rsid w:val="00C63E4D"/>
    <w:rsid w:val="00C75262"/>
    <w:rsid w:val="00C75DF6"/>
    <w:rsid w:val="00C84420"/>
    <w:rsid w:val="00C857F3"/>
    <w:rsid w:val="00C86543"/>
    <w:rsid w:val="00C86747"/>
    <w:rsid w:val="00C90DE2"/>
    <w:rsid w:val="00C9725D"/>
    <w:rsid w:val="00C975BD"/>
    <w:rsid w:val="00CB0FA4"/>
    <w:rsid w:val="00CB3CE0"/>
    <w:rsid w:val="00CB6B67"/>
    <w:rsid w:val="00CC003C"/>
    <w:rsid w:val="00CC09F6"/>
    <w:rsid w:val="00CC3F7C"/>
    <w:rsid w:val="00CD0525"/>
    <w:rsid w:val="00CD1BB6"/>
    <w:rsid w:val="00CD2260"/>
    <w:rsid w:val="00CE6B40"/>
    <w:rsid w:val="00CF1E20"/>
    <w:rsid w:val="00CF21A9"/>
    <w:rsid w:val="00CF4816"/>
    <w:rsid w:val="00CF593A"/>
    <w:rsid w:val="00CF5D5B"/>
    <w:rsid w:val="00CF7849"/>
    <w:rsid w:val="00D035EA"/>
    <w:rsid w:val="00D07414"/>
    <w:rsid w:val="00D10980"/>
    <w:rsid w:val="00D14BA3"/>
    <w:rsid w:val="00D1598A"/>
    <w:rsid w:val="00D164E4"/>
    <w:rsid w:val="00D16627"/>
    <w:rsid w:val="00D1690C"/>
    <w:rsid w:val="00D175BB"/>
    <w:rsid w:val="00D23EC1"/>
    <w:rsid w:val="00D267AB"/>
    <w:rsid w:val="00D26B5A"/>
    <w:rsid w:val="00D30138"/>
    <w:rsid w:val="00D32CB4"/>
    <w:rsid w:val="00D354FB"/>
    <w:rsid w:val="00D40115"/>
    <w:rsid w:val="00D417E8"/>
    <w:rsid w:val="00D42203"/>
    <w:rsid w:val="00D441EF"/>
    <w:rsid w:val="00D45FE1"/>
    <w:rsid w:val="00D46E94"/>
    <w:rsid w:val="00D47EBC"/>
    <w:rsid w:val="00D53741"/>
    <w:rsid w:val="00D53C4F"/>
    <w:rsid w:val="00D5634F"/>
    <w:rsid w:val="00D578D3"/>
    <w:rsid w:val="00D66422"/>
    <w:rsid w:val="00D70563"/>
    <w:rsid w:val="00D72705"/>
    <w:rsid w:val="00D75112"/>
    <w:rsid w:val="00D82577"/>
    <w:rsid w:val="00D83869"/>
    <w:rsid w:val="00D83C0B"/>
    <w:rsid w:val="00D94F2B"/>
    <w:rsid w:val="00DA0051"/>
    <w:rsid w:val="00DA0764"/>
    <w:rsid w:val="00DA0E96"/>
    <w:rsid w:val="00DA49B1"/>
    <w:rsid w:val="00DB142C"/>
    <w:rsid w:val="00DB7A99"/>
    <w:rsid w:val="00DC4F2D"/>
    <w:rsid w:val="00DC55C4"/>
    <w:rsid w:val="00DC5CBD"/>
    <w:rsid w:val="00DD39D4"/>
    <w:rsid w:val="00DD3DEA"/>
    <w:rsid w:val="00DD3EAA"/>
    <w:rsid w:val="00DE1605"/>
    <w:rsid w:val="00DE2508"/>
    <w:rsid w:val="00DE46D0"/>
    <w:rsid w:val="00DE6BDF"/>
    <w:rsid w:val="00DF0BE9"/>
    <w:rsid w:val="00DF258B"/>
    <w:rsid w:val="00DF4C6E"/>
    <w:rsid w:val="00DF704F"/>
    <w:rsid w:val="00E0060E"/>
    <w:rsid w:val="00E05095"/>
    <w:rsid w:val="00E05644"/>
    <w:rsid w:val="00E202E3"/>
    <w:rsid w:val="00E20375"/>
    <w:rsid w:val="00E2074B"/>
    <w:rsid w:val="00E27FA4"/>
    <w:rsid w:val="00E303D4"/>
    <w:rsid w:val="00E31076"/>
    <w:rsid w:val="00E3170A"/>
    <w:rsid w:val="00E32AD6"/>
    <w:rsid w:val="00E33A02"/>
    <w:rsid w:val="00E41225"/>
    <w:rsid w:val="00E4170B"/>
    <w:rsid w:val="00E43FE7"/>
    <w:rsid w:val="00E443FF"/>
    <w:rsid w:val="00E45065"/>
    <w:rsid w:val="00E45237"/>
    <w:rsid w:val="00E464CC"/>
    <w:rsid w:val="00E55F94"/>
    <w:rsid w:val="00E567AE"/>
    <w:rsid w:val="00E60C07"/>
    <w:rsid w:val="00E62662"/>
    <w:rsid w:val="00E6266D"/>
    <w:rsid w:val="00E63336"/>
    <w:rsid w:val="00E66D0D"/>
    <w:rsid w:val="00E76113"/>
    <w:rsid w:val="00E821A9"/>
    <w:rsid w:val="00E85A87"/>
    <w:rsid w:val="00E869A2"/>
    <w:rsid w:val="00E93754"/>
    <w:rsid w:val="00E94608"/>
    <w:rsid w:val="00E97D91"/>
    <w:rsid w:val="00EA0175"/>
    <w:rsid w:val="00EA1EB6"/>
    <w:rsid w:val="00EA49B2"/>
    <w:rsid w:val="00EB1F3D"/>
    <w:rsid w:val="00EB35C1"/>
    <w:rsid w:val="00EB4DF0"/>
    <w:rsid w:val="00EC02F3"/>
    <w:rsid w:val="00EC4B49"/>
    <w:rsid w:val="00ED1E5C"/>
    <w:rsid w:val="00ED2890"/>
    <w:rsid w:val="00ED508E"/>
    <w:rsid w:val="00EE0C8B"/>
    <w:rsid w:val="00EE3225"/>
    <w:rsid w:val="00EF0E3E"/>
    <w:rsid w:val="00EF2433"/>
    <w:rsid w:val="00EF2632"/>
    <w:rsid w:val="00EF4BA7"/>
    <w:rsid w:val="00EF6D74"/>
    <w:rsid w:val="00F00AB3"/>
    <w:rsid w:val="00F033A2"/>
    <w:rsid w:val="00F03435"/>
    <w:rsid w:val="00F06908"/>
    <w:rsid w:val="00F07EA0"/>
    <w:rsid w:val="00F14CE8"/>
    <w:rsid w:val="00F207C3"/>
    <w:rsid w:val="00F31800"/>
    <w:rsid w:val="00F37C4F"/>
    <w:rsid w:val="00F4012D"/>
    <w:rsid w:val="00F421AE"/>
    <w:rsid w:val="00F46E98"/>
    <w:rsid w:val="00F51F60"/>
    <w:rsid w:val="00F54672"/>
    <w:rsid w:val="00F54D1B"/>
    <w:rsid w:val="00F64C76"/>
    <w:rsid w:val="00F710BC"/>
    <w:rsid w:val="00F747D0"/>
    <w:rsid w:val="00F77315"/>
    <w:rsid w:val="00F8070D"/>
    <w:rsid w:val="00F86B1A"/>
    <w:rsid w:val="00F95481"/>
    <w:rsid w:val="00F96A71"/>
    <w:rsid w:val="00F9786C"/>
    <w:rsid w:val="00FA129C"/>
    <w:rsid w:val="00FA274F"/>
    <w:rsid w:val="00FA68BB"/>
    <w:rsid w:val="00FA795E"/>
    <w:rsid w:val="00FB1379"/>
    <w:rsid w:val="00FB29EF"/>
    <w:rsid w:val="00FC03E8"/>
    <w:rsid w:val="00FC0548"/>
    <w:rsid w:val="00FC7CD0"/>
    <w:rsid w:val="00FD06F5"/>
    <w:rsid w:val="00FD2336"/>
    <w:rsid w:val="00FD7526"/>
    <w:rsid w:val="00FE20B0"/>
    <w:rsid w:val="00FE43ED"/>
    <w:rsid w:val="00FF6C23"/>
    <w:rsid w:val="03FA51FE"/>
    <w:rsid w:val="059736C8"/>
    <w:rsid w:val="05A96AAD"/>
    <w:rsid w:val="09613BE8"/>
    <w:rsid w:val="09CA5E30"/>
    <w:rsid w:val="115F6BC0"/>
    <w:rsid w:val="13FE6F15"/>
    <w:rsid w:val="140460E9"/>
    <w:rsid w:val="188862C3"/>
    <w:rsid w:val="1B6577D5"/>
    <w:rsid w:val="1D114BB1"/>
    <w:rsid w:val="23656F05"/>
    <w:rsid w:val="267D0069"/>
    <w:rsid w:val="26F85D91"/>
    <w:rsid w:val="27AA757B"/>
    <w:rsid w:val="2C4B1E8A"/>
    <w:rsid w:val="2C6D21C6"/>
    <w:rsid w:val="2F2A671B"/>
    <w:rsid w:val="33D45855"/>
    <w:rsid w:val="3C597FF0"/>
    <w:rsid w:val="3CAA11E8"/>
    <w:rsid w:val="4137034E"/>
    <w:rsid w:val="437E169D"/>
    <w:rsid w:val="44685489"/>
    <w:rsid w:val="48AF77A5"/>
    <w:rsid w:val="4C6D79CC"/>
    <w:rsid w:val="4D42271C"/>
    <w:rsid w:val="4E96186D"/>
    <w:rsid w:val="4E9C586F"/>
    <w:rsid w:val="513B2018"/>
    <w:rsid w:val="52D82764"/>
    <w:rsid w:val="588E085E"/>
    <w:rsid w:val="634B5A40"/>
    <w:rsid w:val="686B2621"/>
    <w:rsid w:val="6FAA054C"/>
    <w:rsid w:val="729D0AF3"/>
    <w:rsid w:val="797B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 w:type="paragraph" w:customStyle="1" w:styleId="7">
    <w:name w:val="文章附标题"/>
    <w:basedOn w:val="1"/>
    <w:next w:val="1"/>
    <w:qFormat/>
    <w:uiPriority w:val="99"/>
    <w:pPr>
      <w:widowControl/>
      <w:spacing w:before="187" w:after="175" w:line="374" w:lineRule="atLeast"/>
      <w:jc w:val="center"/>
    </w:pPr>
    <w:rPr>
      <w:color w:val="000000"/>
      <w:kern w:val="0"/>
      <w:sz w:val="36"/>
      <w:szCs w:val="36"/>
      <w:u w:color="000000"/>
    </w:rPr>
  </w:style>
  <w:style w:type="character" w:customStyle="1" w:styleId="8">
    <w:name w:val="页眉 字符"/>
    <w:basedOn w:val="5"/>
    <w:link w:val="3"/>
    <w:qFormat/>
    <w:uiPriority w:val="0"/>
    <w:rPr>
      <w:rFonts w:ascii="Times New Roman" w:hAnsi="Times New Roman" w:eastAsia="宋体" w:cs="Times New Roman"/>
      <w:kern w:val="2"/>
      <w:sz w:val="18"/>
      <w:szCs w:val="18"/>
    </w:rPr>
  </w:style>
  <w:style w:type="character" w:customStyle="1" w:styleId="9">
    <w:name w:val="页脚 字符"/>
    <w:basedOn w:val="5"/>
    <w:link w:val="2"/>
    <w:qFormat/>
    <w:uiPriority w:val="0"/>
    <w:rPr>
      <w:rFonts w:ascii="Times New Roman" w:hAnsi="Times New Roman" w:eastAsia="宋体" w:cs="Times New Roman"/>
      <w:kern w:val="2"/>
      <w:sz w:val="18"/>
      <w:szCs w:val="18"/>
    </w:rPr>
  </w:style>
  <w:style w:type="paragraph" w:customStyle="1" w:styleId="10">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269D8-3E97-466C-907F-18275352B398}">
  <ds:schemaRefs/>
</ds:datastoreItem>
</file>

<file path=docProps/app.xml><?xml version="1.0" encoding="utf-8"?>
<Properties xmlns="http://schemas.openxmlformats.org/officeDocument/2006/extended-properties" xmlns:vt="http://schemas.openxmlformats.org/officeDocument/2006/docPropsVTypes">
  <Template>Normal</Template>
  <Pages>4</Pages>
  <Words>283</Words>
  <Characters>1617</Characters>
  <Lines>13</Lines>
  <Paragraphs>3</Paragraphs>
  <TotalTime>0</TotalTime>
  <ScaleCrop>false</ScaleCrop>
  <LinksUpToDate>false</LinksUpToDate>
  <CharactersWithSpaces>1897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2022-06-22T05:51:00Z</dcterms:created>
  <dc:creator>YLL1</dc:creator>
  <cp:lastModifiedBy>Administrator</cp:lastModifiedBy>
  <cp:lastPrinted>2022-07-09T01:58:00Z</cp:lastPrinted>
  <dcterms:modified xsi:type="dcterms:W3CDTF">2022-07-13T01:23:53Z</dcterms:modified>
  <cp:revision>438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87CAB38A98C2482E8DCFADE3FBD5C8C0</vt:lpwstr>
  </property>
</Properties>
</file>