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bCs/>
          <w:sz w:val="36"/>
          <w:szCs w:val="36"/>
        </w:rPr>
      </w:pPr>
      <w:r>
        <w:rPr>
          <w:rFonts w:hint="eastAsia" w:ascii="黑体" w:hAnsi="黑体" w:eastAsia="黑体"/>
          <w:b/>
          <w:bCs/>
          <w:sz w:val="36"/>
          <w:szCs w:val="36"/>
        </w:rPr>
        <w:t>中关村房山园</w:t>
      </w:r>
      <w:bookmarkStart w:id="0" w:name="_GoBack"/>
      <w:bookmarkEnd w:id="0"/>
      <w:r>
        <w:rPr>
          <w:rFonts w:hint="eastAsia" w:ascii="黑体" w:hAnsi="黑体" w:eastAsia="黑体"/>
          <w:b/>
          <w:bCs/>
          <w:sz w:val="36"/>
          <w:szCs w:val="36"/>
        </w:rPr>
        <w:t xml:space="preserve"> 新材料科技产业基地</w:t>
      </w:r>
    </w:p>
    <w:p>
      <w:pPr>
        <w:jc w:val="center"/>
        <w:rPr>
          <w:rFonts w:ascii="黑体" w:hAnsi="黑体" w:eastAsia="黑体"/>
          <w:b/>
          <w:bCs/>
          <w:sz w:val="36"/>
          <w:szCs w:val="36"/>
        </w:rPr>
      </w:pPr>
      <w:r>
        <w:rPr>
          <w:rFonts w:hint="eastAsia" w:ascii="黑体" w:hAnsi="黑体" w:eastAsia="黑体"/>
          <w:b/>
          <w:bCs/>
          <w:sz w:val="36"/>
          <w:szCs w:val="36"/>
        </w:rPr>
        <w:t>FS00-0213-004地块规划综合实施方案研究</w:t>
      </w:r>
    </w:p>
    <w:p>
      <w:pPr>
        <w:jc w:val="center"/>
        <w:rPr>
          <w:rFonts w:ascii="黑体" w:hAnsi="黑体" w:eastAsia="黑体"/>
          <w:b/>
          <w:bCs/>
          <w:sz w:val="36"/>
          <w:szCs w:val="36"/>
        </w:rPr>
      </w:pPr>
      <w:r>
        <w:rPr>
          <w:rFonts w:hint="eastAsia" w:ascii="黑体" w:hAnsi="黑体" w:eastAsia="黑体"/>
          <w:b/>
          <w:bCs/>
          <w:sz w:val="36"/>
          <w:szCs w:val="36"/>
        </w:rPr>
        <w:t>（草案）</w:t>
      </w:r>
    </w:p>
    <w:p>
      <w:pPr>
        <w:jc w:val="center"/>
        <w:rPr>
          <w:rFonts w:ascii="黑体" w:hAnsi="黑体" w:eastAsia="黑体"/>
          <w:b/>
          <w:bCs/>
          <w:sz w:val="36"/>
          <w:szCs w:val="36"/>
        </w:rPr>
      </w:pPr>
    </w:p>
    <w:p>
      <w:pPr>
        <w:spacing w:line="360" w:lineRule="auto"/>
        <w:jc w:val="left"/>
        <w:rPr>
          <w:rFonts w:ascii="黑体" w:hAnsi="黑体" w:eastAsia="黑体"/>
          <w:b/>
          <w:bCs/>
          <w:sz w:val="30"/>
          <w:szCs w:val="30"/>
        </w:rPr>
      </w:pPr>
      <w:r>
        <w:rPr>
          <w:rFonts w:hint="eastAsia" w:ascii="黑体" w:hAnsi="黑体" w:eastAsia="黑体"/>
          <w:b/>
          <w:bCs/>
          <w:sz w:val="30"/>
          <w:szCs w:val="30"/>
        </w:rPr>
        <w:t>概述</w:t>
      </w:r>
    </w:p>
    <w:p>
      <w:pPr>
        <w:spacing w:line="360" w:lineRule="auto"/>
        <w:ind w:firstLine="560" w:firstLineChars="200"/>
        <w:rPr>
          <w:rFonts w:ascii="仿宋" w:hAnsi="仿宋" w:eastAsia="仿宋"/>
          <w:bCs/>
          <w:szCs w:val="21"/>
        </w:rPr>
      </w:pPr>
      <w:r>
        <w:rPr>
          <w:rFonts w:hint="eastAsia" w:ascii="仿宋" w:hAnsi="仿宋" w:eastAsia="仿宋"/>
          <w:bCs/>
          <w:sz w:val="28"/>
          <w:szCs w:val="21"/>
        </w:rPr>
        <w:t>为落实《北京城市总体规划（2016—2035年）》“四个中心”的战略定位，顺应《房山分区规划（国土空间规划）（2017年—2035年）》中“促进高质量发展，着力构建高精尖经济结构”的发展要求，发挥北京中关村房山园创新引领作用，打造新材料科技创新高地。根据新材料科技基地产业整体发展和空间资源统筹，为加快推进项目落地实施，编制《中关村房山园. 新材料科技产业基地FS00-0213-004地块规划综合实施方案研究》。</w:t>
      </w:r>
    </w:p>
    <w:p>
      <w:pPr>
        <w:spacing w:line="360" w:lineRule="auto"/>
        <w:ind w:firstLine="420" w:firstLineChars="200"/>
        <w:jc w:val="left"/>
        <w:rPr>
          <w:rFonts w:ascii="宋体" w:hAnsi="宋体" w:eastAsia="宋体"/>
          <w:bCs/>
          <w:szCs w:val="21"/>
        </w:rPr>
      </w:pPr>
    </w:p>
    <w:p>
      <w:pPr>
        <w:spacing w:line="360" w:lineRule="auto"/>
        <w:jc w:val="left"/>
        <w:rPr>
          <w:rFonts w:ascii="黑体" w:hAnsi="黑体" w:eastAsia="黑体"/>
          <w:b/>
          <w:bCs/>
          <w:sz w:val="30"/>
          <w:szCs w:val="30"/>
        </w:rPr>
      </w:pPr>
      <w:r>
        <w:rPr>
          <w:rFonts w:hint="eastAsia" w:ascii="黑体" w:hAnsi="黑体" w:eastAsia="黑体"/>
          <w:b/>
          <w:bCs/>
          <w:sz w:val="30"/>
          <w:szCs w:val="30"/>
        </w:rPr>
        <w:t>区位及规划范围</w:t>
      </w:r>
    </w:p>
    <w:p>
      <w:pPr>
        <w:spacing w:line="360" w:lineRule="auto"/>
        <w:ind w:firstLine="560" w:firstLineChars="200"/>
        <w:rPr>
          <w:rFonts w:ascii="仿宋" w:hAnsi="仿宋" w:eastAsia="仿宋"/>
          <w:bCs/>
          <w:sz w:val="28"/>
          <w:szCs w:val="21"/>
        </w:rPr>
      </w:pPr>
      <w:r>
        <w:rPr>
          <w:rFonts w:hint="eastAsia" w:ascii="仿宋" w:hAnsi="仿宋" w:eastAsia="仿宋"/>
          <w:bCs/>
          <w:sz w:val="28"/>
          <w:szCs w:val="21"/>
        </w:rPr>
        <w:t>项目用地位于中关村房山园新材料科技产业基地中的FS00-0213街区。东至丁东路道路红线，北至规划支路北侧道路红线，总占地面积1.58公顷。</w:t>
      </w:r>
    </w:p>
    <w:p>
      <w:pPr>
        <w:jc w:val="center"/>
        <w:rPr>
          <w:rFonts w:ascii="黑体" w:hAnsi="黑体" w:eastAsia="黑体"/>
          <w:b/>
          <w:bCs/>
          <w:sz w:val="30"/>
          <w:szCs w:val="30"/>
        </w:rPr>
      </w:pPr>
      <w:r>
        <w:rPr>
          <w:rFonts w:ascii="黑体" w:hAnsi="黑体" w:eastAsia="黑体"/>
          <w:b/>
          <w:bCs/>
          <w:sz w:val="30"/>
          <w:szCs w:val="30"/>
        </w:rPr>
        <w:drawing>
          <wp:inline distT="0" distB="0" distL="0" distR="0">
            <wp:extent cx="5236210" cy="737552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3145" cy="73852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center"/>
        <w:rPr>
          <w:rFonts w:ascii="仿宋" w:hAnsi="仿宋" w:eastAsia="仿宋"/>
          <w:bCs/>
          <w:sz w:val="28"/>
          <w:szCs w:val="21"/>
        </w:rPr>
      </w:pPr>
      <w:r>
        <w:rPr>
          <w:rFonts w:hint="eastAsia" w:ascii="仿宋" w:hAnsi="仿宋" w:eastAsia="仿宋"/>
          <w:bCs/>
          <w:sz w:val="28"/>
          <w:szCs w:val="21"/>
        </w:rPr>
        <w:t>区位图</w:t>
      </w:r>
    </w:p>
    <w:p>
      <w:pPr>
        <w:spacing w:line="360" w:lineRule="auto"/>
        <w:ind w:firstLine="560" w:firstLineChars="200"/>
        <w:jc w:val="center"/>
        <w:rPr>
          <w:rFonts w:ascii="仿宋" w:hAnsi="仿宋" w:eastAsia="仿宋"/>
          <w:bCs/>
          <w:sz w:val="28"/>
          <w:szCs w:val="21"/>
        </w:rPr>
      </w:pPr>
    </w:p>
    <w:p>
      <w:pPr>
        <w:spacing w:line="360" w:lineRule="auto"/>
        <w:ind w:firstLine="560" w:firstLineChars="200"/>
        <w:jc w:val="center"/>
        <w:rPr>
          <w:rFonts w:ascii="仿宋" w:hAnsi="仿宋" w:eastAsia="仿宋"/>
          <w:bCs/>
          <w:sz w:val="28"/>
          <w:szCs w:val="21"/>
        </w:rPr>
      </w:pPr>
    </w:p>
    <w:p>
      <w:pPr>
        <w:snapToGrid w:val="0"/>
        <w:spacing w:line="360" w:lineRule="auto"/>
        <w:jc w:val="left"/>
        <w:rPr>
          <w:rFonts w:ascii="黑体" w:hAnsi="黑体" w:eastAsia="黑体"/>
          <w:b/>
          <w:bCs/>
          <w:sz w:val="30"/>
          <w:szCs w:val="30"/>
        </w:rPr>
      </w:pPr>
      <w:r>
        <w:rPr>
          <w:rFonts w:hint="eastAsia" w:ascii="黑体" w:hAnsi="黑体" w:eastAsia="黑体"/>
          <w:b/>
          <w:bCs/>
          <w:sz w:val="30"/>
          <w:szCs w:val="30"/>
        </w:rPr>
        <w:t>现状概况</w:t>
      </w:r>
    </w:p>
    <w:p>
      <w:pPr>
        <w:spacing w:line="360" w:lineRule="auto"/>
        <w:ind w:firstLine="560" w:firstLineChars="200"/>
        <w:jc w:val="left"/>
        <w:rPr>
          <w:rFonts w:ascii="仿宋" w:hAnsi="仿宋" w:eastAsia="仿宋"/>
          <w:bCs/>
          <w:sz w:val="28"/>
          <w:szCs w:val="21"/>
        </w:rPr>
      </w:pPr>
      <w:r>
        <w:rPr>
          <w:rFonts w:hint="eastAsia" w:ascii="仿宋" w:hAnsi="仿宋" w:eastAsia="仿宋"/>
          <w:bCs/>
          <w:sz w:val="28"/>
          <w:szCs w:val="21"/>
        </w:rPr>
        <w:t>规划用地属于原B</w:t>
      </w:r>
      <w:r>
        <w:rPr>
          <w:rFonts w:ascii="仿宋" w:hAnsi="仿宋" w:eastAsia="仿宋"/>
          <w:bCs/>
          <w:sz w:val="28"/>
          <w:szCs w:val="21"/>
        </w:rPr>
        <w:t>6-12</w:t>
      </w:r>
      <w:r>
        <w:rPr>
          <w:rFonts w:hint="eastAsia" w:ascii="仿宋" w:hAnsi="仿宋" w:eastAsia="仿宋"/>
          <w:bCs/>
          <w:sz w:val="28"/>
          <w:szCs w:val="21"/>
        </w:rPr>
        <w:t>地块一级开发范围，现状均为国有地，已基本完成土地平整，用地现状为空闲地，待建设。</w:t>
      </w:r>
    </w:p>
    <w:p>
      <w:pPr>
        <w:spacing w:line="360" w:lineRule="auto"/>
        <w:ind w:firstLine="560" w:firstLineChars="200"/>
        <w:jc w:val="left"/>
        <w:rPr>
          <w:rFonts w:ascii="仿宋" w:hAnsi="仿宋" w:eastAsia="仿宋"/>
          <w:bCs/>
          <w:sz w:val="28"/>
          <w:szCs w:val="21"/>
        </w:rPr>
      </w:pPr>
    </w:p>
    <w:p>
      <w:pPr>
        <w:snapToGrid w:val="0"/>
        <w:spacing w:line="360" w:lineRule="auto"/>
        <w:jc w:val="left"/>
        <w:rPr>
          <w:rFonts w:ascii="黑体" w:hAnsi="黑体" w:eastAsia="黑体"/>
          <w:b/>
          <w:bCs/>
          <w:sz w:val="30"/>
          <w:szCs w:val="30"/>
        </w:rPr>
      </w:pPr>
      <w:r>
        <w:rPr>
          <w:rFonts w:hint="eastAsia" w:ascii="黑体" w:hAnsi="黑体" w:eastAsia="黑体"/>
          <w:b/>
          <w:bCs/>
          <w:sz w:val="30"/>
          <w:szCs w:val="30"/>
        </w:rPr>
        <w:t>规模总量</w:t>
      </w:r>
    </w:p>
    <w:p>
      <w:pPr>
        <w:spacing w:line="360" w:lineRule="auto"/>
        <w:ind w:firstLine="560" w:firstLineChars="200"/>
        <w:jc w:val="left"/>
        <w:rPr>
          <w:rFonts w:ascii="仿宋" w:hAnsi="仿宋" w:eastAsia="仿宋"/>
          <w:bCs/>
          <w:sz w:val="28"/>
          <w:szCs w:val="21"/>
        </w:rPr>
      </w:pPr>
      <w:r>
        <w:rPr>
          <w:rFonts w:hint="eastAsia" w:ascii="仿宋" w:hAnsi="仿宋" w:eastAsia="仿宋"/>
          <w:bCs/>
          <w:sz w:val="28"/>
          <w:szCs w:val="21"/>
        </w:rPr>
        <w:t>规划用地面积约1.58公顷，其中一类工业用地1.36公顷，城市道路用地0.22公顷（最终指标以钉桩成果为准）。</w:t>
      </w:r>
    </w:p>
    <w:p>
      <w:pPr>
        <w:spacing w:line="360" w:lineRule="auto"/>
        <w:ind w:firstLine="560" w:firstLineChars="200"/>
        <w:jc w:val="left"/>
      </w:pPr>
      <w:r>
        <w:rPr>
          <w:rFonts w:hint="eastAsia" w:ascii="仿宋" w:hAnsi="仿宋" w:eastAsia="仿宋"/>
          <w:bCs/>
          <w:sz w:val="28"/>
          <w:szCs w:val="21"/>
        </w:rPr>
        <w:t>规划地上建筑规模约1.36万平方米（最终指标以审定方案为准）。</w:t>
      </w:r>
    </w:p>
    <w:p>
      <w:pPr>
        <w:tabs>
          <w:tab w:val="center" w:pos="4213"/>
          <w:tab w:val="right" w:pos="8306"/>
        </w:tabs>
        <w:snapToGrid w:val="0"/>
        <w:spacing w:line="360" w:lineRule="auto"/>
        <w:jc w:val="center"/>
        <w:rPr>
          <w:rFonts w:ascii="宋体" w:hAnsi="宋体" w:eastAsia="宋体"/>
          <w:bCs/>
          <w:szCs w:val="21"/>
        </w:rPr>
      </w:pPr>
      <w:r>
        <w:drawing>
          <wp:inline distT="0" distB="0" distL="114300" distR="114300">
            <wp:extent cx="4204335" cy="4935855"/>
            <wp:effectExtent l="12700" t="12700" r="24765" b="29845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rcRect t="262" b="2915"/>
                    <a:stretch>
                      <a:fillRect/>
                    </a:stretch>
                  </pic:blipFill>
                  <pic:spPr>
                    <a:xfrm>
                      <a:off x="0" y="0"/>
                      <a:ext cx="4204335" cy="493585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center"/>
        <w:rPr>
          <w:rFonts w:ascii="仿宋" w:hAnsi="仿宋" w:eastAsia="仿宋"/>
          <w:bCs/>
          <w:sz w:val="28"/>
          <w:szCs w:val="21"/>
        </w:rPr>
      </w:pPr>
      <w:r>
        <w:rPr>
          <w:rFonts w:hint="default" w:ascii="仿宋" w:hAnsi="仿宋" w:eastAsia="仿宋"/>
          <w:bCs/>
          <w:sz w:val="28"/>
          <w:szCs w:val="21"/>
        </w:rPr>
        <w:t>规划用地</w:t>
      </w:r>
      <w:r>
        <w:rPr>
          <w:rFonts w:hint="eastAsia" w:ascii="仿宋" w:hAnsi="仿宋" w:eastAsia="仿宋"/>
          <w:bCs/>
          <w:sz w:val="28"/>
          <w:szCs w:val="21"/>
        </w:rPr>
        <w:t>图</w:t>
      </w:r>
    </w:p>
    <w:p>
      <w:pPr>
        <w:spacing w:line="360" w:lineRule="auto"/>
        <w:ind w:firstLine="560" w:firstLineChars="200"/>
        <w:jc w:val="center"/>
        <w:rPr>
          <w:rFonts w:ascii="仿宋" w:hAnsi="仿宋" w:eastAsia="仿宋"/>
          <w:bCs/>
          <w:sz w:val="28"/>
          <w:szCs w:val="21"/>
        </w:rPr>
      </w:pPr>
    </w:p>
    <w:p>
      <w:pPr>
        <w:spacing w:line="360" w:lineRule="auto"/>
        <w:ind w:firstLine="560" w:firstLineChars="200"/>
        <w:jc w:val="center"/>
        <w:rPr>
          <w:rFonts w:ascii="仿宋" w:hAnsi="仿宋" w:eastAsia="仿宋"/>
          <w:bCs/>
          <w:sz w:val="28"/>
          <w:szCs w:val="21"/>
        </w:rPr>
      </w:pPr>
    </w:p>
    <w:p>
      <w:pPr>
        <w:snapToGrid w:val="0"/>
        <w:spacing w:line="360" w:lineRule="auto"/>
        <w:jc w:val="left"/>
        <w:rPr>
          <w:rFonts w:ascii="黑体" w:hAnsi="黑体" w:eastAsia="黑体"/>
          <w:b/>
          <w:bCs/>
          <w:sz w:val="30"/>
          <w:szCs w:val="30"/>
        </w:rPr>
      </w:pPr>
      <w:r>
        <w:rPr>
          <w:rFonts w:hint="eastAsia" w:ascii="黑体" w:hAnsi="黑体" w:eastAsia="黑体"/>
          <w:b/>
          <w:bCs/>
          <w:sz w:val="30"/>
          <w:szCs w:val="30"/>
        </w:rPr>
        <w:t>交通体系</w:t>
      </w:r>
    </w:p>
    <w:p>
      <w:pPr>
        <w:spacing w:line="360" w:lineRule="auto"/>
        <w:ind w:firstLine="560" w:firstLineChars="200"/>
        <w:rPr>
          <w:rFonts w:ascii="仿宋" w:hAnsi="仿宋" w:eastAsia="仿宋"/>
          <w:bCs/>
          <w:sz w:val="28"/>
          <w:szCs w:val="21"/>
        </w:rPr>
      </w:pPr>
      <w:r>
        <w:rPr>
          <w:rFonts w:hint="eastAsia" w:ascii="仿宋" w:hAnsi="仿宋" w:eastAsia="仿宋"/>
          <w:bCs/>
          <w:sz w:val="28"/>
          <w:szCs w:val="21"/>
        </w:rPr>
        <w:t>完善道路交通系统，加强区域交通衔接，打造便捷安全的城市道路体系，完善支路系统，为出行与运输提供支撑。规划范围内北侧道路用地为城市支路，东侧紧邻城市主干路丁东路，规划于北侧城市支路设置主要车行出入口。</w:t>
      </w:r>
    </w:p>
    <w:p>
      <w:pPr>
        <w:snapToGrid w:val="0"/>
        <w:spacing w:line="360" w:lineRule="auto"/>
        <w:jc w:val="center"/>
        <w:rPr>
          <w:rFonts w:ascii="宋体" w:hAnsi="宋体" w:eastAsia="宋体"/>
          <w:bCs/>
          <w:szCs w:val="21"/>
        </w:rPr>
      </w:pPr>
      <w:r>
        <w:rPr>
          <w:rFonts w:ascii="宋体" w:hAnsi="宋体" w:eastAsia="宋体"/>
          <w:bCs/>
          <w:szCs w:val="21"/>
        </w:rPr>
        <w:drawing>
          <wp:inline distT="0" distB="0" distL="0" distR="0">
            <wp:extent cx="4062095" cy="477075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" r="5426" b="620"/>
                    <a:stretch>
                      <a:fillRect/>
                    </a:stretch>
                  </pic:blipFill>
                  <pic:spPr>
                    <a:xfrm>
                      <a:off x="0" y="0"/>
                      <a:ext cx="4124088" cy="484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center"/>
        <w:rPr>
          <w:rFonts w:ascii="仿宋" w:hAnsi="仿宋" w:eastAsia="仿宋"/>
          <w:bCs/>
          <w:sz w:val="28"/>
          <w:szCs w:val="21"/>
        </w:rPr>
      </w:pPr>
      <w:r>
        <w:rPr>
          <w:rFonts w:hint="eastAsia" w:ascii="仿宋" w:hAnsi="仿宋" w:eastAsia="仿宋"/>
          <w:bCs/>
          <w:sz w:val="28"/>
          <w:szCs w:val="21"/>
        </w:rPr>
        <w:t>交通系统规划图</w:t>
      </w:r>
    </w:p>
    <w:p>
      <w:pPr>
        <w:snapToGrid w:val="0"/>
        <w:spacing w:line="360" w:lineRule="auto"/>
        <w:jc w:val="center"/>
        <w:rPr>
          <w:rFonts w:ascii="宋体" w:hAnsi="宋体" w:eastAsia="宋体"/>
          <w:bCs/>
          <w:szCs w:val="21"/>
        </w:rPr>
      </w:pPr>
    </w:p>
    <w:p>
      <w:pPr>
        <w:snapToGrid w:val="0"/>
        <w:spacing w:line="360" w:lineRule="auto"/>
        <w:jc w:val="center"/>
        <w:rPr>
          <w:rFonts w:ascii="宋体" w:hAnsi="宋体" w:eastAsia="宋体"/>
          <w:bCs/>
          <w:szCs w:val="21"/>
        </w:rPr>
      </w:pPr>
    </w:p>
    <w:p>
      <w:pPr>
        <w:snapToGrid w:val="0"/>
        <w:spacing w:line="360" w:lineRule="auto"/>
        <w:jc w:val="center"/>
        <w:rPr>
          <w:rFonts w:ascii="宋体" w:hAnsi="宋体" w:eastAsia="宋体"/>
          <w:bCs/>
          <w:szCs w:val="21"/>
        </w:rPr>
      </w:pPr>
    </w:p>
    <w:p>
      <w:pPr>
        <w:snapToGrid w:val="0"/>
        <w:spacing w:line="360" w:lineRule="auto"/>
        <w:jc w:val="center"/>
        <w:rPr>
          <w:rFonts w:ascii="宋体" w:hAnsi="宋体" w:eastAsia="宋体"/>
          <w:bCs/>
          <w:szCs w:val="21"/>
        </w:rPr>
      </w:pPr>
    </w:p>
    <w:p>
      <w:pPr>
        <w:snapToGrid w:val="0"/>
        <w:spacing w:line="360" w:lineRule="auto"/>
        <w:jc w:val="center"/>
        <w:rPr>
          <w:rFonts w:ascii="宋体" w:hAnsi="宋体" w:eastAsia="宋体"/>
          <w:bCs/>
          <w:szCs w:val="21"/>
        </w:rPr>
      </w:pPr>
    </w:p>
    <w:p>
      <w:pPr>
        <w:snapToGrid w:val="0"/>
        <w:spacing w:line="360" w:lineRule="auto"/>
        <w:jc w:val="center"/>
        <w:rPr>
          <w:rFonts w:ascii="宋体" w:hAnsi="宋体" w:eastAsia="宋体"/>
          <w:bCs/>
          <w:szCs w:val="21"/>
        </w:rPr>
      </w:pPr>
    </w:p>
    <w:p>
      <w:pPr>
        <w:snapToGrid w:val="0"/>
        <w:spacing w:line="360" w:lineRule="auto"/>
        <w:jc w:val="left"/>
        <w:rPr>
          <w:rFonts w:ascii="黑体" w:hAnsi="黑体" w:eastAsia="黑体"/>
          <w:b/>
          <w:bCs/>
          <w:sz w:val="30"/>
          <w:szCs w:val="30"/>
        </w:rPr>
      </w:pPr>
      <w:r>
        <w:rPr>
          <w:rFonts w:hint="eastAsia" w:ascii="黑体" w:hAnsi="黑体" w:eastAsia="黑体"/>
          <w:b/>
          <w:bCs/>
          <w:sz w:val="30"/>
          <w:szCs w:val="30"/>
        </w:rPr>
        <w:t>规划图则</w:t>
      </w:r>
    </w:p>
    <w:p>
      <w:pPr>
        <w:snapToGrid w:val="0"/>
        <w:spacing w:line="360" w:lineRule="auto"/>
        <w:jc w:val="left"/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114300" distR="114300">
            <wp:extent cx="5263515" cy="3721100"/>
            <wp:effectExtent l="0" t="0" r="19685" b="12700"/>
            <wp:docPr id="3" name="图片 3" descr="新材料B6-12规综-2022.05普凡图则-布局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新材料B6-12规综-2022.05普凡图则-布局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altName w:val="汉仪书宋二KW"/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凌慧体-繁">
    <w:altName w:val="宋体-简"/>
    <w:panose1 w:val="03050602040302020204"/>
    <w:charset w:val="86"/>
    <w:family w:val="auto"/>
    <w:pitch w:val="default"/>
    <w:sig w:usb0="00000000" w:usb1="00000000" w:usb2="0000001E" w:usb3="00000000" w:csb0="20140183" w:csb1="00000000"/>
  </w:font>
  <w:font w:name="娃娃体-简">
    <w:panose1 w:val="040B0500000000000000"/>
    <w:charset w:val="86"/>
    <w:family w:val="auto"/>
    <w:pitch w:val="default"/>
    <w:sig w:usb0="A00002FF" w:usb1="38CF7CFB" w:usb2="00000016" w:usb3="00000000" w:csb0="00040003" w:csb1="00000000"/>
  </w:font>
  <w:font w:name="手札体-简">
    <w:panose1 w:val="03000500000000000000"/>
    <w:charset w:val="86"/>
    <w:family w:val="auto"/>
    <w:pitch w:val="default"/>
    <w:sig w:usb0="A00002FF" w:usb1="7ACF7CFB" w:usb2="00000016" w:usb3="00000000" w:csb0="00040001" w:csb1="00000000"/>
  </w:font>
  <w:font w:name="行楷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蘋果儷細宋">
    <w:altName w:val="苹方-简"/>
    <w:panose1 w:val="00000000000000000000"/>
    <w:charset w:val="88"/>
    <w:family w:val="auto"/>
    <w:pitch w:val="default"/>
    <w:sig w:usb0="00000000" w:usb1="00000000" w:usb2="00000016" w:usb3="00000000" w:csb0="00100000" w:csb1="00000000"/>
  </w:font>
  <w:font w:name="黑体-繁">
    <w:panose1 w:val="02000000000000000000"/>
    <w:charset w:val="86"/>
    <w:family w:val="auto"/>
    <w:pitch w:val="default"/>
    <w:sig w:usb0="8000002F" w:usb1="0800004A" w:usb2="00000000" w:usb3="00000000" w:csb0="203E0000" w:csb1="00000000"/>
  </w:font>
  <w:font w:name="黑体-简">
    <w:panose1 w:val="02000000000000000000"/>
    <w:charset w:val="86"/>
    <w:family w:val="auto"/>
    <w:pitch w:val="default"/>
    <w:sig w:usb0="8000002F" w:usb1="0800004A" w:usb2="00000000" w:usb3="00000000" w:csb0="203E0000" w:csb1="00000000"/>
  </w:font>
  <w:font w:name="Calibri Light">
    <w:altName w:val="Helvetica Neue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+中文正文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+西文正文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手札体-繁">
    <w:panose1 w:val="03000500000000000000"/>
    <w:charset w:val="86"/>
    <w:family w:val="auto"/>
    <w:pitch w:val="default"/>
    <w:sig w:usb0="A00002FF" w:usb1="7ACF7CFB" w:usb2="00000016" w:usb3="00000000" w:csb0="00040001" w:csb1="00000000"/>
  </w:font>
  <w:font w:name="兰亭黑-繁">
    <w:panose1 w:val="03000509000000000000"/>
    <w:charset w:val="88"/>
    <w:family w:val="auto"/>
    <w:pitch w:val="default"/>
    <w:sig w:usb0="00000001" w:usb1="080E0000" w:usb2="00000000" w:usb3="00000000" w:csb0="001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黑体">
    <w:altName w:val="汉仪中黑KW"/>
    <w:panose1 w:val="02010609060101010101"/>
    <w:charset w:val="00"/>
    <w:family w:val="modern"/>
    <w:pitch w:val="default"/>
    <w:sig w:usb0="00000000" w:usb1="00000000" w:usb2="00000016" w:usb3="00000000" w:csb0="00040001" w:csb1="00000000"/>
  </w:font>
  <w:font w:name="方正小标宋简体">
    <w:altName w:val="汉仪书宋二KW"/>
    <w:panose1 w:val="02010601030101010101"/>
    <w:charset w:val="00"/>
    <w:family w:val="auto"/>
    <w:pitch w:val="default"/>
    <w:sig w:usb0="00000000" w:usb1="00000000" w:usb2="00000010" w:usb3="00000000" w:csb0="00040000" w:csb1="00000000"/>
  </w:font>
  <w:font w:name="FZYXJW--GB1-0">
    <w:altName w:val="苹方-简"/>
    <w:panose1 w:val="00000000000000000000"/>
    <w:charset w:val="00"/>
    <w:family w:val="auto"/>
    <w:pitch w:val="default"/>
    <w:sig w:usb0="00000000" w:usb1="00000000" w:usb2="00000010" w:usb3="00000000" w:csb0="00040000" w:csb1="00000000"/>
  </w:font>
  <w:font w:name="B3+SimSun">
    <w:altName w:val="苹方-简"/>
    <w:panose1 w:val="00000000000000000000"/>
    <w:charset w:val="00"/>
    <w:family w:val="auto"/>
    <w:pitch w:val="default"/>
    <w:sig w:usb0="00000000" w:usb1="00000000" w:usb2="00000010" w:usb3="00000000" w:csb0="00040000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微软雅黑">
    <w:panose1 w:val="020B0703020204020201"/>
    <w:charset w:val="86"/>
    <w:family w:val="swiss"/>
    <w:pitch w:val="default"/>
    <w:sig w:usb0="80000287" w:usb1="2A0F3C52" w:usb2="00000016" w:usb3="00000000" w:csb0="0004001F" w:csb1="00000000"/>
  </w:font>
  <w:font w:name="Helvetica">
    <w:panose1 w:val="00000000000000000000"/>
    <w:charset w:val="00"/>
    <w:family w:val="swiss"/>
    <w:pitch w:val="default"/>
    <w:sig w:usb0="E00002FF" w:usb1="5000785B" w:usb2="00000000" w:usb3="00000000" w:csb0="2000019F" w:csb1="4F01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旗黑KW">
    <w:panose1 w:val="00020600040101010101"/>
    <w:charset w:val="86"/>
    <w:family w:val="auto"/>
    <w:pitch w:val="default"/>
    <w:sig w:usb0="A00002BF" w:usb1="3ACF7CFA" w:usb2="00000016" w:usb3="00000000" w:csb0="0004009F" w:csb1="DFD7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Apple Color Emoji">
    <w:panose1 w:val="00000000000000000000"/>
    <w:charset w:val="00"/>
    <w:family w:val="auto"/>
    <w:pitch w:val="default"/>
    <w:sig w:usb0="00000003" w:usb1="18000000" w:usb2="14000000" w:usb3="00000000" w:csb0="00000001" w:csb1="00000000"/>
  </w:font>
  <w:font w:name="圆体-简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华文黑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黑体-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黑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.pingfang s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黑体">
    <w:altName w:val="汉仪中黑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华文中宋">
    <w:altName w:val="苹方-简"/>
    <w:panose1 w:val="02010600040101010101"/>
    <w:charset w:val="00"/>
    <w:family w:val="auto"/>
    <w:pitch w:val="default"/>
    <w:sig w:usb0="00000000" w:usb1="00000000" w:usb2="00000010" w:usb3="00000000" w:csb0="0004009F" w:csb1="00000000"/>
  </w:font>
  <w:font w:name="楷体">
    <w:altName w:val="汉仪楷体KW"/>
    <w:panose1 w:val="00000000000000000000"/>
    <w:charset w:val="00"/>
    <w:family w:val="modern"/>
    <w:pitch w:val="default"/>
    <w:sig w:usb0="00000000" w:usb1="00000000" w:usb2="00000016" w:usb3="00000000" w:csb0="00040001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华文中宋">
    <w:altName w:val="华文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华文宋体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宋体-繁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">
    <w:altName w:val="汉仪仿宋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仿宋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436"/>
    <w:rsid w:val="000173C2"/>
    <w:rsid w:val="000A28B0"/>
    <w:rsid w:val="0015196D"/>
    <w:rsid w:val="00265475"/>
    <w:rsid w:val="004579D7"/>
    <w:rsid w:val="00823352"/>
    <w:rsid w:val="008E6D21"/>
    <w:rsid w:val="00935EE7"/>
    <w:rsid w:val="0099081C"/>
    <w:rsid w:val="00992436"/>
    <w:rsid w:val="009B500A"/>
    <w:rsid w:val="00A1437F"/>
    <w:rsid w:val="00A95101"/>
    <w:rsid w:val="00AD061C"/>
    <w:rsid w:val="00B01681"/>
    <w:rsid w:val="00B907F1"/>
    <w:rsid w:val="00BC4AD2"/>
    <w:rsid w:val="00BD378A"/>
    <w:rsid w:val="00C130F1"/>
    <w:rsid w:val="00D61441"/>
    <w:rsid w:val="00D72A80"/>
    <w:rsid w:val="00E4536C"/>
    <w:rsid w:val="00E93117"/>
    <w:rsid w:val="00FD5E2C"/>
    <w:rsid w:val="37CED4CE"/>
    <w:rsid w:val="6F7ED1AF"/>
    <w:rsid w:val="DFFD9166"/>
    <w:rsid w:val="EDFF93E6"/>
    <w:rsid w:val="EF7D8375"/>
    <w:rsid w:val="FF4EA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7">
    <w:name w:val="页眉 字符"/>
    <w:basedOn w:val="4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4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535</Words>
  <Characters>598</Characters>
  <Lines>4</Lines>
  <Paragraphs>1</Paragraphs>
  <ScaleCrop>false</ScaleCrop>
  <LinksUpToDate>false</LinksUpToDate>
  <CharactersWithSpaces>619</CharactersWithSpaces>
  <Application>WPS Office_1.1.0.1454_F1E327BC-269C-435d-A152-05C5408002CA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2022-06-01T11:00:00Z</dcterms:created>
  <dc:creator>Administrator</dc:creator>
  <cp:lastModifiedBy>zhaohenan</cp:lastModifiedBy>
  <dcterms:modified xsi:type="dcterms:W3CDTF">2022-06-20T17:13:40Z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2052-1.1.0.1454</vt:lpwstr>
  </property>
</Properties>
</file>