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北京市文物局202</w:t>
      </w:r>
      <w:r>
        <w:rPr>
          <w:rFonts w:hint="default"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rPr>
        <w:t>年政府信息公开</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spacing w:line="560" w:lineRule="exact"/>
        <w:jc w:val="center"/>
        <w:rPr>
          <w:sz w:val="44"/>
          <w:szCs w:val="44"/>
        </w:rPr>
      </w:pP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 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2" w:firstLineChars="200"/>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市文物局党组高度重视政府信息公开工作，成立由局党组书记、局长任组长，分管政府信息公开工作的副局长任副组长的政府信息公开工作领导小组，研究、协调和处理本局政府信息公开过程中的重大事项。领导小组下设办公室，为全局信息公开工作机构，负责依法组织开展本局的政府信息公开工作。</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为方便公众了解信息，我局主动公开政府信息的形式主要包括通过政府网站、政府信息公开大厅、政府信息公开栏、新闻发布会、报纸、广播、电视、官方</w:t>
      </w:r>
      <w:r>
        <w:rPr>
          <w:rFonts w:hint="eastAsia" w:ascii="仿宋_GB2312" w:eastAsia="仿宋_GB2312"/>
          <w:sz w:val="32"/>
          <w:szCs w:val="32"/>
          <w:lang w:val="en-US" w:eastAsia="zh-Hans"/>
        </w:rPr>
        <w:t>新媒体矩阵</w:t>
      </w:r>
      <w:r>
        <w:rPr>
          <w:rFonts w:hint="eastAsia" w:ascii="仿宋_GB2312" w:eastAsia="仿宋_GB2312"/>
          <w:sz w:val="32"/>
          <w:szCs w:val="32"/>
        </w:rPr>
        <w:t>等。</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72" w:firstLineChars="200"/>
        <w:jc w:val="both"/>
        <w:textAlignment w:val="auto"/>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w:t>
      </w:r>
      <w:r>
        <w:rPr>
          <w:rFonts w:hint="default" w:ascii="仿宋_GB2312" w:hAnsi="宋体" w:eastAsia="仿宋_GB2312" w:cs="宋体"/>
          <w:spacing w:val="8"/>
          <w:kern w:val="0"/>
          <w:sz w:val="32"/>
          <w:szCs w:val="32"/>
        </w:rPr>
        <w:t>2</w:t>
      </w:r>
      <w:r>
        <w:rPr>
          <w:rFonts w:hint="eastAsia" w:ascii="仿宋_GB2312" w:hAnsi="宋体" w:eastAsia="仿宋_GB2312" w:cs="宋体"/>
          <w:spacing w:val="8"/>
          <w:kern w:val="0"/>
          <w:sz w:val="32"/>
          <w:szCs w:val="32"/>
        </w:rPr>
        <w:t>年，我局认真落实《北京市202</w:t>
      </w:r>
      <w:r>
        <w:rPr>
          <w:rFonts w:hint="default" w:ascii="仿宋_GB2312" w:hAnsi="宋体" w:eastAsia="仿宋_GB2312" w:cs="宋体"/>
          <w:spacing w:val="8"/>
          <w:kern w:val="0"/>
          <w:sz w:val="32"/>
          <w:szCs w:val="32"/>
        </w:rPr>
        <w:t>2</w:t>
      </w:r>
      <w:r>
        <w:rPr>
          <w:rFonts w:hint="eastAsia" w:ascii="仿宋_GB2312" w:hAnsi="宋体" w:eastAsia="仿宋_GB2312" w:cs="宋体"/>
          <w:spacing w:val="8"/>
          <w:kern w:val="0"/>
          <w:sz w:val="32"/>
          <w:szCs w:val="32"/>
        </w:rPr>
        <w:t>年政务公开工作要点》，依托官方网站，持续扩大政务公开范围。在网站显著位置设置了政务公开、政府信息公开专栏，公开了机构职能、权力清单、责任清单、政策文件、财政预算、决算信息、政府采购等政务信息专栏，及时发布并实时更新</w:t>
      </w:r>
      <w:bookmarkStart w:id="0" w:name="OLE_LINK2"/>
      <w:bookmarkStart w:id="1" w:name="OLE_LINK1"/>
      <w:r>
        <w:rPr>
          <w:rFonts w:hint="eastAsia" w:ascii="仿宋_GB2312" w:hAnsi="宋体" w:eastAsia="仿宋_GB2312" w:cs="宋体"/>
          <w:spacing w:val="8"/>
          <w:kern w:val="0"/>
          <w:sz w:val="32"/>
          <w:szCs w:val="32"/>
        </w:rPr>
        <w:t>。按照要求，在网站向社会公开政府工作报告重点任务、重要民生实事项目的执行情况。设置领导信箱栏目，每日由专人负责查收，全年领导信箱共收到来信7</w:t>
      </w:r>
      <w:r>
        <w:rPr>
          <w:rFonts w:hint="default" w:ascii="仿宋_GB2312" w:hAnsi="宋体" w:eastAsia="仿宋_GB2312" w:cs="宋体"/>
          <w:spacing w:val="8"/>
          <w:kern w:val="0"/>
          <w:sz w:val="32"/>
          <w:szCs w:val="32"/>
        </w:rPr>
        <w:t>5</w:t>
      </w:r>
      <w:r>
        <w:rPr>
          <w:rFonts w:hint="eastAsia" w:ascii="仿宋_GB2312" w:hAnsi="宋体" w:eastAsia="仿宋_GB2312" w:cs="宋体"/>
          <w:spacing w:val="8"/>
          <w:kern w:val="0"/>
          <w:sz w:val="32"/>
          <w:szCs w:val="32"/>
        </w:rPr>
        <w:t>件，办结7</w:t>
      </w:r>
      <w:r>
        <w:rPr>
          <w:rFonts w:hint="default" w:ascii="仿宋_GB2312" w:hAnsi="宋体" w:eastAsia="仿宋_GB2312" w:cs="宋体"/>
          <w:spacing w:val="8"/>
          <w:kern w:val="0"/>
          <w:sz w:val="32"/>
          <w:szCs w:val="32"/>
        </w:rPr>
        <w:t>5</w:t>
      </w:r>
      <w:r>
        <w:rPr>
          <w:rFonts w:hint="eastAsia" w:ascii="仿宋_GB2312" w:hAnsi="宋体" w:eastAsia="仿宋_GB2312" w:cs="宋体"/>
          <w:spacing w:val="8"/>
          <w:kern w:val="0"/>
          <w:sz w:val="32"/>
          <w:szCs w:val="32"/>
        </w:rPr>
        <w:t>件。</w:t>
      </w:r>
      <w:bookmarkEnd w:id="0"/>
      <w:bookmarkEnd w:id="1"/>
      <w:r>
        <w:rPr>
          <w:rFonts w:hint="eastAsia" w:ascii="仿宋_GB2312" w:hAnsi="仿宋_GB2312" w:eastAsia="仿宋_GB2312" w:cs="仿宋_GB2312"/>
          <w:sz w:val="32"/>
          <w:szCs w:val="32"/>
          <w:lang w:val="en-US" w:eastAsia="zh-CN"/>
        </w:rPr>
        <w:t>本年度我局着重抓好重点政策解读，局网站显著位置增设“疫情防控”专栏，集中公开疫情防控重点政策，本年度局网站共公开48条防疫政策相关信息。</w:t>
      </w:r>
      <w:r>
        <w:rPr>
          <w:rFonts w:hint="eastAsia" w:ascii="仿宋_GB2312" w:hAnsi="仿宋_GB2312" w:eastAsia="仿宋_GB2312" w:cs="仿宋_GB2312"/>
          <w:sz w:val="32"/>
          <w:szCs w:val="32"/>
          <w:lang w:val="en-US" w:eastAsia="zh-Hans"/>
        </w:rPr>
        <w:t>增设“重点领域”专栏</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CN"/>
        </w:rPr>
        <w:t>持续围绕“一轴一城、两园三带、一区一中心”重点工作推进阶段性成果的政务信息进行公开。</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72" w:firstLineChars="200"/>
        <w:jc w:val="both"/>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新媒体渠道作为政务公开的主渠道之一，正在发挥越来越重要的作用。加强全媒体时代公众传播工作，组织新闻宣传35次，协调媒体采访102次。新媒体矩阵各账号微博发布1433条、微信发布1379条，今日头条客户端推送1383条，百家号推送1363条，累计阅读量2.83亿；抖音、快手发布295个短视频，累计278.3万人点击观看。在6月11日文化和自然遗产日甘肃兰州主场活动上，《发现中轴之美》——北京中轴线申遗宣传系列视频获选2022年度中华文物全媒体传播精品（新媒体）推介项目。</w:t>
      </w:r>
      <w:r>
        <w:rPr>
          <w:rFonts w:hint="eastAsia" w:ascii="仿宋_GB2312" w:hAnsi="仿宋_GB2312" w:eastAsia="仿宋_GB2312" w:cs="仿宋_GB2312"/>
          <w:sz w:val="32"/>
          <w:szCs w:val="32"/>
          <w:lang w:val="en-US" w:eastAsia="zh-CN"/>
        </w:rPr>
        <w:t>本年度我局在微博、微信公众号、今日头条、抖音、快手等政务新媒体平台回复公众关切问题134次。</w:t>
      </w:r>
    </w:p>
    <w:p>
      <w:pPr>
        <w:widowControl/>
        <w:spacing w:line="560" w:lineRule="exact"/>
        <w:ind w:firstLine="672" w:firstLineChars="200"/>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w:t>
      </w:r>
      <w:r>
        <w:rPr>
          <w:rFonts w:hint="default" w:ascii="仿宋_GB2312" w:hAnsi="宋体" w:eastAsia="仿宋_GB2312" w:cs="宋体"/>
          <w:spacing w:val="8"/>
          <w:kern w:val="0"/>
          <w:sz w:val="32"/>
          <w:szCs w:val="32"/>
        </w:rPr>
        <w:t>2</w:t>
      </w:r>
      <w:r>
        <w:rPr>
          <w:rFonts w:hint="eastAsia" w:ascii="仿宋_GB2312" w:hAnsi="宋体" w:eastAsia="仿宋_GB2312" w:cs="宋体"/>
          <w:spacing w:val="8"/>
          <w:kern w:val="0"/>
          <w:sz w:val="32"/>
          <w:szCs w:val="32"/>
        </w:rPr>
        <w:t>年，我局共收到政府信息公开申请</w:t>
      </w:r>
      <w:r>
        <w:rPr>
          <w:rFonts w:hint="default" w:ascii="仿宋_GB2312" w:hAnsi="宋体" w:eastAsia="仿宋_GB2312" w:cs="宋体"/>
          <w:spacing w:val="8"/>
          <w:kern w:val="0"/>
          <w:sz w:val="32"/>
          <w:szCs w:val="32"/>
        </w:rPr>
        <w:t>14</w:t>
      </w:r>
      <w:r>
        <w:rPr>
          <w:rFonts w:hint="eastAsia" w:ascii="仿宋_GB2312" w:hAnsi="宋体" w:eastAsia="仿宋_GB2312" w:cs="宋体"/>
          <w:spacing w:val="8"/>
          <w:kern w:val="0"/>
          <w:sz w:val="32"/>
          <w:szCs w:val="32"/>
        </w:rPr>
        <w:t>件，其中2件予以公开，</w:t>
      </w:r>
      <w:r>
        <w:rPr>
          <w:rFonts w:hint="default" w:ascii="仿宋_GB2312" w:hAnsi="宋体" w:eastAsia="仿宋_GB2312" w:cs="宋体"/>
          <w:spacing w:val="8"/>
          <w:kern w:val="0"/>
          <w:sz w:val="32"/>
          <w:szCs w:val="32"/>
        </w:rPr>
        <w:t>1</w:t>
      </w:r>
      <w:r>
        <w:rPr>
          <w:rFonts w:hint="eastAsia" w:ascii="仿宋_GB2312" w:hAnsi="宋体" w:eastAsia="仿宋_GB2312" w:cs="宋体"/>
          <w:spacing w:val="8"/>
          <w:kern w:val="0"/>
          <w:sz w:val="32"/>
          <w:szCs w:val="32"/>
          <w:lang w:val="en-US" w:eastAsia="zh-Hans"/>
        </w:rPr>
        <w:t>件予以部分公开</w:t>
      </w:r>
      <w:r>
        <w:rPr>
          <w:rFonts w:hint="default" w:ascii="仿宋_GB2312" w:hAnsi="宋体" w:eastAsia="仿宋_GB2312" w:cs="宋体"/>
          <w:spacing w:val="8"/>
          <w:kern w:val="0"/>
          <w:sz w:val="32"/>
          <w:szCs w:val="32"/>
          <w:lang w:eastAsia="zh-Hans"/>
        </w:rPr>
        <w:t>，2</w:t>
      </w:r>
      <w:r>
        <w:rPr>
          <w:rFonts w:hint="eastAsia" w:ascii="仿宋_GB2312" w:hAnsi="宋体" w:eastAsia="仿宋_GB2312" w:cs="宋体"/>
          <w:spacing w:val="8"/>
          <w:kern w:val="0"/>
          <w:sz w:val="32"/>
          <w:szCs w:val="32"/>
          <w:lang w:val="en-US" w:eastAsia="zh-Hans"/>
        </w:rPr>
        <w:t>件不予公开</w:t>
      </w:r>
      <w:r>
        <w:rPr>
          <w:rFonts w:hint="default" w:ascii="仿宋_GB2312" w:hAnsi="宋体" w:eastAsia="仿宋_GB2312" w:cs="宋体"/>
          <w:spacing w:val="8"/>
          <w:kern w:val="0"/>
          <w:sz w:val="32"/>
          <w:szCs w:val="32"/>
          <w:lang w:eastAsia="zh-Hans"/>
        </w:rPr>
        <w:t>，</w:t>
      </w:r>
      <w:r>
        <w:rPr>
          <w:rFonts w:hint="default" w:ascii="仿宋_GB2312" w:hAnsi="宋体" w:eastAsia="仿宋_GB2312" w:cs="宋体"/>
          <w:spacing w:val="8"/>
          <w:kern w:val="0"/>
          <w:sz w:val="32"/>
          <w:szCs w:val="32"/>
        </w:rPr>
        <w:t>8</w:t>
      </w:r>
      <w:r>
        <w:rPr>
          <w:rFonts w:hint="eastAsia" w:ascii="仿宋_GB2312" w:hAnsi="宋体" w:eastAsia="仿宋_GB2312" w:cs="宋体"/>
          <w:spacing w:val="8"/>
          <w:kern w:val="0"/>
          <w:sz w:val="32"/>
          <w:szCs w:val="32"/>
        </w:rPr>
        <w:t>件为非本机关掌握的信息，</w:t>
      </w:r>
      <w:r>
        <w:rPr>
          <w:rFonts w:hint="default" w:ascii="仿宋_GB2312" w:hAnsi="宋体" w:eastAsia="仿宋_GB2312" w:cs="宋体"/>
          <w:spacing w:val="8"/>
          <w:kern w:val="0"/>
          <w:sz w:val="32"/>
          <w:szCs w:val="32"/>
        </w:rPr>
        <w:t>1</w:t>
      </w:r>
      <w:r>
        <w:rPr>
          <w:rFonts w:hint="eastAsia" w:ascii="仿宋_GB2312" w:hAnsi="宋体" w:eastAsia="仿宋_GB2312" w:cs="宋体"/>
          <w:spacing w:val="8"/>
          <w:kern w:val="0"/>
          <w:sz w:val="32"/>
          <w:szCs w:val="32"/>
        </w:rPr>
        <w:t>件结转下一年度办理。政府信息依申请公开工作符合程序，告知书均指出了明确的救济途径，答复规范。</w:t>
      </w:r>
    </w:p>
    <w:p>
      <w:pPr>
        <w:ind w:firstLine="640" w:firstLineChars="200"/>
        <w:rPr>
          <w:rFonts w:ascii="仿宋_GB2312" w:eastAsia="仿宋_GB2312"/>
          <w:sz w:val="32"/>
          <w:szCs w:val="32"/>
        </w:rPr>
      </w:pPr>
      <w:r>
        <w:rPr>
          <w:rFonts w:hint="eastAsia" w:ascii="仿宋_GB2312" w:eastAsia="仿宋_GB2312"/>
          <w:sz w:val="32"/>
          <w:szCs w:val="32"/>
        </w:rPr>
        <w:t>202</w:t>
      </w:r>
      <w:r>
        <w:rPr>
          <w:rFonts w:hint="default" w:ascii="仿宋_GB2312" w:eastAsia="仿宋_GB2312"/>
          <w:sz w:val="32"/>
          <w:szCs w:val="32"/>
        </w:rPr>
        <w:t>2</w:t>
      </w:r>
      <w:r>
        <w:rPr>
          <w:rFonts w:hint="eastAsia" w:ascii="仿宋_GB2312" w:eastAsia="仿宋_GB2312"/>
          <w:sz w:val="32"/>
          <w:szCs w:val="32"/>
        </w:rPr>
        <w:t>年，没有新增针对我局</w:t>
      </w:r>
      <w:r>
        <w:rPr>
          <w:rFonts w:ascii="仿宋_GB2312" w:eastAsia="仿宋_GB2312"/>
          <w:sz w:val="32"/>
          <w:szCs w:val="32"/>
        </w:rPr>
        <w:t>政府信息公开</w:t>
      </w:r>
      <w:r>
        <w:rPr>
          <w:rFonts w:hint="eastAsia" w:ascii="仿宋_GB2312" w:eastAsia="仿宋_GB2312"/>
          <w:sz w:val="32"/>
          <w:szCs w:val="32"/>
        </w:rPr>
        <w:t>工作的行政复议申请，未经复议直接起诉的行政诉讼</w:t>
      </w:r>
      <w:r>
        <w:rPr>
          <w:rFonts w:hint="eastAsia" w:ascii="仿宋_GB2312" w:eastAsia="仿宋_GB2312"/>
          <w:sz w:val="32"/>
          <w:szCs w:val="32"/>
          <w:lang w:val="en-US" w:eastAsia="zh-Hans"/>
        </w:rPr>
        <w:t>共</w:t>
      </w:r>
      <w:r>
        <w:rPr>
          <w:rFonts w:hint="default" w:ascii="仿宋_GB2312" w:eastAsia="仿宋_GB2312"/>
          <w:sz w:val="32"/>
          <w:szCs w:val="32"/>
          <w:lang w:eastAsia="zh-Hans"/>
        </w:rPr>
        <w:t>1</w:t>
      </w:r>
      <w:r>
        <w:rPr>
          <w:rFonts w:hint="eastAsia" w:ascii="仿宋_GB2312" w:eastAsia="仿宋_GB2312"/>
          <w:sz w:val="32"/>
          <w:szCs w:val="32"/>
          <w:lang w:val="en-US" w:eastAsia="zh-Hans"/>
        </w:rPr>
        <w:t>件</w:t>
      </w:r>
      <w:r>
        <w:rPr>
          <w:rFonts w:hint="eastAsia" w:ascii="仿宋_GB2312" w:eastAsia="仿宋_GB2312"/>
          <w:sz w:val="32"/>
          <w:szCs w:val="32"/>
        </w:rPr>
        <w:t>。</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二、主动公开政府信息情况</w:t>
      </w:r>
    </w:p>
    <w:p>
      <w:pPr>
        <w:pStyle w:val="2"/>
      </w:pP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rPr>
            </w:pPr>
            <w:r>
              <w:rPr>
                <w:rFonts w:hint="default"/>
              </w:rPr>
              <w:t>0</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rPr>
            </w:pPr>
            <w:r>
              <w:rPr>
                <w:rFonts w:hint="default"/>
              </w:rPr>
              <w:t>14</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color w:val="FF0000"/>
              </w:rPr>
            </w:pPr>
            <w:r>
              <w:rPr>
                <w:rFonts w:hint="default"/>
              </w:rPr>
              <w:t>1295</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rPr>
            </w:pPr>
            <w:r>
              <w:rPr>
                <w:rFonts w:hint="eastAsia" w:ascii="宋体"/>
                <w:sz w:val="24"/>
              </w:rPr>
              <w:t>0</w:t>
            </w:r>
          </w:p>
        </w:tc>
      </w:tr>
    </w:tbl>
    <w:p>
      <w:pPr>
        <w:pStyle w:val="2"/>
      </w:pPr>
    </w:p>
    <w:p>
      <w:pPr>
        <w:pStyle w:val="2"/>
      </w:pPr>
    </w:p>
    <w:p>
      <w:pPr>
        <w:spacing w:line="560" w:lineRule="exact"/>
        <w:ind w:firstLine="320" w:firstLineChars="100"/>
        <w:rPr>
          <w:rFonts w:ascii="黑体" w:hAnsi="黑体" w:eastAsia="黑体" w:cs="黑体"/>
          <w:sz w:val="32"/>
          <w:szCs w:val="32"/>
        </w:rPr>
      </w:pPr>
      <w:r>
        <w:rPr>
          <w:rFonts w:hint="eastAsia" w:ascii="黑体" w:hAnsi="黑体" w:eastAsia="黑体" w:cs="黑体"/>
          <w:sz w:val="32"/>
          <w:szCs w:val="32"/>
        </w:rPr>
        <w:t>三、收到和处理政府信息公开申请情况</w:t>
      </w:r>
    </w:p>
    <w:p>
      <w:pPr>
        <w:pStyle w:val="5"/>
        <w:widowControl/>
        <w:shd w:val="clear" w:color="auto" w:fill="FFFFFF"/>
        <w:spacing w:before="0" w:beforeAutospacing="0" w:after="0" w:afterAutospacing="0"/>
        <w:ind w:firstLine="420"/>
        <w:jc w:val="both"/>
        <w:rPr>
          <w:rFonts w:ascii="宋体" w:hAnsi="宋体" w:cs="宋体"/>
          <w:color w:val="333333"/>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9"/>
        <w:gridCol w:w="943"/>
        <w:gridCol w:w="3220"/>
        <w:gridCol w:w="649"/>
        <w:gridCol w:w="727"/>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32"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49"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79"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49"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rPr>
            </w:pPr>
          </w:p>
        </w:tc>
        <w:tc>
          <w:tcPr>
            <w:tcW w:w="727"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8"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4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rPr>
            </w:pPr>
            <w:r>
              <w:rPr>
                <w:rFonts w:hint="default" w:cs="Calibri"/>
                <w:kern w:val="0"/>
                <w:sz w:val="20"/>
                <w:szCs w:val="20"/>
                <w:lang w:bidi="ar"/>
              </w:rPr>
              <w:t>14</w:t>
            </w:r>
          </w:p>
        </w:tc>
        <w:tc>
          <w:tcPr>
            <w:tcW w:w="727"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rPr>
            </w:pPr>
            <w:r>
              <w:rPr>
                <w:rFonts w:cs="Calibri"/>
                <w:kern w:val="0"/>
                <w:sz w:val="20"/>
                <w:szCs w:val="20"/>
                <w:lang w:bidi="ar"/>
              </w:rPr>
              <w:t> </w:t>
            </w:r>
            <w:r>
              <w:rPr>
                <w:rFonts w:hint="default" w:cs="Calibri"/>
                <w:kern w:val="0"/>
                <w:sz w:val="20"/>
                <w:szCs w:val="20"/>
                <w:lang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4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727"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4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2</w:t>
            </w:r>
          </w:p>
        </w:tc>
        <w:tc>
          <w:tcPr>
            <w:tcW w:w="727"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4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rPr>
            </w:pPr>
            <w:r>
              <w:rPr>
                <w:rFonts w:cs="Calibri"/>
                <w:kern w:val="0"/>
                <w:sz w:val="20"/>
                <w:szCs w:val="20"/>
                <w:lang w:bidi="ar"/>
              </w:rPr>
              <w:t> </w:t>
            </w:r>
            <w:r>
              <w:rPr>
                <w:rFonts w:hint="default" w:cs="Calibri"/>
                <w:kern w:val="0"/>
                <w:sz w:val="20"/>
                <w:szCs w:val="20"/>
                <w:lang w:bidi="ar"/>
              </w:rPr>
              <w:t>1</w:t>
            </w:r>
          </w:p>
        </w:tc>
        <w:tc>
          <w:tcPr>
            <w:tcW w:w="727"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cs="Calibri"/>
                <w:kern w:val="0"/>
                <w:sz w:val="20"/>
                <w:szCs w:val="20"/>
                <w:lang w:bidi="ar"/>
              </w:rPr>
            </w:pPr>
            <w:r>
              <w:rPr>
                <w:rFonts w:hint="default" w:cs="Calibri"/>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1.属于国家秘密</w:t>
            </w:r>
          </w:p>
        </w:tc>
        <w:tc>
          <w:tcPr>
            <w:tcW w:w="64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2.其他法律行政法规禁止公开</w:t>
            </w:r>
          </w:p>
        </w:tc>
        <w:tc>
          <w:tcPr>
            <w:tcW w:w="649" w:type="dxa"/>
            <w:tcBorders>
              <w:top w:val="nil"/>
              <w:left w:val="nil"/>
              <w:bottom w:val="single" w:color="auto" w:sz="8" w:space="0"/>
              <w:right w:val="single" w:color="auto" w:sz="8" w:space="0"/>
            </w:tcBorders>
            <w:tcMar>
              <w:left w:w="57" w:type="dxa"/>
              <w:right w:w="57" w:type="dxa"/>
            </w:tcMar>
          </w:tcPr>
          <w:p>
            <w:pPr>
              <w:widowControl/>
              <w:jc w:val="center"/>
              <w:rPr>
                <w:rFonts w:hint="default"/>
              </w:rPr>
            </w:pPr>
            <w:r>
              <w:rPr>
                <w:rFonts w:cs="Calibri"/>
                <w:kern w:val="0"/>
                <w:sz w:val="20"/>
                <w:szCs w:val="20"/>
                <w:lang w:bidi="ar"/>
              </w:rPr>
              <w:t> </w:t>
            </w:r>
            <w:r>
              <w:rPr>
                <w:rFonts w:hint="default" w:cs="Calibri"/>
                <w:kern w:val="0"/>
                <w:sz w:val="20"/>
                <w:szCs w:val="20"/>
                <w:lang w:bidi="ar"/>
              </w:rPr>
              <w:t>1</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default"/>
              </w:rPr>
            </w:pPr>
            <w:r>
              <w:rPr>
                <w:rFonts w:hint="default" w:cs="Calibri"/>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3.危及“三安全一稳定”</w:t>
            </w:r>
          </w:p>
        </w:tc>
        <w:tc>
          <w:tcPr>
            <w:tcW w:w="64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4.保护第三方合法权益</w:t>
            </w:r>
          </w:p>
        </w:tc>
        <w:tc>
          <w:tcPr>
            <w:tcW w:w="64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5.属于三类内部事务信息</w:t>
            </w:r>
          </w:p>
        </w:tc>
        <w:tc>
          <w:tcPr>
            <w:tcW w:w="649" w:type="dxa"/>
            <w:tcBorders>
              <w:top w:val="nil"/>
              <w:left w:val="nil"/>
              <w:bottom w:val="single" w:color="auto" w:sz="8" w:space="0"/>
              <w:right w:val="single" w:color="auto" w:sz="8" w:space="0"/>
            </w:tcBorders>
            <w:tcMar>
              <w:left w:w="57" w:type="dxa"/>
              <w:right w:w="57" w:type="dxa"/>
            </w:tcMar>
          </w:tcPr>
          <w:p>
            <w:pPr>
              <w:widowControl/>
              <w:jc w:val="center"/>
              <w:rPr>
                <w:rFonts w:hint="default"/>
              </w:rPr>
            </w:pPr>
            <w:r>
              <w:rPr>
                <w:rFonts w:hint="default" w:cs="Calibri"/>
                <w:kern w:val="0"/>
                <w:sz w:val="20"/>
                <w:szCs w:val="20"/>
                <w:lang w:bidi="ar"/>
              </w:rPr>
              <w:t>1</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default"/>
              </w:rPr>
            </w:pPr>
            <w:r>
              <w:rPr>
                <w:rFonts w:hint="default" w:cs="Calibri"/>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6.属于四类过程性信息</w:t>
            </w:r>
          </w:p>
        </w:tc>
        <w:tc>
          <w:tcPr>
            <w:tcW w:w="64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7.属于行政执法案卷</w:t>
            </w:r>
          </w:p>
        </w:tc>
        <w:tc>
          <w:tcPr>
            <w:tcW w:w="64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8.属于行政查询事项</w:t>
            </w:r>
          </w:p>
        </w:tc>
        <w:tc>
          <w:tcPr>
            <w:tcW w:w="64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1.本机关不掌握相关政府信息</w:t>
            </w:r>
          </w:p>
        </w:tc>
        <w:tc>
          <w:tcPr>
            <w:tcW w:w="649" w:type="dxa"/>
            <w:tcBorders>
              <w:top w:val="nil"/>
              <w:left w:val="nil"/>
              <w:bottom w:val="single" w:color="auto" w:sz="8" w:space="0"/>
              <w:right w:val="single" w:color="auto" w:sz="8" w:space="0"/>
            </w:tcBorders>
            <w:tcMar>
              <w:left w:w="57" w:type="dxa"/>
              <w:right w:w="57" w:type="dxa"/>
            </w:tcMar>
          </w:tcPr>
          <w:p>
            <w:pPr>
              <w:widowControl/>
              <w:jc w:val="center"/>
              <w:rPr>
                <w:rFonts w:hint="default"/>
              </w:rPr>
            </w:pPr>
            <w:r>
              <w:rPr>
                <w:rFonts w:cs="Calibri"/>
                <w:kern w:val="0"/>
                <w:sz w:val="20"/>
                <w:szCs w:val="20"/>
                <w:lang w:bidi="ar"/>
              </w:rPr>
              <w:t> </w:t>
            </w:r>
            <w:r>
              <w:rPr>
                <w:rFonts w:hint="default" w:cs="Calibri"/>
                <w:kern w:val="0"/>
                <w:sz w:val="20"/>
                <w:szCs w:val="20"/>
                <w:lang w:bidi="ar"/>
              </w:rPr>
              <w:t>8</w:t>
            </w:r>
          </w:p>
        </w:tc>
        <w:tc>
          <w:tcPr>
            <w:tcW w:w="727"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rPr>
            </w:pPr>
            <w:r>
              <w:rPr>
                <w:rFonts w:hint="default" w:cs="Calibri"/>
                <w:kern w:val="0"/>
                <w:sz w:val="20"/>
                <w:szCs w:val="20"/>
                <w:lang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2.没有现成信息需要另行制作</w:t>
            </w:r>
          </w:p>
        </w:tc>
        <w:tc>
          <w:tcPr>
            <w:tcW w:w="649"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3.补正后申请内容仍不明确</w:t>
            </w:r>
          </w:p>
        </w:tc>
        <w:tc>
          <w:tcPr>
            <w:tcW w:w="649"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1.信访举报投诉类申请</w:t>
            </w:r>
          </w:p>
        </w:tc>
        <w:tc>
          <w:tcPr>
            <w:tcW w:w="649"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2.重复申请</w:t>
            </w:r>
          </w:p>
        </w:tc>
        <w:tc>
          <w:tcPr>
            <w:tcW w:w="649"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3.要求提供公开出版物</w:t>
            </w:r>
          </w:p>
        </w:tc>
        <w:tc>
          <w:tcPr>
            <w:tcW w:w="649"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4.无正当理由大量反复申请</w:t>
            </w:r>
          </w:p>
        </w:tc>
        <w:tc>
          <w:tcPr>
            <w:tcW w:w="649"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779" w:hRule="atLeast"/>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49"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727"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49"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49"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49"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4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rPr>
            </w:pPr>
            <w:r>
              <w:rPr>
                <w:rFonts w:hint="default"/>
              </w:rPr>
              <w:t>13</w:t>
            </w:r>
          </w:p>
        </w:tc>
        <w:tc>
          <w:tcPr>
            <w:tcW w:w="727"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default"/>
              </w:rPr>
            </w:pPr>
            <w:r>
              <w:rPr>
                <w:rFonts w:hint="default" w:cs="Calibri"/>
                <w:kern w:val="0"/>
                <w:sz w:val="20"/>
                <w:szCs w:val="20"/>
                <w:lang w:bidi="ar"/>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49" w:type="dxa"/>
            <w:tcBorders>
              <w:top w:val="outset" w:color="auto" w:sz="6" w:space="0"/>
              <w:left w:val="nil"/>
              <w:bottom w:val="outset" w:color="auto" w:sz="6" w:space="0"/>
              <w:right w:val="outset" w:color="auto" w:sz="6" w:space="0"/>
            </w:tcBorders>
            <w:vAlign w:val="center"/>
          </w:tcPr>
          <w:p>
            <w:pPr>
              <w:jc w:val="center"/>
              <w:rPr>
                <w:rFonts w:hint="default"/>
              </w:rPr>
            </w:pPr>
            <w:r>
              <w:rPr>
                <w:rFonts w:hint="default"/>
              </w:rPr>
              <w:t>1</w:t>
            </w:r>
          </w:p>
        </w:tc>
        <w:tc>
          <w:tcPr>
            <w:tcW w:w="727" w:type="dxa"/>
            <w:tcBorders>
              <w:top w:val="outset" w:color="auto" w:sz="6" w:space="0"/>
              <w:left w:val="nil"/>
              <w:bottom w:val="outset" w:color="auto" w:sz="6" w:space="0"/>
              <w:right w:val="outset" w:color="auto" w:sz="6" w:space="0"/>
            </w:tcBorders>
            <w:vAlign w:val="center"/>
          </w:tcPr>
          <w:p>
            <w:pPr>
              <w:jc w:val="center"/>
            </w:pPr>
            <w:r>
              <w:rPr>
                <w:rFonts w:hint="eastAsia"/>
              </w:rPr>
              <w:t>0</w:t>
            </w:r>
          </w:p>
        </w:tc>
        <w:tc>
          <w:tcPr>
            <w:tcW w:w="0" w:type="auto"/>
            <w:tcBorders>
              <w:top w:val="outset" w:color="auto" w:sz="6" w:space="0"/>
              <w:left w:val="nil"/>
              <w:bottom w:val="outset" w:color="auto" w:sz="6" w:space="0"/>
              <w:right w:val="outset" w:color="auto" w:sz="6" w:space="0"/>
            </w:tcBorders>
            <w:vAlign w:val="center"/>
          </w:tcPr>
          <w:p>
            <w:pPr>
              <w:jc w:val="center"/>
            </w:pPr>
            <w:r>
              <w:rPr>
                <w:rFonts w:hint="eastAsia"/>
              </w:rPr>
              <w:t>0</w:t>
            </w:r>
          </w:p>
        </w:tc>
        <w:tc>
          <w:tcPr>
            <w:tcW w:w="0" w:type="auto"/>
            <w:tcBorders>
              <w:top w:val="outset" w:color="auto" w:sz="6" w:space="0"/>
              <w:left w:val="nil"/>
              <w:bottom w:val="outset" w:color="auto" w:sz="6" w:space="0"/>
              <w:right w:val="outset" w:color="auto" w:sz="6" w:space="0"/>
            </w:tcBorders>
            <w:vAlign w:val="center"/>
          </w:tcPr>
          <w:p>
            <w:pPr>
              <w:jc w:val="cente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jc w:val="cente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jc w:val="cente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jc w:val="center"/>
              <w:rPr>
                <w:rFonts w:hint="default"/>
              </w:rPr>
            </w:pPr>
            <w:r>
              <w:rPr>
                <w:rFonts w:hint="default" w:cs="Calibri"/>
                <w:kern w:val="0"/>
                <w:sz w:val="20"/>
                <w:szCs w:val="20"/>
                <w:lang w:bidi="ar"/>
              </w:rPr>
              <w:t>1</w:t>
            </w:r>
          </w:p>
        </w:tc>
      </w:tr>
    </w:tbl>
    <w:p>
      <w:pPr>
        <w:pStyle w:val="2"/>
        <w:ind w:left="420" w:leftChars="200"/>
      </w:pPr>
    </w:p>
    <w:p>
      <w:pPr>
        <w:pStyle w:val="2"/>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rPr>
            </w:pPr>
            <w:r>
              <w:rPr>
                <w:rFonts w:ascii="黑体" w:hAnsi="宋体" w:eastAsia="黑体" w:cs="黑体"/>
                <w:kern w:val="0"/>
                <w:sz w:val="20"/>
                <w:szCs w:val="20"/>
                <w:lang w:bidi="ar"/>
              </w:rPr>
              <w:t> </w:t>
            </w:r>
            <w:r>
              <w:rPr>
                <w:rFonts w:hint="default" w:ascii="黑体" w:hAnsi="宋体" w:eastAsia="黑体" w:cs="黑体"/>
                <w:kern w:val="0"/>
                <w:sz w:val="20"/>
                <w:szCs w:val="20"/>
                <w:lang w:bidi="ar"/>
              </w:rPr>
              <w:t>1</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rPr>
            </w:pPr>
            <w:r>
              <w:rPr>
                <w:rFonts w:hint="default" w:ascii="黑体" w:hAnsi="宋体" w:eastAsia="黑体" w:cs="黑体"/>
                <w:kern w:val="0"/>
                <w:sz w:val="20"/>
                <w:szCs w:val="20"/>
                <w:lang w:bidi="ar"/>
              </w:rPr>
              <w:t>1</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r>
              <w:rPr>
                <w:rFonts w:hint="eastAsia" w:ascii="宋体"/>
                <w:sz w:val="24"/>
              </w:rPr>
              <w:t>0</w:t>
            </w:r>
          </w:p>
        </w:tc>
      </w:tr>
    </w:tbl>
    <w:p>
      <w:pPr>
        <w:widowControl/>
        <w:jc w:val="left"/>
      </w:pPr>
    </w:p>
    <w:p>
      <w:pPr>
        <w:spacing w:line="560" w:lineRule="exact"/>
        <w:ind w:firstLine="640" w:firstLineChars="200"/>
        <w:rPr>
          <w:rFonts w:ascii="黑体" w:hAnsi="黑体" w:eastAsia="黑体" w:cs="黑体"/>
          <w:sz w:val="32"/>
          <w:szCs w:val="32"/>
        </w:rPr>
      </w:pPr>
      <w:r>
        <w:rPr>
          <w:rFonts w:ascii="黑体" w:hAnsi="黑体" w:eastAsia="黑体" w:cs="黑体"/>
          <w:sz w:val="32"/>
          <w:szCs w:val="32"/>
        </w:rPr>
        <w:t>五、存在的主要问题及改进情况</w:t>
      </w:r>
    </w:p>
    <w:p>
      <w:pPr>
        <w:ind w:firstLine="640" w:firstLineChars="200"/>
        <w:rPr>
          <w:rFonts w:hint="default" w:ascii="仿宋_GB2312" w:eastAsia="仿宋_GB2312"/>
          <w:sz w:val="32"/>
          <w:szCs w:val="32"/>
          <w:lang w:eastAsia="zh-Hans"/>
        </w:rPr>
      </w:pPr>
      <w:r>
        <w:rPr>
          <w:rFonts w:hint="eastAsia" w:ascii="仿宋_GB2312" w:eastAsia="仿宋_GB2312"/>
          <w:sz w:val="32"/>
          <w:szCs w:val="32"/>
        </w:rPr>
        <w:t>一是</w:t>
      </w:r>
      <w:r>
        <w:rPr>
          <w:rFonts w:hint="eastAsia" w:ascii="仿宋_GB2312" w:eastAsia="仿宋_GB2312"/>
          <w:sz w:val="32"/>
          <w:szCs w:val="32"/>
          <w:lang w:val="en-US" w:eastAsia="zh-Hans"/>
        </w:rPr>
        <w:t>针对</w:t>
      </w:r>
      <w:r>
        <w:rPr>
          <w:rFonts w:hint="eastAsia" w:ascii="仿宋_GB2312" w:eastAsia="仿宋_GB2312"/>
          <w:sz w:val="32"/>
          <w:szCs w:val="32"/>
        </w:rPr>
        <w:t>政府信息公开制度建设还需进一步加强</w:t>
      </w:r>
      <w:r>
        <w:rPr>
          <w:rFonts w:hint="eastAsia" w:ascii="仿宋_GB2312" w:eastAsia="仿宋_GB2312"/>
          <w:sz w:val="32"/>
          <w:szCs w:val="32"/>
          <w:lang w:val="en-US" w:eastAsia="zh-Hans"/>
        </w:rPr>
        <w:t>的问题</w:t>
      </w:r>
      <w:r>
        <w:rPr>
          <w:rFonts w:hint="default" w:ascii="仿宋_GB2312" w:eastAsia="仿宋_GB2312"/>
          <w:sz w:val="32"/>
          <w:szCs w:val="32"/>
          <w:lang w:eastAsia="zh-Hans"/>
        </w:rPr>
        <w:t>，</w:t>
      </w:r>
      <w:r>
        <w:rPr>
          <w:rFonts w:hint="eastAsia" w:ascii="仿宋_GB2312" w:eastAsia="仿宋_GB2312"/>
          <w:sz w:val="32"/>
          <w:szCs w:val="32"/>
          <w:lang w:val="en-US" w:eastAsia="zh-Hans"/>
        </w:rPr>
        <w:t>我局下发了</w:t>
      </w:r>
      <w:r>
        <w:rPr>
          <w:rFonts w:hint="default" w:ascii="仿宋_GB2312" w:eastAsia="仿宋_GB2312"/>
          <w:sz w:val="32"/>
          <w:szCs w:val="32"/>
          <w:lang w:eastAsia="zh-Hans"/>
        </w:rPr>
        <w:t>《</w:t>
      </w:r>
      <w:r>
        <w:rPr>
          <w:rFonts w:hint="eastAsia" w:ascii="仿宋_GB2312" w:eastAsia="仿宋_GB2312"/>
          <w:sz w:val="32"/>
          <w:szCs w:val="32"/>
          <w:lang w:val="en-US" w:eastAsia="zh-Hans"/>
        </w:rPr>
        <w:t>关于进一步规范政务公开相关工作的通知</w:t>
      </w:r>
      <w:r>
        <w:rPr>
          <w:rFonts w:hint="default" w:ascii="仿宋_GB2312" w:eastAsia="仿宋_GB2312"/>
          <w:sz w:val="32"/>
          <w:szCs w:val="32"/>
          <w:lang w:eastAsia="zh-Hans"/>
        </w:rPr>
        <w:t>》，</w:t>
      </w:r>
      <w:r>
        <w:rPr>
          <w:rFonts w:hint="eastAsia" w:ascii="仿宋_GB2312" w:eastAsia="仿宋_GB2312"/>
          <w:sz w:val="32"/>
          <w:szCs w:val="32"/>
          <w:lang w:val="en-US" w:eastAsia="zh-Hans"/>
        </w:rPr>
        <w:t>对公众参与</w:t>
      </w:r>
      <w:r>
        <w:rPr>
          <w:rFonts w:hint="default" w:ascii="仿宋_GB2312" w:eastAsia="仿宋_GB2312"/>
          <w:sz w:val="32"/>
          <w:szCs w:val="32"/>
          <w:lang w:eastAsia="zh-Hans"/>
        </w:rPr>
        <w:t>、</w:t>
      </w:r>
      <w:r>
        <w:rPr>
          <w:rFonts w:hint="eastAsia" w:ascii="仿宋_GB2312" w:eastAsia="仿宋_GB2312"/>
          <w:sz w:val="32"/>
          <w:szCs w:val="32"/>
          <w:lang w:val="en-US" w:eastAsia="zh-Hans"/>
        </w:rPr>
        <w:t>政策性文件征求意见明确了相应制度</w:t>
      </w:r>
      <w:r>
        <w:rPr>
          <w:rFonts w:hint="default" w:ascii="仿宋_GB2312" w:eastAsia="仿宋_GB2312"/>
          <w:sz w:val="32"/>
          <w:szCs w:val="32"/>
          <w:lang w:eastAsia="zh-Hans"/>
        </w:rPr>
        <w:t>，</w:t>
      </w:r>
      <w:r>
        <w:rPr>
          <w:rFonts w:hint="eastAsia" w:ascii="仿宋_GB2312" w:eastAsia="仿宋_GB2312"/>
          <w:sz w:val="32"/>
          <w:szCs w:val="32"/>
          <w:lang w:val="en-US" w:eastAsia="zh-Hans"/>
        </w:rPr>
        <w:t>提升了信息公开工作制度化水平</w:t>
      </w:r>
      <w:r>
        <w:rPr>
          <w:rFonts w:hint="default" w:ascii="仿宋_GB2312" w:eastAsia="仿宋_GB2312"/>
          <w:sz w:val="32"/>
          <w:szCs w:val="32"/>
          <w:lang w:eastAsia="zh-Hans"/>
        </w:rPr>
        <w:t>。</w:t>
      </w:r>
    </w:p>
    <w:p>
      <w:pPr>
        <w:ind w:firstLine="640" w:firstLineChars="200"/>
        <w:rPr>
          <w:rFonts w:hint="default" w:ascii="仿宋_GB2312" w:hAnsi="宋体" w:eastAsia="仿宋_GB2312" w:cs="宋体"/>
          <w:spacing w:val="8"/>
          <w:kern w:val="0"/>
          <w:sz w:val="32"/>
          <w:szCs w:val="32"/>
          <w:lang w:eastAsia="zh-Hans"/>
        </w:rPr>
      </w:pPr>
      <w:r>
        <w:rPr>
          <w:rFonts w:hint="eastAsia" w:ascii="仿宋_GB2312" w:eastAsia="仿宋_GB2312"/>
          <w:sz w:val="32"/>
          <w:szCs w:val="32"/>
          <w:lang w:val="en-US" w:eastAsia="zh-Hans"/>
        </w:rPr>
        <w:t>二是针</w:t>
      </w:r>
      <w:r>
        <w:rPr>
          <w:rFonts w:hint="eastAsia" w:ascii="仿宋_GB2312" w:hAnsi="宋体" w:eastAsia="仿宋_GB2312" w:cs="宋体"/>
          <w:spacing w:val="8"/>
          <w:kern w:val="0"/>
          <w:sz w:val="32"/>
          <w:szCs w:val="32"/>
        </w:rPr>
        <w:t>多渠道多资源协调机制还需进一步完善</w:t>
      </w:r>
      <w:r>
        <w:rPr>
          <w:rFonts w:hint="eastAsia" w:ascii="仿宋_GB2312" w:hAnsi="宋体" w:eastAsia="仿宋_GB2312" w:cs="宋体"/>
          <w:spacing w:val="8"/>
          <w:kern w:val="0"/>
          <w:sz w:val="32"/>
          <w:szCs w:val="32"/>
          <w:lang w:val="en-US" w:eastAsia="zh-Hans"/>
        </w:rPr>
        <w:t>的问题</w:t>
      </w:r>
      <w:r>
        <w:rPr>
          <w:rFonts w:hint="default" w:ascii="仿宋_GB2312" w:hAnsi="宋体" w:eastAsia="仿宋_GB2312" w:cs="宋体"/>
          <w:spacing w:val="8"/>
          <w:kern w:val="0"/>
          <w:sz w:val="32"/>
          <w:szCs w:val="32"/>
          <w:lang w:eastAsia="zh-Hans"/>
        </w:rPr>
        <w:t>，</w:t>
      </w:r>
      <w:r>
        <w:rPr>
          <w:rFonts w:hint="eastAsia" w:ascii="仿宋_GB2312" w:hAnsi="宋体" w:eastAsia="仿宋_GB2312" w:cs="宋体"/>
          <w:spacing w:val="8"/>
          <w:kern w:val="0"/>
          <w:sz w:val="32"/>
          <w:szCs w:val="32"/>
          <w:lang w:val="en-US" w:eastAsia="zh-Hans"/>
        </w:rPr>
        <w:t>我局</w:t>
      </w:r>
      <w:r>
        <w:rPr>
          <w:rFonts w:hint="eastAsia" w:ascii="仿宋_GB2312" w:eastAsia="仿宋_GB2312"/>
          <w:sz w:val="32"/>
          <w:szCs w:val="32"/>
          <w:lang w:val="en-US" w:eastAsia="zh-Hans"/>
        </w:rPr>
        <w:t>整合了包括</w:t>
      </w:r>
      <w:r>
        <w:rPr>
          <w:rFonts w:hint="eastAsia" w:ascii="仿宋_GB2312" w:hAnsi="宋体" w:eastAsia="仿宋_GB2312" w:cs="宋体"/>
          <w:spacing w:val="8"/>
          <w:kern w:val="0"/>
          <w:sz w:val="32"/>
          <w:szCs w:val="32"/>
        </w:rPr>
        <w:t>微博、微信、今日头条、百家号、快手和抖音等6个平台开设的“北京文博”官方账号</w:t>
      </w:r>
      <w:r>
        <w:rPr>
          <w:rFonts w:hint="default" w:ascii="仿宋_GB2312" w:hAnsi="宋体" w:eastAsia="仿宋_GB2312" w:cs="宋体"/>
          <w:spacing w:val="8"/>
          <w:kern w:val="0"/>
          <w:sz w:val="32"/>
          <w:szCs w:val="32"/>
        </w:rPr>
        <w:t>，</w:t>
      </w:r>
      <w:r>
        <w:rPr>
          <w:rFonts w:hint="eastAsia" w:ascii="仿宋_GB2312" w:hAnsi="宋体" w:eastAsia="仿宋_GB2312" w:cs="宋体"/>
          <w:spacing w:val="8"/>
          <w:kern w:val="0"/>
          <w:sz w:val="32"/>
          <w:szCs w:val="32"/>
          <w:lang w:val="en-US" w:eastAsia="zh-Hans"/>
        </w:rPr>
        <w:t>形成了北京市文物局政务新媒体矩阵</w:t>
      </w:r>
      <w:r>
        <w:rPr>
          <w:rFonts w:hint="default" w:ascii="仿宋_GB2312" w:hAnsi="宋体" w:eastAsia="仿宋_GB2312" w:cs="宋体"/>
          <w:spacing w:val="8"/>
          <w:kern w:val="0"/>
          <w:sz w:val="32"/>
          <w:szCs w:val="32"/>
          <w:lang w:eastAsia="zh-Hans"/>
        </w:rPr>
        <w:t>。</w:t>
      </w:r>
    </w:p>
    <w:p>
      <w:pPr>
        <w:ind w:firstLine="672" w:firstLineChars="200"/>
        <w:rPr>
          <w:rFonts w:hint="default" w:ascii="仿宋_GB2312" w:eastAsia="仿宋_GB2312"/>
          <w:sz w:val="32"/>
          <w:szCs w:val="32"/>
          <w:lang w:val="en-US" w:eastAsia="zh-Hans"/>
        </w:rPr>
      </w:pPr>
      <w:r>
        <w:rPr>
          <w:rFonts w:hint="eastAsia" w:ascii="仿宋_GB2312" w:hAnsi="宋体" w:eastAsia="仿宋_GB2312" w:cs="宋体"/>
          <w:spacing w:val="8"/>
          <w:kern w:val="0"/>
          <w:sz w:val="32"/>
          <w:szCs w:val="32"/>
          <w:lang w:val="en-US" w:eastAsia="zh-Hans"/>
        </w:rPr>
        <w:t>三</w:t>
      </w:r>
      <w:bookmarkStart w:id="2" w:name="_GoBack"/>
      <w:bookmarkEnd w:id="2"/>
      <w:r>
        <w:rPr>
          <w:rFonts w:hint="eastAsia" w:ascii="仿宋_GB2312" w:hAnsi="宋体" w:eastAsia="仿宋_GB2312" w:cs="宋体"/>
          <w:spacing w:val="8"/>
          <w:kern w:val="0"/>
          <w:sz w:val="32"/>
          <w:szCs w:val="32"/>
          <w:lang w:val="en-US" w:eastAsia="zh-Hans"/>
        </w:rPr>
        <w:t>是针对</w:t>
      </w:r>
      <w:r>
        <w:rPr>
          <w:rFonts w:ascii="仿宋_GB2312" w:hAnsi="宋体" w:eastAsia="仿宋_GB2312" w:cs="宋体"/>
          <w:spacing w:val="8"/>
          <w:kern w:val="0"/>
          <w:sz w:val="32"/>
          <w:szCs w:val="32"/>
        </w:rPr>
        <w:t>政策解读内容可读性、易读性</w:t>
      </w:r>
      <w:r>
        <w:rPr>
          <w:rFonts w:hint="eastAsia" w:ascii="仿宋_GB2312" w:hAnsi="宋体" w:eastAsia="仿宋_GB2312" w:cs="宋体"/>
          <w:spacing w:val="8"/>
          <w:kern w:val="0"/>
          <w:sz w:val="32"/>
          <w:szCs w:val="32"/>
        </w:rPr>
        <w:t>有待进一步</w:t>
      </w:r>
      <w:r>
        <w:rPr>
          <w:rFonts w:ascii="仿宋_GB2312" w:hAnsi="宋体" w:eastAsia="仿宋_GB2312" w:cs="宋体"/>
          <w:spacing w:val="8"/>
          <w:kern w:val="0"/>
          <w:sz w:val="32"/>
          <w:szCs w:val="32"/>
        </w:rPr>
        <w:t>提高</w:t>
      </w:r>
      <w:r>
        <w:rPr>
          <w:rFonts w:hint="eastAsia" w:ascii="仿宋_GB2312" w:hAnsi="宋体" w:eastAsia="仿宋_GB2312" w:cs="宋体"/>
          <w:spacing w:val="8"/>
          <w:kern w:val="0"/>
          <w:sz w:val="32"/>
          <w:szCs w:val="32"/>
          <w:lang w:val="en-US" w:eastAsia="zh-Hans"/>
        </w:rPr>
        <w:t>的问题</w:t>
      </w:r>
      <w:r>
        <w:rPr>
          <w:rFonts w:ascii="仿宋_GB2312" w:hAnsi="宋体" w:eastAsia="仿宋_GB2312" w:cs="宋体"/>
          <w:spacing w:val="8"/>
          <w:kern w:val="0"/>
          <w:sz w:val="32"/>
          <w:szCs w:val="32"/>
        </w:rPr>
        <w:t>，</w:t>
      </w:r>
      <w:r>
        <w:rPr>
          <w:rFonts w:hint="eastAsia" w:ascii="仿宋_GB2312" w:hAnsi="宋体" w:eastAsia="仿宋_GB2312" w:cs="宋体"/>
          <w:spacing w:val="8"/>
          <w:kern w:val="0"/>
          <w:sz w:val="32"/>
          <w:szCs w:val="32"/>
          <w:lang w:val="en-US" w:eastAsia="zh-Hans"/>
        </w:rPr>
        <w:t>我局本年度注重优化解读形式</w:t>
      </w:r>
      <w:r>
        <w:rPr>
          <w:rFonts w:hint="default" w:ascii="仿宋_GB2312" w:hAnsi="宋体" w:eastAsia="仿宋_GB2312" w:cs="宋体"/>
          <w:spacing w:val="8"/>
          <w:kern w:val="0"/>
          <w:sz w:val="32"/>
          <w:szCs w:val="32"/>
          <w:lang w:eastAsia="zh-Hans"/>
        </w:rPr>
        <w:t>，</w:t>
      </w:r>
      <w:r>
        <w:rPr>
          <w:rFonts w:hint="eastAsia" w:ascii="仿宋_GB2312" w:hAnsi="仿宋_GB2312" w:eastAsia="仿宋_GB2312" w:cs="仿宋_GB2312"/>
          <w:sz w:val="32"/>
          <w:szCs w:val="32"/>
          <w:lang w:val="en-US" w:eastAsia="zh-CN"/>
        </w:rPr>
        <w:t>增加了视频解读、动画解读形式。</w:t>
      </w:r>
      <w:r>
        <w:rPr>
          <w:rFonts w:hint="eastAsia" w:ascii="仿宋_GB2312" w:hAnsi="仿宋_GB2312" w:eastAsia="仿宋_GB2312" w:cs="仿宋_GB2312"/>
          <w:color w:val="000000"/>
          <w:sz w:val="32"/>
          <w:szCs w:val="32"/>
          <w:lang w:val="en-US" w:eastAsia="zh-CN"/>
        </w:rPr>
        <w:t>政务新媒体围绕重点政策进行了解读，在解读过程中充分采用图表图解、音频视频等群众喜闻乐见的展现形式。</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ind w:firstLine="640" w:firstLineChars="200"/>
        <w:jc w:val="both"/>
        <w:rPr>
          <w:rFonts w:ascii="仿宋_GB2312" w:hAnsi="宋体" w:eastAsia="仿宋_GB2312" w:cs="宋体"/>
          <w:spacing w:val="8"/>
          <w:kern w:val="0"/>
          <w:sz w:val="32"/>
          <w:szCs w:val="32"/>
        </w:rPr>
      </w:pPr>
      <w:r>
        <w:rPr>
          <w:rFonts w:hint="eastAsia" w:ascii="仿宋_GB2312" w:hAnsi="仿宋_GB2312" w:eastAsia="仿宋_GB2312" w:cs="仿宋_GB2312"/>
          <w:sz w:val="32"/>
          <w:szCs w:val="32"/>
        </w:rPr>
        <w:t>发出收费通知的件数和总金额以及实际收取的总金额均为0。</w:t>
      </w:r>
    </w:p>
    <w:p>
      <w:pPr>
        <w:widowControl/>
        <w:spacing w:line="560" w:lineRule="exact"/>
        <w:ind w:firstLine="672" w:firstLineChars="200"/>
        <w:jc w:val="both"/>
        <w:rPr>
          <w:rFonts w:ascii="仿宋_GB2312" w:hAnsi="宋体" w:eastAsia="仿宋_GB2312" w:cs="宋体"/>
          <w:spacing w:val="8"/>
          <w:kern w:val="0"/>
          <w:sz w:val="32"/>
          <w:szCs w:val="32"/>
        </w:rPr>
      </w:pPr>
      <w:r>
        <w:rPr>
          <w:rFonts w:ascii="仿宋_GB2312" w:hAnsi="宋体" w:eastAsia="仿宋_GB2312" w:cs="宋体"/>
          <w:spacing w:val="8"/>
          <w:kern w:val="0"/>
          <w:sz w:val="32"/>
          <w:szCs w:val="32"/>
        </w:rPr>
        <w:t>北京市</w:t>
      </w:r>
      <w:r>
        <w:rPr>
          <w:rFonts w:hint="eastAsia" w:ascii="仿宋_GB2312" w:hAnsi="宋体" w:eastAsia="仿宋_GB2312" w:cs="宋体"/>
          <w:spacing w:val="8"/>
          <w:kern w:val="0"/>
          <w:sz w:val="32"/>
          <w:szCs w:val="32"/>
        </w:rPr>
        <w:t>文物局</w:t>
      </w:r>
      <w:r>
        <w:rPr>
          <w:rFonts w:ascii="仿宋_GB2312" w:hAnsi="宋体" w:eastAsia="仿宋_GB2312" w:cs="宋体"/>
          <w:spacing w:val="8"/>
          <w:kern w:val="0"/>
          <w:sz w:val="32"/>
          <w:szCs w:val="32"/>
        </w:rPr>
        <w:t>政府门户网站网址为http://wwj.beijing.gov.cn/，如需了解更多政府信息，请登录查询。</w:t>
      </w:r>
    </w:p>
    <w:p>
      <w:pPr>
        <w:pStyle w:val="2"/>
        <w:rPr>
          <w:rFonts w:ascii="仿宋_GB2312" w:hAnsi="宋体" w:eastAsia="仿宋_GB2312" w:cs="宋体"/>
          <w:b/>
          <w:bCs/>
          <w:color w:val="FF0000"/>
          <w:spacing w:val="8"/>
          <w:kern w:val="0"/>
          <w:sz w:val="32"/>
          <w:szCs w:val="32"/>
        </w:rPr>
      </w:pPr>
    </w:p>
    <w:p>
      <w:pPr>
        <w:pStyle w:val="2"/>
        <w:ind w:firstLine="640"/>
        <w:rPr>
          <w:rFonts w:ascii="仿宋_GB2312" w:hAnsi="仿宋_GB2312" w:eastAsia="仿宋_GB2312" w:cs="仿宋_GB2312"/>
          <w:sz w:val="32"/>
          <w:szCs w:val="32"/>
        </w:rPr>
      </w:pPr>
    </w:p>
    <w:p>
      <w:pPr>
        <w:pStyle w:val="2"/>
        <w:ind w:firstLine="675" w:firstLineChars="200"/>
        <w:rPr>
          <w:rFonts w:ascii="仿宋_GB2312" w:hAnsi="宋体" w:eastAsia="仿宋_GB2312" w:cs="宋体"/>
          <w:b/>
          <w:bCs/>
          <w:spacing w:val="8"/>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0" w:usb1="00000000" w:usb2="00000000" w:usb3="00000000" w:csb0="00060000" w:csb1="00000000"/>
  </w:font>
  <w:font w:name="仿宋_GB2312">
    <w:panose1 w:val="02010609030101010101"/>
    <w:charset w:val="86"/>
    <w:family w:val="modern"/>
    <w:pitch w:val="default"/>
    <w:sig w:usb0="00000000" w:usb1="00000000" w:usb2="00000000" w:usb3="00000000" w:csb0="00060000" w:csb1="00000000"/>
  </w:font>
  <w:font w:name="微软雅黑">
    <w:panose1 w:val="020B0503020204020204"/>
    <w:charset w:val="86"/>
    <w:family w:val="swiss"/>
    <w:pitch w:val="default"/>
    <w:sig w:usb0="00000000" w:usb1="00000000" w:usb2="00000000" w:usb3="00000000" w:csb0="00160000" w:csb1="00000000"/>
  </w:font>
  <w:font w:name="楷体">
    <w:panose1 w:val="02010609060101010101"/>
    <w:charset w:val="86"/>
    <w:family w:val="modern"/>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BB"/>
    <w:rsid w:val="00026D21"/>
    <w:rsid w:val="000955C4"/>
    <w:rsid w:val="000D6DFD"/>
    <w:rsid w:val="002155DF"/>
    <w:rsid w:val="002A1BEF"/>
    <w:rsid w:val="002F12BF"/>
    <w:rsid w:val="002F7DFB"/>
    <w:rsid w:val="003640C6"/>
    <w:rsid w:val="003A5DB7"/>
    <w:rsid w:val="003B6C51"/>
    <w:rsid w:val="00477483"/>
    <w:rsid w:val="00494086"/>
    <w:rsid w:val="00504F15"/>
    <w:rsid w:val="005105F4"/>
    <w:rsid w:val="0051225D"/>
    <w:rsid w:val="005126AF"/>
    <w:rsid w:val="00565776"/>
    <w:rsid w:val="005C077F"/>
    <w:rsid w:val="005C3094"/>
    <w:rsid w:val="005D7A7B"/>
    <w:rsid w:val="00614B09"/>
    <w:rsid w:val="00651229"/>
    <w:rsid w:val="0065439F"/>
    <w:rsid w:val="006932CE"/>
    <w:rsid w:val="00715A76"/>
    <w:rsid w:val="0074608D"/>
    <w:rsid w:val="00752681"/>
    <w:rsid w:val="007735F4"/>
    <w:rsid w:val="00816D3B"/>
    <w:rsid w:val="00825F79"/>
    <w:rsid w:val="008B7EE1"/>
    <w:rsid w:val="00900D8C"/>
    <w:rsid w:val="00941A9B"/>
    <w:rsid w:val="009C748E"/>
    <w:rsid w:val="00A006F4"/>
    <w:rsid w:val="00A1442A"/>
    <w:rsid w:val="00A45B09"/>
    <w:rsid w:val="00A700C2"/>
    <w:rsid w:val="00A816D3"/>
    <w:rsid w:val="00B20566"/>
    <w:rsid w:val="00B273F3"/>
    <w:rsid w:val="00BB4790"/>
    <w:rsid w:val="00BF49D3"/>
    <w:rsid w:val="00C74649"/>
    <w:rsid w:val="00C836F8"/>
    <w:rsid w:val="00CB2F27"/>
    <w:rsid w:val="00CE39EB"/>
    <w:rsid w:val="00CE67BB"/>
    <w:rsid w:val="00D0377F"/>
    <w:rsid w:val="00D438FE"/>
    <w:rsid w:val="00D7456E"/>
    <w:rsid w:val="00DB14E4"/>
    <w:rsid w:val="00DD6283"/>
    <w:rsid w:val="00DD6460"/>
    <w:rsid w:val="00E26E7D"/>
    <w:rsid w:val="00E675A6"/>
    <w:rsid w:val="00E94185"/>
    <w:rsid w:val="00F04011"/>
    <w:rsid w:val="00F47DF6"/>
    <w:rsid w:val="00F57731"/>
    <w:rsid w:val="00F945F2"/>
    <w:rsid w:val="00FB55EF"/>
    <w:rsid w:val="00FC65F9"/>
    <w:rsid w:val="00FD7340"/>
    <w:rsid w:val="1DDA08F5"/>
    <w:rsid w:val="6FB7131A"/>
    <w:rsid w:val="F67D1783"/>
    <w:rsid w:val="FCF376EA"/>
    <w:rsid w:val="FFEF5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纯文本 Char"/>
    <w:basedOn w:val="7"/>
    <w:link w:val="2"/>
    <w:qFormat/>
    <w:uiPriority w:val="0"/>
    <w:rPr>
      <w:rFonts w:ascii="宋体" w:hAnsi="Courier New"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397</Words>
  <Characters>2269</Characters>
  <Lines>18</Lines>
  <Paragraphs>5</Paragraphs>
  <TotalTime>26</TotalTime>
  <ScaleCrop>false</ScaleCrop>
  <LinksUpToDate>false</LinksUpToDate>
  <CharactersWithSpaces>2661</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2021-12-18T15:36:00Z</dcterms:created>
  <dc:creator>xiezengyang</dc:creator>
  <cp:lastModifiedBy>京辰</cp:lastModifiedBy>
  <dcterms:modified xsi:type="dcterms:W3CDTF">2023-01-18T14:28:48Z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4BEC3DC5143C3DEFF08CBF632EDAE3CB</vt:lpwstr>
  </property>
</Properties>
</file>