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center"/>
        <w:rPr>
          <w:rFonts w:hint="eastAsia" w:ascii="方正小标宋简体" w:hAnsi="方正小标宋简体" w:eastAsia="方正小标宋简体" w:cs="方正小标宋简体"/>
          <w:sz w:val="44"/>
          <w:szCs w:val="44"/>
          <w:lang w:eastAsia="zh-CN"/>
        </w:rPr>
      </w:pPr>
    </w:p>
    <w:p>
      <w:pPr>
        <w:spacing w:line="540" w:lineRule="exact"/>
        <w:jc w:val="center"/>
        <w:rPr>
          <w:rFonts w:hint="eastAsia" w:ascii="方正小标宋简体" w:hAnsi="方正小标宋简体" w:eastAsia="方正小标宋简体" w:cs="方正小标宋简体"/>
          <w:sz w:val="44"/>
          <w:szCs w:val="44"/>
          <w:lang w:eastAsia="zh-CN"/>
        </w:rPr>
      </w:pPr>
    </w:p>
    <w:p>
      <w:pPr>
        <w:spacing w:line="54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lang w:eastAsia="zh-CN"/>
        </w:rPr>
        <w:t>北京经济技术开发区管理委员会</w:t>
      </w:r>
      <w:r>
        <w:rPr>
          <w:rFonts w:hint="eastAsia" w:ascii="方正小标宋简体" w:hAnsi="方正小标宋简体" w:eastAsia="方正小标宋简体" w:cs="方正小标宋简体"/>
          <w:sz w:val="44"/>
          <w:szCs w:val="44"/>
        </w:rPr>
        <w:t>202</w:t>
      </w:r>
      <w:r>
        <w:rPr>
          <w:rFonts w:hint="eastAsia" w:ascii="方正小标宋简体" w:hAnsi="方正小标宋简体" w:eastAsia="方正小标宋简体" w:cs="方正小标宋简体"/>
          <w:sz w:val="44"/>
          <w:szCs w:val="44"/>
          <w:lang w:val="en-US" w:eastAsia="zh-CN"/>
        </w:rPr>
        <w:t>2</w:t>
      </w:r>
      <w:r>
        <w:rPr>
          <w:rFonts w:hint="eastAsia" w:ascii="方正小标宋简体" w:hAnsi="方正小标宋简体" w:eastAsia="方正小标宋简体" w:cs="方正小标宋简体"/>
          <w:sz w:val="44"/>
          <w:szCs w:val="44"/>
        </w:rPr>
        <w:t>年</w:t>
      </w:r>
    </w:p>
    <w:p>
      <w:pPr>
        <w:spacing w:line="540" w:lineRule="exact"/>
        <w:jc w:val="center"/>
        <w:rPr>
          <w:rFonts w:hint="eastAsia" w:ascii="方正小标宋简体" w:hAnsi="方正小标宋简体" w:eastAsia="方正小标宋简体" w:cs="方正小标宋简体"/>
          <w:sz w:val="44"/>
          <w:szCs w:val="44"/>
          <w:lang w:eastAsia="zh-CN"/>
        </w:rPr>
      </w:pPr>
      <w:r>
        <w:rPr>
          <w:rFonts w:hint="eastAsia" w:ascii="方正小标宋简体" w:hAnsi="方正小标宋简体" w:eastAsia="方正小标宋简体" w:cs="方正小标宋简体"/>
          <w:sz w:val="44"/>
          <w:szCs w:val="44"/>
        </w:rPr>
        <w:t>政府信息公开工作年度报告</w:t>
      </w:r>
    </w:p>
    <w:p>
      <w:pPr>
        <w:spacing w:line="560" w:lineRule="exact"/>
        <w:jc w:val="center"/>
        <w:rPr>
          <w:sz w:val="44"/>
          <w:szCs w:val="44"/>
        </w:rPr>
      </w:pPr>
    </w:p>
    <w:p>
      <w:pPr>
        <w:keepNext w:val="0"/>
        <w:keepLines w:val="0"/>
        <w:pageBreakBefore w:val="0"/>
        <w:widowControl/>
        <w:kinsoku/>
        <w:wordWrap/>
        <w:overflowPunct/>
        <w:topLinePunct w:val="0"/>
        <w:autoSpaceDE/>
        <w:autoSpaceDN/>
        <w:bidi w:val="0"/>
        <w:adjustRightInd/>
        <w:snapToGrid/>
        <w:spacing w:line="540" w:lineRule="exact"/>
        <w:ind w:firstLine="672" w:firstLineChars="200"/>
        <w:jc w:val="left"/>
        <w:textAlignment w:val="auto"/>
        <w:rPr>
          <w:rFonts w:hint="eastAsia" w:ascii="仿宋_GB2312" w:hAnsi="宋体" w:eastAsia="仿宋_GB2312" w:cs="宋体"/>
          <w:color w:val="auto"/>
          <w:spacing w:val="8"/>
          <w:kern w:val="0"/>
          <w:sz w:val="32"/>
          <w:szCs w:val="32"/>
        </w:rPr>
      </w:pPr>
      <w:r>
        <w:rPr>
          <w:rFonts w:hint="eastAsia" w:ascii="仿宋_GB2312" w:hAnsi="宋体" w:eastAsia="仿宋_GB2312" w:cs="宋体"/>
          <w:color w:val="auto"/>
          <w:spacing w:val="8"/>
          <w:kern w:val="0"/>
          <w:sz w:val="32"/>
          <w:szCs w:val="32"/>
        </w:rPr>
        <w:t>依据《中华人民共和国政府信息公开条例》(以下简称《政府信息公开条例》)第五十条规定，编制本报告。</w:t>
      </w:r>
    </w:p>
    <w:p>
      <w:pPr>
        <w:keepNext w:val="0"/>
        <w:keepLines w:val="0"/>
        <w:pageBreakBefore w:val="0"/>
        <w:widowControl/>
        <w:kinsoku/>
        <w:wordWrap/>
        <w:overflowPunct/>
        <w:topLinePunct w:val="0"/>
        <w:autoSpaceDE/>
        <w:autoSpaceDN/>
        <w:bidi w:val="0"/>
        <w:adjustRightInd/>
        <w:snapToGrid/>
        <w:spacing w:line="540" w:lineRule="exact"/>
        <w:ind w:firstLine="672" w:firstLineChars="200"/>
        <w:jc w:val="left"/>
        <w:textAlignment w:val="auto"/>
        <w:rPr>
          <w:rFonts w:hint="eastAsia" w:ascii="仿宋_GB2312" w:hAnsi="仿宋_GB2312" w:eastAsia="仿宋_GB2312" w:cs="仿宋_GB2312"/>
          <w:color w:val="auto"/>
          <w:sz w:val="32"/>
          <w:szCs w:val="32"/>
        </w:rPr>
      </w:pPr>
      <w:r>
        <w:rPr>
          <w:rFonts w:ascii="黑体" w:hAnsi="黑体" w:eastAsia="黑体" w:cs="宋体"/>
          <w:color w:val="auto"/>
          <w:spacing w:val="8"/>
          <w:kern w:val="0"/>
          <w:sz w:val="32"/>
          <w:szCs w:val="32"/>
        </w:rPr>
        <w:t>一、总体情况</w:t>
      </w:r>
    </w:p>
    <w:p>
      <w:pPr>
        <w:keepNext w:val="0"/>
        <w:keepLines w:val="0"/>
        <w:pageBreakBefore w:val="0"/>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color w:val="auto"/>
          <w:kern w:val="2"/>
          <w:sz w:val="32"/>
          <w:szCs w:val="32"/>
          <w:lang w:val="en-US" w:eastAsia="zh-CN"/>
        </w:rPr>
      </w:pPr>
      <w:r>
        <w:rPr>
          <w:rFonts w:hint="eastAsia" w:ascii="楷体_GB2312" w:hAnsi="楷体_GB2312" w:eastAsia="楷体_GB2312" w:cs="楷体_GB2312"/>
          <w:b w:val="0"/>
          <w:bCs w:val="0"/>
          <w:color w:val="auto"/>
          <w:kern w:val="2"/>
          <w:sz w:val="32"/>
          <w:szCs w:val="32"/>
          <w:lang w:val="en-US" w:eastAsia="zh-CN" w:bidi="ar-SA"/>
        </w:rPr>
        <w:t>（一）加强干部队伍建设，做好政府信息管理。</w:t>
      </w:r>
      <w:r>
        <w:rPr>
          <w:rFonts w:hint="eastAsia" w:ascii="仿宋_GB2312" w:hAnsi="仿宋_GB2312" w:eastAsia="仿宋_GB2312" w:cs="仿宋_GB2312"/>
          <w:b w:val="0"/>
          <w:bCs w:val="0"/>
          <w:color w:val="auto"/>
          <w:kern w:val="2"/>
          <w:sz w:val="32"/>
          <w:szCs w:val="32"/>
          <w:lang w:val="en-US" w:eastAsia="zh-CN" w:bidi="ar-SA"/>
        </w:rPr>
        <w:t>经开区</w:t>
      </w:r>
      <w:r>
        <w:rPr>
          <w:rFonts w:hint="eastAsia" w:ascii="仿宋_GB2312" w:hAnsi="宋体" w:eastAsia="仿宋_GB2312" w:cs="宋体"/>
          <w:color w:val="auto"/>
          <w:spacing w:val="8"/>
          <w:kern w:val="0"/>
          <w:sz w:val="32"/>
          <w:szCs w:val="32"/>
          <w:lang w:val="en-US" w:eastAsia="zh-CN"/>
        </w:rPr>
        <w:t>建立健全政府信息和政务公开工作机制，</w:t>
      </w:r>
      <w:r>
        <w:rPr>
          <w:rFonts w:hint="eastAsia" w:ascii="仿宋_GB2312" w:hAnsi="仿宋_GB2312" w:eastAsia="仿宋_GB2312" w:cs="仿宋_GB2312"/>
          <w:color w:val="auto"/>
          <w:sz w:val="32"/>
          <w:szCs w:val="32"/>
        </w:rPr>
        <w:t>专职人员负责依申请公开工作，</w:t>
      </w:r>
      <w:r>
        <w:rPr>
          <w:rFonts w:hint="eastAsia" w:ascii="仿宋_GB2312" w:eastAsia="仿宋_GB2312"/>
          <w:color w:val="auto"/>
          <w:sz w:val="32"/>
          <w:szCs w:val="32"/>
        </w:rPr>
        <w:t>确保</w:t>
      </w:r>
      <w:r>
        <w:rPr>
          <w:rFonts w:hint="eastAsia" w:ascii="仿宋_GB2312" w:eastAsia="仿宋_GB2312"/>
          <w:color w:val="auto"/>
          <w:sz w:val="32"/>
          <w:szCs w:val="32"/>
          <w:lang w:eastAsia="zh-CN"/>
        </w:rPr>
        <w:t>各种</w:t>
      </w:r>
      <w:r>
        <w:rPr>
          <w:rFonts w:hint="eastAsia" w:ascii="仿宋_GB2312" w:eastAsia="仿宋_GB2312"/>
          <w:color w:val="auto"/>
          <w:sz w:val="32"/>
          <w:szCs w:val="32"/>
        </w:rPr>
        <w:t>受理渠道和咨询电话畅通</w:t>
      </w:r>
      <w:r>
        <w:rPr>
          <w:rFonts w:hint="eastAsia" w:ascii="仿宋_GB2312" w:eastAsia="仿宋_GB2312"/>
          <w:color w:val="auto"/>
          <w:sz w:val="32"/>
          <w:szCs w:val="32"/>
          <w:lang w:eastAsia="zh-CN"/>
        </w:rPr>
        <w:t>，</w:t>
      </w:r>
      <w:r>
        <w:rPr>
          <w:rFonts w:hint="eastAsia" w:ascii="仿宋_GB2312" w:hAnsi="仿宋_GB2312" w:eastAsia="仿宋_GB2312" w:cs="仿宋_GB2312"/>
          <w:sz w:val="32"/>
          <w:szCs w:val="32"/>
          <w:lang w:eastAsia="zh-CN"/>
        </w:rPr>
        <w:t>及时修订政府信息公开指南，方便公众申请公开、查阅政府信息。信息管理，</w:t>
      </w:r>
      <w:r>
        <w:rPr>
          <w:rFonts w:hint="eastAsia" w:ascii="仿宋_GB2312" w:hAnsi="仿宋_GB2312" w:eastAsia="仿宋_GB2312" w:cs="仿宋_GB2312"/>
          <w:color w:val="auto"/>
          <w:kern w:val="2"/>
          <w:sz w:val="32"/>
          <w:szCs w:val="32"/>
          <w:lang w:eastAsia="zh-CN"/>
        </w:rPr>
        <w:t>在政府信息公开专栏设立规范性文件栏目，集中公开规范性文件并动态更新</w:t>
      </w:r>
      <w:r>
        <w:rPr>
          <w:rFonts w:hint="eastAsia" w:ascii="仿宋_GB2312" w:hAnsi="仿宋_GB2312" w:eastAsia="仿宋_GB2312" w:cs="仿宋_GB2312"/>
          <w:color w:val="auto"/>
          <w:kern w:val="2"/>
          <w:sz w:val="32"/>
          <w:szCs w:val="32"/>
          <w:lang w:val="en-US" w:eastAsia="zh-CN"/>
        </w:rPr>
        <w:t>。</w:t>
      </w:r>
    </w:p>
    <w:p>
      <w:pPr>
        <w:keepNext w:val="0"/>
        <w:keepLines w:val="0"/>
        <w:pageBreakBefore w:val="0"/>
        <w:numPr>
          <w:ilvl w:val="0"/>
          <w:numId w:val="1"/>
        </w:numPr>
        <w:kinsoku/>
        <w:wordWrap/>
        <w:overflowPunct/>
        <w:topLinePunct w:val="0"/>
        <w:autoSpaceDE/>
        <w:autoSpaceDN/>
        <w:bidi w:val="0"/>
        <w:adjustRightInd/>
        <w:snapToGrid/>
        <w:spacing w:line="540" w:lineRule="exact"/>
        <w:ind w:firstLine="640" w:firstLineChars="200"/>
        <w:jc w:val="left"/>
        <w:textAlignment w:val="auto"/>
        <w:rPr>
          <w:rFonts w:hint="eastAsia" w:ascii="仿宋_GB2312" w:hAnsi="仿宋_GB2312" w:eastAsia="仿宋_GB2312" w:cs="仿宋_GB2312"/>
          <w:sz w:val="32"/>
          <w:szCs w:val="32"/>
          <w:lang w:eastAsia="zh-CN"/>
        </w:rPr>
      </w:pPr>
      <w:r>
        <w:rPr>
          <w:rFonts w:hint="eastAsia" w:ascii="楷体_GB2312" w:hAnsi="楷体_GB2312" w:eastAsia="楷体_GB2312" w:cs="楷体_GB2312"/>
          <w:color w:val="auto"/>
          <w:kern w:val="2"/>
          <w:sz w:val="32"/>
          <w:szCs w:val="32"/>
          <w:lang w:val="en-US" w:eastAsia="zh-CN"/>
        </w:rPr>
        <w:t>推进主动公开，深化政策解读。</w:t>
      </w:r>
      <w:r>
        <w:rPr>
          <w:rFonts w:hint="eastAsia" w:ascii="仿宋_GB2312" w:hAnsi="仿宋_GB2312" w:eastAsia="仿宋_GB2312" w:cs="仿宋_GB2312"/>
          <w:color w:val="auto"/>
          <w:kern w:val="2"/>
          <w:sz w:val="32"/>
          <w:szCs w:val="32"/>
        </w:rPr>
        <w:t>不</w:t>
      </w:r>
      <w:r>
        <w:rPr>
          <w:rFonts w:hint="eastAsia" w:ascii="仿宋_GB2312" w:hAnsi="仿宋_GB2312" w:eastAsia="仿宋_GB2312" w:cs="仿宋_GB2312"/>
          <w:color w:val="auto"/>
          <w:sz w:val="32"/>
          <w:szCs w:val="32"/>
        </w:rPr>
        <w:t>断完善政府信息公开专栏设置，及时</w:t>
      </w:r>
      <w:r>
        <w:rPr>
          <w:rFonts w:hint="eastAsia" w:ascii="仿宋_GB2312" w:hAnsi="仿宋_GB2312" w:eastAsia="仿宋_GB2312" w:cs="仿宋_GB2312"/>
          <w:color w:val="auto"/>
          <w:sz w:val="32"/>
          <w:szCs w:val="32"/>
          <w:lang w:eastAsia="zh-CN"/>
        </w:rPr>
        <w:t>发布法定主动公开内容，做好政府信息公开指南修订工作。加强财政预决算信息公开，主动公开了《</w:t>
      </w:r>
      <w:r>
        <w:rPr>
          <w:rFonts w:hint="eastAsia" w:ascii="仿宋_GB2312" w:hAnsi="仿宋_GB2312" w:eastAsia="仿宋_GB2312" w:cs="仿宋_GB2312"/>
          <w:color w:val="auto"/>
          <w:sz w:val="32"/>
          <w:szCs w:val="32"/>
        </w:rPr>
        <w:t>北京经济技术开发区202</w:t>
      </w: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年部门预算信息</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北京经济技术开发区财政审计局202</w:t>
      </w: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年度部门决算</w:t>
      </w:r>
      <w:r>
        <w:rPr>
          <w:rFonts w:hint="eastAsia" w:ascii="仿宋_GB2312" w:hAnsi="仿宋_GB2312" w:eastAsia="仿宋_GB2312" w:cs="仿宋_GB2312"/>
          <w:color w:val="auto"/>
          <w:sz w:val="32"/>
          <w:szCs w:val="32"/>
          <w:lang w:eastAsia="zh-CN"/>
        </w:rPr>
        <w:t>》等财政信息；</w:t>
      </w:r>
      <w:r>
        <w:rPr>
          <w:rFonts w:hint="eastAsia" w:ascii="仿宋_GB2312" w:hAnsi="仿宋_GB2312" w:eastAsia="仿宋_GB2312" w:cs="仿宋_GB2312"/>
          <w:sz w:val="32"/>
          <w:szCs w:val="32"/>
        </w:rPr>
        <w:t>主动公开了</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eastAsia="zh-CN"/>
        </w:rPr>
        <w:fldChar w:fldCharType="begin"/>
      </w:r>
      <w:r>
        <w:rPr>
          <w:rFonts w:hint="eastAsia" w:ascii="仿宋_GB2312" w:hAnsi="仿宋_GB2312" w:eastAsia="仿宋_GB2312" w:cs="仿宋_GB2312"/>
          <w:sz w:val="32"/>
          <w:szCs w:val="32"/>
          <w:lang w:eastAsia="zh-CN"/>
        </w:rPr>
        <w:instrText xml:space="preserve"> HYPERLINK "http://kfqgw.beijing.gov.cn/zwgkkfq/zcfg/zcwj/bqzc/202212/t20221214_2878754.html" \o "北京经济技术开发区管理委员会关于印发《北京经济技术开发区关于推动复工复产 支持企业高质量发展的若干措施》的通知" \t "http://kfqgw.beijing.gov.cn/zwgkkfq/zcfg/zcwj/bqzc/_blank" </w:instrText>
      </w:r>
      <w:r>
        <w:rPr>
          <w:rFonts w:hint="eastAsia" w:ascii="仿宋_GB2312" w:hAnsi="仿宋_GB2312" w:eastAsia="仿宋_GB2312" w:cs="仿宋_GB2312"/>
          <w:sz w:val="32"/>
          <w:szCs w:val="32"/>
          <w:lang w:eastAsia="zh-CN"/>
        </w:rPr>
        <w:fldChar w:fldCharType="separate"/>
      </w:r>
      <w:r>
        <w:rPr>
          <w:rFonts w:hint="eastAsia" w:ascii="仿宋_GB2312" w:hAnsi="仿宋_GB2312" w:eastAsia="仿宋_GB2312" w:cs="仿宋_GB2312"/>
          <w:sz w:val="32"/>
          <w:szCs w:val="32"/>
          <w:lang w:eastAsia="zh-CN"/>
        </w:rPr>
        <w:t>北京经济技术开发区管理委员会关于印发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北京经济技术开发区关于推动复工复产 支持企业高质量发展的若干措施</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w:t>
      </w:r>
      <w:r>
        <w:rPr>
          <w:rFonts w:hint="eastAsia" w:ascii="仿宋_GB2312" w:hAnsi="仿宋_GB2312" w:eastAsia="仿宋_GB2312" w:cs="仿宋_GB2312"/>
          <w:sz w:val="32"/>
          <w:szCs w:val="32"/>
          <w:lang w:eastAsia="zh-CN"/>
        </w:rPr>
        <w:fldChar w:fldCharType="end"/>
      </w:r>
      <w:r>
        <w:rPr>
          <w:rFonts w:hint="eastAsia" w:ascii="仿宋_GB2312" w:hAnsi="仿宋_GB2312" w:eastAsia="仿宋_GB2312" w:cs="仿宋_GB2312"/>
          <w:sz w:val="32"/>
          <w:szCs w:val="32"/>
          <w:lang w:eastAsia="zh-CN"/>
        </w:rPr>
        <w:t>》《关于印发</w:t>
      </w:r>
      <w:r>
        <w:rPr>
          <w:rFonts w:hint="eastAsia" w:ascii="仿宋_GB2312" w:hAnsi="仿宋_GB2312" w:eastAsia="仿宋_GB2312" w:cs="仿宋_GB2312"/>
          <w:sz w:val="32"/>
          <w:szCs w:val="32"/>
          <w:lang w:val="en-US" w:eastAsia="zh-CN"/>
        </w:rPr>
        <w:t>&lt;</w:t>
      </w:r>
      <w:r>
        <w:rPr>
          <w:rFonts w:hint="eastAsia" w:ascii="仿宋_GB2312" w:hAnsi="仿宋_GB2312" w:eastAsia="仿宋_GB2312" w:cs="仿宋_GB2312"/>
          <w:sz w:val="32"/>
          <w:szCs w:val="32"/>
          <w:lang w:eastAsia="zh-CN"/>
        </w:rPr>
        <w:t>北京经济技术开发区关于贯彻新发展理念加快亦庄新城高质量发展的若干措施（4.0版）</w:t>
      </w:r>
      <w:r>
        <w:rPr>
          <w:rFonts w:hint="eastAsia" w:ascii="仿宋_GB2312" w:hAnsi="仿宋_GB2312" w:eastAsia="仿宋_GB2312" w:cs="仿宋_GB2312"/>
          <w:sz w:val="32"/>
          <w:szCs w:val="32"/>
          <w:lang w:val="en-US" w:eastAsia="zh-CN"/>
        </w:rPr>
        <w:t>&gt;</w:t>
      </w:r>
      <w:r>
        <w:rPr>
          <w:rFonts w:hint="eastAsia" w:ascii="仿宋_GB2312" w:hAnsi="仿宋_GB2312" w:eastAsia="仿宋_GB2312" w:cs="仿宋_GB2312"/>
          <w:sz w:val="32"/>
          <w:szCs w:val="32"/>
          <w:lang w:eastAsia="zh-CN"/>
        </w:rPr>
        <w:t>的通知》等复工复产和高质量发展相关信息；加强财政性资金管理使用情况公开，规范中介服务管理，在北京市中介服务网上交易平台完成</w:t>
      </w:r>
      <w:r>
        <w:rPr>
          <w:rFonts w:hint="eastAsia" w:ascii="仿宋_GB2312" w:hAnsi="仿宋_GB2312" w:eastAsia="仿宋_GB2312" w:cs="仿宋_GB2312"/>
          <w:sz w:val="32"/>
          <w:szCs w:val="32"/>
          <w:lang w:val="en-US" w:eastAsia="zh-CN"/>
        </w:rPr>
        <w:t>53个项目的中介服务机构的选取工作</w:t>
      </w:r>
      <w:r>
        <w:rPr>
          <w:rFonts w:hint="eastAsia" w:ascii="仿宋_GB2312" w:hAnsi="仿宋_GB2312" w:eastAsia="仿宋_GB2312" w:cs="仿宋_GB2312"/>
          <w:sz w:val="32"/>
          <w:szCs w:val="32"/>
          <w:lang w:eastAsia="zh-CN"/>
        </w:rPr>
        <w:t>。</w:t>
      </w:r>
    </w:p>
    <w:p>
      <w:pPr>
        <w:keepNext w:val="0"/>
        <w:keepLines w:val="0"/>
        <w:pageBreakBefore w:val="0"/>
        <w:kinsoku/>
        <w:wordWrap/>
        <w:overflowPunct/>
        <w:topLinePunct w:val="0"/>
        <w:autoSpaceDE/>
        <w:autoSpaceDN/>
        <w:bidi w:val="0"/>
        <w:adjustRightInd/>
        <w:snapToGrid/>
        <w:spacing w:line="54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采用多种形式解读政策，</w:t>
      </w:r>
      <w:r>
        <w:rPr>
          <w:rFonts w:hint="eastAsia" w:ascii="仿宋_GB2312" w:hAnsi="仿宋_GB2312" w:eastAsia="仿宋_GB2312" w:cs="仿宋_GB2312"/>
          <w:sz w:val="32"/>
          <w:szCs w:val="32"/>
          <w:lang w:val="en-US" w:eastAsia="zh-CN"/>
        </w:rPr>
        <w:t>本年发布的《北京经济技术开发区关于贯彻新发展理念加快亦庄新城高质量发展的若干措施（4.0版）》等15</w:t>
      </w:r>
      <w:r>
        <w:rPr>
          <w:rFonts w:hint="eastAsia" w:ascii="仿宋_GB2312" w:hAnsi="仿宋_GB2312" w:eastAsia="仿宋_GB2312" w:cs="仿宋_GB2312"/>
          <w:sz w:val="32"/>
          <w:szCs w:val="32"/>
        </w:rPr>
        <w:t>个</w:t>
      </w:r>
      <w:r>
        <w:rPr>
          <w:rFonts w:hint="eastAsia" w:ascii="仿宋_GB2312" w:hAnsi="仿宋_GB2312" w:eastAsia="仿宋_GB2312" w:cs="仿宋_GB2312"/>
          <w:sz w:val="32"/>
          <w:szCs w:val="32"/>
          <w:lang w:eastAsia="zh-CN"/>
        </w:rPr>
        <w:t>应解读</w:t>
      </w:r>
      <w:r>
        <w:rPr>
          <w:rFonts w:hint="eastAsia" w:ascii="仿宋_GB2312" w:hAnsi="仿宋_GB2312" w:eastAsia="仿宋_GB2312" w:cs="仿宋_GB2312"/>
          <w:sz w:val="32"/>
          <w:szCs w:val="32"/>
        </w:rPr>
        <w:t>政策性文件均配发政策解读</w:t>
      </w:r>
      <w:r>
        <w:rPr>
          <w:rFonts w:hint="eastAsia" w:ascii="仿宋_GB2312" w:hAnsi="仿宋_GB2312" w:eastAsia="仿宋_GB2312" w:cs="仿宋_GB2312"/>
          <w:sz w:val="32"/>
          <w:szCs w:val="32"/>
          <w:lang w:eastAsia="zh-CN"/>
        </w:rPr>
        <w:t>或</w:t>
      </w:r>
      <w:r>
        <w:rPr>
          <w:rFonts w:hint="eastAsia" w:ascii="仿宋_GB2312" w:hAnsi="仿宋_GB2312" w:eastAsia="仿宋_GB2312" w:cs="仿宋_GB2312"/>
          <w:sz w:val="32"/>
          <w:szCs w:val="32"/>
        </w:rPr>
        <w:t>政策简明问答</w:t>
      </w:r>
      <w:r>
        <w:rPr>
          <w:rFonts w:hint="eastAsia" w:ascii="仿宋_GB2312" w:hAnsi="仿宋_GB2312" w:eastAsia="仿宋_GB2312" w:cs="仿宋_GB2312"/>
          <w:sz w:val="32"/>
          <w:szCs w:val="32"/>
          <w:lang w:eastAsia="zh-CN"/>
        </w:rPr>
        <w:t>、一图读懂等解读内容，部分政策还同时配发视频解读。</w:t>
      </w:r>
    </w:p>
    <w:p>
      <w:pPr>
        <w:pStyle w:val="2"/>
        <w:keepNext w:val="0"/>
        <w:keepLines w:val="0"/>
        <w:pageBreakBefore w:val="0"/>
        <w:numPr>
          <w:ilvl w:val="0"/>
          <w:numId w:val="0"/>
        </w:numPr>
        <w:kinsoku/>
        <w:wordWrap/>
        <w:overflowPunct/>
        <w:topLinePunct w:val="0"/>
        <w:autoSpaceDE/>
        <w:autoSpaceDN/>
        <w:bidi w:val="0"/>
        <w:adjustRightInd/>
        <w:snapToGrid/>
        <w:spacing w:line="540" w:lineRule="exact"/>
        <w:textAlignment w:val="auto"/>
        <w:rPr>
          <w:rFonts w:hint="eastAsia" w:ascii="仿宋_GB2312" w:hAnsi="仿宋_GB2312" w:eastAsia="仿宋_GB2312" w:cs="仿宋_GB2312"/>
          <w:color w:val="auto"/>
          <w:sz w:val="32"/>
          <w:szCs w:val="32"/>
          <w:lang w:eastAsia="zh-CN"/>
        </w:rPr>
      </w:pPr>
      <w:r>
        <w:rPr>
          <w:rFonts w:hint="eastAsia"/>
          <w:lang w:val="en-US" w:eastAsia="zh-CN"/>
        </w:rPr>
        <w:t xml:space="preserve">   </w:t>
      </w:r>
      <w:r>
        <w:rPr>
          <w:rFonts w:hint="eastAsia" w:ascii="楷体_GB2312" w:hAnsi="楷体_GB2312" w:eastAsia="楷体_GB2312" w:cs="楷体_GB2312"/>
          <w:kern w:val="2"/>
          <w:sz w:val="32"/>
          <w:szCs w:val="32"/>
          <w:lang w:val="en-US" w:eastAsia="zh-CN" w:bidi="ar-SA"/>
        </w:rPr>
        <w:t xml:space="preserve">  （三）做好政府信息公开平台建设</w:t>
      </w:r>
      <w:r>
        <w:rPr>
          <w:rFonts w:hint="eastAsia" w:ascii="仿宋_GB2312" w:hAnsi="仿宋_GB2312" w:eastAsia="仿宋_GB2312" w:cs="仿宋_GB2312"/>
          <w:kern w:val="2"/>
          <w:sz w:val="32"/>
          <w:szCs w:val="32"/>
          <w:lang w:val="en-US" w:eastAsia="zh-CN" w:bidi="ar-SA"/>
        </w:rPr>
        <w:t>。</w:t>
      </w:r>
      <w:r>
        <w:rPr>
          <w:rFonts w:hint="eastAsia" w:ascii="仿宋_GB2312" w:hAnsi="仿宋_GB2312" w:eastAsia="仿宋_GB2312" w:cs="仿宋_GB2312"/>
          <w:sz w:val="32"/>
          <w:szCs w:val="32"/>
          <w:lang w:eastAsia="zh-CN"/>
        </w:rPr>
        <w:t>加快完善政府服务功能，及时发布政府信息，加强政策解读，方便公众查询。打造政策兑现综合服务平台，建立“线上一网申报、</w:t>
      </w:r>
      <w:r>
        <w:rPr>
          <w:rFonts w:hint="eastAsia" w:ascii="仿宋_GB2312" w:hAnsi="仿宋_GB2312" w:eastAsia="仿宋_GB2312" w:cs="仿宋_GB2312"/>
          <w:color w:val="auto"/>
          <w:sz w:val="32"/>
          <w:szCs w:val="32"/>
          <w:lang w:eastAsia="zh-CN"/>
        </w:rPr>
        <w:t>线下一窗受理”的政策集中兑现服务模式。</w:t>
      </w:r>
    </w:p>
    <w:p>
      <w:pPr>
        <w:keepNext w:val="0"/>
        <w:keepLines w:val="0"/>
        <w:pageBreakBefore w:val="0"/>
        <w:kinsoku/>
        <w:wordWrap/>
        <w:overflowPunct/>
        <w:topLinePunct w:val="0"/>
        <w:autoSpaceDE/>
        <w:autoSpaceDN/>
        <w:bidi w:val="0"/>
        <w:adjustRightInd/>
        <w:snapToGrid/>
        <w:spacing w:line="540" w:lineRule="exact"/>
        <w:ind w:left="0" w:leftChars="0" w:firstLine="640" w:firstLineChars="200"/>
        <w:textAlignment w:val="auto"/>
        <w:rPr>
          <w:rFonts w:hint="eastAsia" w:ascii="仿宋_GB2312" w:hAnsi="仿宋_GB2312" w:eastAsia="仿宋_GB2312" w:cs="仿宋_GB2312"/>
          <w:color w:val="auto"/>
          <w:kern w:val="2"/>
          <w:sz w:val="32"/>
          <w:szCs w:val="32"/>
          <w:lang w:eastAsia="zh-CN"/>
        </w:rPr>
      </w:pPr>
      <w:r>
        <w:rPr>
          <w:rFonts w:hint="eastAsia" w:ascii="楷体_GB2312" w:hAnsi="楷体_GB2312" w:eastAsia="楷体_GB2312" w:cs="楷体_GB2312"/>
          <w:b w:val="0"/>
          <w:bCs w:val="0"/>
          <w:color w:val="auto"/>
          <w:kern w:val="2"/>
          <w:sz w:val="32"/>
          <w:szCs w:val="32"/>
          <w:lang w:val="en-US" w:eastAsia="zh-CN" w:bidi="ar-SA"/>
        </w:rPr>
        <w:t>（四）加强监督考核，开展教育培训。</w:t>
      </w:r>
      <w:r>
        <w:rPr>
          <w:rFonts w:hint="eastAsia" w:ascii="仿宋_GB2312" w:hAnsi="仿宋_GB2312" w:eastAsia="仿宋_GB2312" w:cs="仿宋_GB2312"/>
          <w:color w:val="auto"/>
          <w:kern w:val="2"/>
          <w:sz w:val="32"/>
          <w:szCs w:val="32"/>
          <w:lang w:eastAsia="zh-CN"/>
        </w:rPr>
        <w:t>政务公开专项考核已纳入经开区绩效考核体系。围绕落实《政府信息公开条例》，</w:t>
      </w:r>
      <w:r>
        <w:rPr>
          <w:rFonts w:hint="eastAsia" w:ascii="仿宋_GB2312" w:hAnsi="仿宋_GB2312" w:eastAsia="仿宋_GB2312" w:cs="仿宋_GB2312"/>
          <w:b w:val="0"/>
          <w:bCs w:val="0"/>
          <w:color w:val="auto"/>
          <w:kern w:val="2"/>
          <w:sz w:val="32"/>
          <w:szCs w:val="32"/>
          <w:lang w:val="en-US" w:eastAsia="zh-CN" w:bidi="ar-SA"/>
        </w:rPr>
        <w:t>组织了</w:t>
      </w:r>
      <w:r>
        <w:rPr>
          <w:rFonts w:hint="eastAsia" w:ascii="仿宋_GB2312" w:hAnsi="仿宋_GB2312" w:eastAsia="仿宋_GB2312" w:cs="仿宋_GB2312"/>
          <w:color w:val="auto"/>
          <w:kern w:val="2"/>
          <w:sz w:val="32"/>
          <w:szCs w:val="32"/>
        </w:rPr>
        <w:t>依申请公开</w:t>
      </w:r>
      <w:r>
        <w:rPr>
          <w:rFonts w:hint="eastAsia" w:ascii="仿宋_GB2312" w:hAnsi="仿宋_GB2312" w:eastAsia="仿宋_GB2312" w:cs="仿宋_GB2312"/>
          <w:color w:val="auto"/>
          <w:kern w:val="2"/>
          <w:sz w:val="32"/>
          <w:szCs w:val="32"/>
          <w:lang w:eastAsia="zh-CN"/>
        </w:rPr>
        <w:t>、新闻</w:t>
      </w:r>
      <w:r>
        <w:rPr>
          <w:rFonts w:hint="eastAsia" w:ascii="仿宋_GB2312" w:hAnsi="仿宋_GB2312" w:eastAsia="仿宋_GB2312" w:cs="仿宋_GB2312"/>
          <w:color w:val="auto"/>
          <w:kern w:val="2"/>
          <w:sz w:val="32"/>
          <w:szCs w:val="32"/>
        </w:rPr>
        <w:t>发言人</w:t>
      </w:r>
      <w:r>
        <w:rPr>
          <w:rFonts w:hint="eastAsia" w:ascii="仿宋_GB2312" w:hAnsi="仿宋_GB2312" w:eastAsia="仿宋_GB2312" w:cs="仿宋_GB2312"/>
          <w:color w:val="auto"/>
          <w:kern w:val="2"/>
          <w:sz w:val="32"/>
          <w:szCs w:val="32"/>
          <w:lang w:eastAsia="zh-CN"/>
        </w:rPr>
        <w:t>等专题培训。</w:t>
      </w:r>
    </w:p>
    <w:p>
      <w:pPr>
        <w:numPr>
          <w:ilvl w:val="0"/>
          <w:numId w:val="2"/>
        </w:num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主动公开政府信息情况</w:t>
      </w:r>
    </w:p>
    <w:p>
      <w:pPr>
        <w:pStyle w:val="2"/>
        <w:rPr>
          <w:rFonts w:hint="eastAsia"/>
        </w:rPr>
      </w:pPr>
      <w:bookmarkStart w:id="0" w:name="_GoBack"/>
      <w:bookmarkEnd w:id="0"/>
    </w:p>
    <w:tbl>
      <w:tblPr>
        <w:tblStyle w:val="5"/>
        <w:tblW w:w="9740"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2435"/>
        <w:gridCol w:w="2435"/>
        <w:gridCol w:w="2435"/>
        <w:gridCol w:w="243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第二十条第（一）项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本年制发件数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本年废止件数</w:t>
            </w:r>
          </w:p>
        </w:tc>
        <w:tc>
          <w:tcPr>
            <w:tcW w:w="2435" w:type="dxa"/>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现行有效件</w:t>
            </w:r>
            <w:r>
              <w:rPr>
                <w:rFonts w:hint="eastAsia" w:ascii="宋体" w:hAnsi="宋体" w:eastAsia="宋体" w:cs="宋体"/>
                <w:kern w:val="0"/>
                <w:sz w:val="20"/>
                <w:szCs w:val="20"/>
                <w:lang w:val="en-US" w:eastAsia="zh-CN" w:bidi="ar"/>
              </w:rPr>
              <w:t>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15</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14</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32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第二十条第（五）项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asciiTheme="minorEastAsia" w:hAnsiTheme="minorEastAsia" w:eastAsiaTheme="minorEastAsia" w:cstheme="minorEastAsia"/>
                <w:lang w:val="en-US" w:eastAsia="zh-CN"/>
              </w:rPr>
              <w:t>44224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第二十条第（六）项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single" w:color="auto" w:sz="8" w:space="0"/>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本年处理决定数量</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eastAsia="宋体"/>
                <w:lang w:val="en-US" w:eastAsia="zh-CN"/>
              </w:rPr>
            </w:pPr>
            <w:r>
              <w:rPr>
                <w:rFonts w:hint="eastAsia" w:ascii="宋体" w:hAnsi="宋体" w:cs="宋体"/>
                <w:color w:val="000000"/>
                <w:kern w:val="0"/>
                <w:sz w:val="20"/>
                <w:szCs w:val="20"/>
                <w:lang w:val="en-US" w:eastAsia="zh-CN" w:bidi="ar"/>
              </w:rPr>
              <w:t>941</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lang w:val="en-US"/>
              </w:rPr>
            </w:pPr>
            <w:r>
              <w:rPr>
                <w:rFonts w:hint="eastAsia" w:ascii="宋体" w:hAnsi="宋体" w:cs="宋体"/>
                <w:color w:val="000000"/>
                <w:kern w:val="0"/>
                <w:sz w:val="20"/>
                <w:szCs w:val="20"/>
                <w:lang w:val="en-US" w:eastAsia="zh-CN" w:bidi="ar"/>
              </w:rPr>
              <w:t>15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第二十条第（八）项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信息内容</w:t>
            </w:r>
          </w:p>
        </w:tc>
        <w:tc>
          <w:tcPr>
            <w:tcW w:w="7305" w:type="dxa"/>
            <w:gridSpan w:val="3"/>
            <w:tcBorders>
              <w:top w:val="nil"/>
              <w:left w:val="nil"/>
              <w:bottom w:val="single" w:color="auto" w:sz="8" w:space="0"/>
              <w:right w:val="single" w:color="000000"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color w:val="000000"/>
                <w:kern w:val="0"/>
                <w:sz w:val="20"/>
                <w:szCs w:val="20"/>
                <w:lang w:val="en-US" w:eastAsia="zh-CN" w:bidi="ar"/>
              </w:rPr>
              <w:t>本年收费金额（单位：万元）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宋体" w:hAnsi="宋体" w:eastAsia="宋体" w:cs="宋体"/>
                <w:color w:val="000000"/>
                <w:kern w:val="0"/>
                <w:sz w:val="20"/>
                <w:szCs w:val="20"/>
                <w:lang w:val="en-US" w:eastAsia="zh-CN" w:bidi="ar"/>
              </w:rPr>
            </w:pPr>
            <w:r>
              <w:rPr>
                <w:rFonts w:hint="eastAsia" w:ascii="宋体" w:hAnsi="宋体" w:eastAsia="宋体" w:cs="宋体"/>
                <w:color w:val="000000"/>
                <w:kern w:val="0"/>
                <w:sz w:val="20"/>
                <w:szCs w:val="20"/>
                <w:lang w:val="en-US" w:eastAsia="zh-CN" w:bidi="ar"/>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宋体" w:hAnsi="宋体" w:eastAsia="宋体" w:cs="宋体"/>
                <w:color w:val="000000"/>
                <w:kern w:val="0"/>
                <w:sz w:val="20"/>
                <w:szCs w:val="20"/>
                <w:lang w:val="en-US" w:eastAsia="zh-CN" w:bidi="ar"/>
              </w:rPr>
            </w:pPr>
            <w:r>
              <w:rPr>
                <w:rFonts w:hint="eastAsia" w:ascii="宋体" w:hAnsi="宋体" w:cs="宋体"/>
                <w:color w:val="000000"/>
                <w:kern w:val="0"/>
                <w:sz w:val="20"/>
                <w:szCs w:val="20"/>
                <w:lang w:val="en-US" w:eastAsia="zh-CN" w:bidi="ar"/>
              </w:rPr>
              <w:t>1086.791425</w:t>
            </w:r>
          </w:p>
        </w:tc>
      </w:tr>
    </w:tbl>
    <w:p>
      <w:pPr>
        <w:pStyle w:val="2"/>
        <w:numPr>
          <w:ilvl w:val="0"/>
          <w:numId w:val="0"/>
        </w:numPr>
        <w:rPr>
          <w:rFonts w:hint="eastAsia"/>
        </w:rPr>
      </w:pPr>
    </w:p>
    <w:p>
      <w:pPr>
        <w:pStyle w:val="2"/>
        <w:numPr>
          <w:ilvl w:val="0"/>
          <w:numId w:val="0"/>
        </w:numPr>
        <w:rPr>
          <w:rFonts w:hint="eastAsia"/>
        </w:rPr>
      </w:pPr>
    </w:p>
    <w:p>
      <w:pPr>
        <w:numPr>
          <w:ilvl w:val="0"/>
          <w:numId w:val="2"/>
        </w:numPr>
        <w:spacing w:line="560" w:lineRule="exact"/>
        <w:ind w:left="0" w:leftChars="0" w:firstLine="640" w:firstLineChars="200"/>
        <w:rPr>
          <w:rFonts w:hint="eastAsia" w:ascii="黑体" w:hAnsi="黑体" w:eastAsia="黑体" w:cs="黑体"/>
          <w:sz w:val="32"/>
          <w:szCs w:val="32"/>
        </w:rPr>
      </w:pPr>
      <w:r>
        <w:rPr>
          <w:rFonts w:hint="eastAsia" w:ascii="黑体" w:hAnsi="黑体" w:eastAsia="黑体" w:cs="黑体"/>
          <w:sz w:val="32"/>
          <w:szCs w:val="32"/>
        </w:rPr>
        <w:t>收到和处理政府信息公开申请情况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420"/>
        <w:jc w:val="both"/>
        <w:rPr>
          <w:rFonts w:hint="eastAsia" w:ascii="宋体" w:hAnsi="宋体" w:eastAsia="宋体" w:cs="宋体"/>
          <w:i w:val="0"/>
          <w:caps w:val="0"/>
          <w:color w:val="333333"/>
          <w:spacing w:val="0"/>
          <w:sz w:val="24"/>
          <w:szCs w:val="24"/>
        </w:rP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768"/>
        <w:gridCol w:w="943"/>
        <w:gridCol w:w="3220"/>
        <w:gridCol w:w="688"/>
        <w:gridCol w:w="688"/>
        <w:gridCol w:w="688"/>
        <w:gridCol w:w="688"/>
        <w:gridCol w:w="688"/>
        <w:gridCol w:w="636"/>
        <w:gridCol w:w="74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ascii="楷体" w:hAnsi="楷体" w:eastAsia="楷体" w:cs="楷体"/>
                <w:kern w:val="0"/>
                <w:sz w:val="20"/>
                <w:szCs w:val="20"/>
                <w:lang w:val="en-US" w:eastAsia="zh-CN" w:bidi="ar"/>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restart"/>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自然人</w:t>
            </w:r>
          </w:p>
        </w:tc>
        <w:tc>
          <w:tcPr>
            <w:tcW w:w="3388" w:type="dxa"/>
            <w:gridSpan w:val="5"/>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法人或其他组织</w:t>
            </w:r>
          </w:p>
        </w:tc>
        <w:tc>
          <w:tcPr>
            <w:tcW w:w="741" w:type="dxa"/>
            <w:vMerge w:val="restart"/>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9BC2E6"/>
            <w:noWrap w:val="0"/>
            <w:tcMar>
              <w:left w:w="108" w:type="dxa"/>
              <w:right w:w="108" w:type="dxa"/>
            </w:tcMar>
            <w:vAlign w:val="center"/>
          </w:tcPr>
          <w:p>
            <w:pPr>
              <w:rPr>
                <w:rFonts w:hint="eastAsia" w:ascii="宋体"/>
                <w:sz w:val="24"/>
                <w:szCs w:val="24"/>
              </w:rPr>
            </w:pPr>
          </w:p>
        </w:tc>
        <w:tc>
          <w:tcPr>
            <w:tcW w:w="688" w:type="dxa"/>
            <w:vMerge w:val="continue"/>
            <w:tcBorders>
              <w:top w:val="nil"/>
              <w:left w:val="nil"/>
              <w:bottom w:val="single"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商业</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企业</w:t>
            </w:r>
          </w:p>
        </w:tc>
        <w:tc>
          <w:tcPr>
            <w:tcW w:w="688" w:type="dxa"/>
            <w:tcBorders>
              <w:top w:val="nil"/>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科研</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机构</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社会公益组织</w:t>
            </w:r>
          </w:p>
        </w:tc>
        <w:tc>
          <w:tcPr>
            <w:tcW w:w="688"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法律服务机构</w:t>
            </w:r>
          </w:p>
        </w:tc>
        <w:tc>
          <w:tcPr>
            <w:tcW w:w="636" w:type="dxa"/>
            <w:tcBorders>
              <w:top w:val="single" w:color="auto" w:sz="8" w:space="0"/>
              <w:left w:val="nil"/>
              <w:bottom w:val="single" w:color="auto" w:sz="8" w:space="0"/>
              <w:right w:val="single" w:color="auto" w:sz="8" w:space="0"/>
            </w:tcBorders>
            <w:shd w:val="clear" w:color="auto" w:fill="9BC2E6"/>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r>
              <w:rPr>
                <w:rFonts w:hint="eastAsia" w:ascii="宋体" w:hAnsi="宋体" w:eastAsia="宋体" w:cs="宋体"/>
                <w:kern w:val="0"/>
                <w:sz w:val="20"/>
                <w:szCs w:val="20"/>
                <w:lang w:val="en-US" w:eastAsia="zh-CN" w:bidi="ar"/>
              </w:rPr>
              <w:t>其他</w:t>
            </w:r>
          </w:p>
        </w:tc>
        <w:tc>
          <w:tcPr>
            <w:tcW w:w="741" w:type="dxa"/>
            <w:vMerge w:val="continue"/>
            <w:tcBorders>
              <w:top w:val="single" w:color="auto" w:sz="8" w:space="0"/>
              <w:left w:val="nil"/>
              <w:bottom w:val="outset" w:color="auto" w:sz="8" w:space="0"/>
              <w:right w:val="single" w:color="auto" w:sz="8" w:space="0"/>
            </w:tcBorders>
            <w:shd w:val="clear" w:color="auto" w:fill="9BC2E6"/>
            <w:noWrap w:val="0"/>
            <w:tcMar>
              <w:left w:w="57" w:type="dxa"/>
              <w:right w:w="57" w:type="dxa"/>
            </w:tcMar>
            <w:vAlign w:val="center"/>
          </w:tcPr>
          <w:p>
            <w:pPr>
              <w:rPr>
                <w:rFonts w:hint="eastAsia" w:ascii="宋体"/>
                <w:sz w:val="24"/>
                <w:szCs w:val="24"/>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一、本年新收政府信息公开申请数量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242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29</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274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二、上年结转政府信息公开申请数量</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三、本年度办理结果</w:t>
            </w: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（一）予以公开</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117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4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（二）部分公开</w:t>
            </w:r>
            <w:r>
              <w:rPr>
                <w:rFonts w:hint="default" w:ascii="楷体" w:hAnsi="楷体" w:eastAsia="楷体" w:cs="楷体"/>
                <w:kern w:val="0"/>
                <w:sz w:val="20"/>
                <w:szCs w:val="20"/>
                <w:lang w:val="en-US" w:eastAsia="zh-CN" w:bidi="ar"/>
              </w:rPr>
              <w:t>（区分处理的，只计这一情形，不计其他情形）</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（三）不予公开</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1.属于国家秘密</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single" w:color="auto" w:sz="8" w:space="0"/>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2.其他法律行政法规禁止公开</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3.危及“三安全一稳定”</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4.保护第三方合法权益</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6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5.属于三类内部事务信息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4</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6.属于四类过程性信息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7.属于行政执法案卷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14</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15</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8.属于行政查询事项</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3</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237"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（四）无法提供</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1.本机关不掌握相关政府信息</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63</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5</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69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2.没有现成信息需要另行制作</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3.补正后申请内容仍不明确</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（五）不予处理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1.信访举报投诉类申请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2.重复申请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3.要求提供公开出版物</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4.无正当理由大量反复申请</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nil"/>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5.要求行政机关确认或重新出具已获取信息</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outset"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restart"/>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（六）其他处理</w:t>
            </w: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1.申请人无正当理由逾期不补正、行政机关不再处理其政府信息公开申请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pPr>
            <w:r>
              <w:rPr>
                <w:rFonts w:hint="eastAsia" w:ascii="宋体" w:hAnsi="宋体" w:eastAsia="宋体" w:cs="宋体"/>
                <w:kern w:val="0"/>
                <w:sz w:val="20"/>
                <w:szCs w:val="20"/>
                <w:lang w:val="en-US" w:eastAsia="zh-CN" w:bidi="ar"/>
              </w:rPr>
              <w:t>2.申请人逾期未按收费通知要求缴纳费用、行政机关不再处理其政府信息公开申请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943" w:type="dxa"/>
            <w:vMerge w:val="continue"/>
            <w:tcBorders>
              <w:top w:val="outset" w:color="auto" w:sz="8" w:space="0"/>
              <w:left w:val="nil"/>
              <w:bottom w:val="outset" w:color="auto" w:sz="8" w:space="0"/>
              <w:right w:val="single" w:color="auto" w:sz="8" w:space="0"/>
            </w:tcBorders>
            <w:shd w:val="clear" w:color="auto" w:fill="DDEBF7"/>
            <w:noWrap w:val="0"/>
            <w:tcMar>
              <w:left w:w="57" w:type="dxa"/>
              <w:right w:w="57" w:type="dxa"/>
            </w:tcMar>
            <w:vAlign w:val="center"/>
          </w:tcPr>
          <w:p>
            <w:pPr>
              <w:rPr>
                <w:rFonts w:hint="eastAsia" w:ascii="宋体"/>
                <w:sz w:val="24"/>
                <w:szCs w:val="24"/>
              </w:rPr>
            </w:pPr>
          </w:p>
        </w:tc>
        <w:tc>
          <w:tcPr>
            <w:tcW w:w="3220" w:type="dxa"/>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3.其他</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8</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9</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BDD7EE"/>
            <w:noWrap w:val="0"/>
            <w:tcMar>
              <w:left w:w="57" w:type="dxa"/>
              <w:right w:w="57" w:type="dxa"/>
            </w:tcMar>
            <w:vAlign w:val="center"/>
          </w:tcPr>
          <w:p>
            <w:pPr>
              <w:rPr>
                <w:rFonts w:hint="eastAsia" w:ascii="宋体"/>
                <w:sz w:val="24"/>
                <w:szCs w:val="24"/>
              </w:rPr>
            </w:pPr>
          </w:p>
        </w:tc>
        <w:tc>
          <w:tcPr>
            <w:tcW w:w="4163" w:type="dxa"/>
            <w:gridSpan w:val="2"/>
            <w:tcBorders>
              <w:top w:val="nil"/>
              <w:left w:val="nil"/>
              <w:bottom w:val="single" w:color="auto" w:sz="8" w:space="0"/>
              <w:right w:val="single" w:color="auto" w:sz="8" w:space="0"/>
            </w:tcBorders>
            <w:shd w:val="clear" w:color="auto" w:fill="DDEBF7"/>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（七）总计</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232</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88"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36" w:type="dxa"/>
            <w:tcBorders>
              <w:top w:val="nil"/>
              <w:left w:val="nil"/>
              <w:bottom w:val="single" w:color="auto" w:sz="8" w:space="0"/>
              <w:right w:val="single" w:color="auto" w:sz="8" w:space="0"/>
            </w:tcBorders>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w:t>
            </w:r>
          </w:p>
        </w:tc>
        <w:tc>
          <w:tcPr>
            <w:tcW w:w="741" w:type="dxa"/>
            <w:tcBorders>
              <w:top w:val="nil"/>
              <w:left w:val="nil"/>
              <w:bottom w:val="single" w:color="auto" w:sz="8" w:space="0"/>
              <w:right w:val="single" w:color="auto" w:sz="8" w:space="0"/>
            </w:tcBorders>
            <w:noWrap w:val="0"/>
            <w:tcMar>
              <w:left w:w="57" w:type="dxa"/>
              <w:right w:w="57"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261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BDD7EE"/>
            <w:noWrap w:val="0"/>
            <w:tcMar>
              <w:left w:w="57" w:type="dxa"/>
              <w:right w:w="57"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left"/>
            </w:pPr>
            <w:r>
              <w:rPr>
                <w:rFonts w:hint="eastAsia" w:ascii="宋体" w:hAnsi="宋体" w:eastAsia="宋体" w:cs="宋体"/>
                <w:kern w:val="0"/>
                <w:sz w:val="20"/>
                <w:szCs w:val="20"/>
                <w:lang w:val="en-US" w:eastAsia="zh-CN" w:bidi="ar"/>
              </w:rPr>
              <w:t>四、结转下年度继续办理</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5</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688"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636"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741" w:type="dxa"/>
            <w:tcBorders>
              <w:top w:val="outset" w:color="auto" w:sz="6" w:space="0"/>
              <w:left w:val="nil"/>
              <w:bottom w:val="outset" w:color="auto" w:sz="6" w:space="0"/>
              <w:right w:val="outset" w:color="auto" w:sz="6" w:space="0"/>
            </w:tcBorders>
            <w:noWrap w:val="0"/>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35</w:t>
            </w:r>
          </w:p>
        </w:tc>
      </w:tr>
    </w:tbl>
    <w:p>
      <w:pPr>
        <w:pStyle w:val="2"/>
        <w:numPr>
          <w:ilvl w:val="0"/>
          <w:numId w:val="0"/>
        </w:numPr>
        <w:ind w:leftChars="200"/>
        <w:rPr>
          <w:rFonts w:hint="eastAsia"/>
        </w:rPr>
      </w:pPr>
    </w:p>
    <w:p>
      <w:pPr>
        <w:pStyle w:val="2"/>
        <w:numPr>
          <w:ilvl w:val="0"/>
          <w:numId w:val="0"/>
        </w:numPr>
        <w:ind w:leftChars="200"/>
        <w:rPr>
          <w:rFonts w:hint="eastAsia"/>
        </w:rPr>
      </w:pP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四、政府信息公开行政复议、行政诉讼情况</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pPr>
    </w:p>
    <w:tbl>
      <w:tblPr>
        <w:tblStyle w:val="5"/>
        <w:tblW w:w="9748" w:type="dxa"/>
        <w:jc w:val="center"/>
        <w:tblInd w:w="0" w:type="dxa"/>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47" w:hRule="atLeast"/>
          <w:jc w:val="center"/>
        </w:trPr>
        <w:tc>
          <w:tcPr>
            <w:tcW w:w="3245" w:type="dxa"/>
            <w:gridSpan w:val="5"/>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行政复议</w:t>
            </w:r>
          </w:p>
        </w:tc>
        <w:tc>
          <w:tcPr>
            <w:tcW w:w="6503" w:type="dxa"/>
            <w:gridSpan w:val="10"/>
            <w:tcBorders>
              <w:top w:val="single" w:color="auto" w:sz="8" w:space="0"/>
              <w:left w:val="single" w:color="auto" w:sz="8" w:space="0"/>
              <w:bottom w:val="single" w:color="auto" w:sz="8" w:space="0"/>
              <w:right w:val="single" w:color="auto" w:sz="8" w:space="0"/>
            </w:tcBorders>
            <w:shd w:val="clear" w:color="auto" w:fill="BDD7EE"/>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582" w:hRule="atLeast"/>
          <w:jc w:val="center"/>
        </w:trPr>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结果维持</w:t>
            </w:r>
          </w:p>
        </w:tc>
        <w:tc>
          <w:tcPr>
            <w:tcW w:w="649" w:type="dxa"/>
            <w:vMerge w:val="restart"/>
            <w:tcBorders>
              <w:top w:val="nil"/>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49" w:type="dxa"/>
            <w:vMerge w:val="restart"/>
            <w:tcBorders>
              <w:top w:val="single" w:color="auto" w:sz="8" w:space="0"/>
              <w:left w:val="single" w:color="auto" w:sz="8" w:space="0"/>
              <w:bottom w:val="single" w:color="auto" w:sz="8" w:space="0"/>
              <w:right w:val="single" w:color="auto" w:sz="8" w:space="0"/>
            </w:tcBorders>
            <w:shd w:val="clear" w:color="auto" w:fill="auto"/>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总计</w:t>
            </w:r>
          </w:p>
        </w:tc>
        <w:tc>
          <w:tcPr>
            <w:tcW w:w="3248"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shd w:val="clear" w:color="auto" w:fill="DDEBF7"/>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714" w:hRule="atLeast"/>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rPr>
                <w:rFonts w:hint="eastAsia" w:ascii="宋体"/>
                <w:sz w:val="24"/>
                <w:szCs w:val="24"/>
              </w:rPr>
            </w:p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其他</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结果</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其他</w:t>
            </w:r>
            <w:r>
              <w:rPr>
                <w:rFonts w:hint="eastAsia" w:ascii="宋体" w:hAnsi="宋体" w:eastAsia="宋体" w:cs="宋体"/>
                <w:color w:val="000000"/>
                <w:kern w:val="0"/>
                <w:sz w:val="20"/>
                <w:szCs w:val="20"/>
                <w:lang w:val="en-US" w:eastAsia="zh-CN" w:bidi="ar"/>
              </w:rPr>
              <w:br w:type="textWrapping"/>
            </w:r>
            <w:r>
              <w:rPr>
                <w:rFonts w:hint="eastAsia" w:ascii="宋体" w:hAnsi="宋体" w:eastAsia="宋体" w:cs="宋体"/>
                <w:color w:val="000000"/>
                <w:kern w:val="0"/>
                <w:sz w:val="20"/>
                <w:szCs w:val="20"/>
                <w:lang w:val="en-US" w:eastAsia="zh-CN" w:bidi="ar"/>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kern w:val="0"/>
                <w:sz w:val="20"/>
                <w:szCs w:val="20"/>
                <w:lang w:val="en-US" w:eastAsia="zh-CN" w:bidi="ar"/>
              </w:rPr>
              <w:t>尚未</w:t>
            </w:r>
            <w:r>
              <w:rPr>
                <w:rFonts w:hint="eastAsia" w:ascii="宋体" w:hAnsi="宋体" w:eastAsia="宋体" w:cs="宋体"/>
                <w:kern w:val="0"/>
                <w:sz w:val="20"/>
                <w:szCs w:val="20"/>
                <w:lang w:val="en-US" w:eastAsia="zh-CN" w:bidi="ar"/>
              </w:rPr>
              <w:br w:type="textWrapping"/>
            </w:r>
            <w:r>
              <w:rPr>
                <w:rFonts w:hint="eastAsia" w:ascii="宋体" w:hAnsi="宋体" w:eastAsia="宋体" w:cs="宋体"/>
                <w:kern w:val="0"/>
                <w:sz w:val="20"/>
                <w:szCs w:val="20"/>
                <w:lang w:val="en-US" w:eastAsia="zh-CN" w:bidi="ar"/>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pPr>
            <w:r>
              <w:rPr>
                <w:rFonts w:hint="eastAsia" w:ascii="宋体" w:hAnsi="宋体" w:eastAsia="宋体" w:cs="宋体"/>
                <w:color w:val="000000"/>
                <w:kern w:val="0"/>
                <w:sz w:val="20"/>
                <w:szCs w:val="20"/>
                <w:lang w:val="en-US" w:eastAsia="zh-CN" w:bidi="ar"/>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fixed"/>
          <w:tblCellMar>
            <w:top w:w="0" w:type="dxa"/>
            <w:left w:w="0" w:type="dxa"/>
            <w:bottom w:w="0" w:type="dxa"/>
            <w:right w:w="0" w:type="dxa"/>
          </w:tblCellMar>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0"/>
                <w:sz w:val="21"/>
                <w:szCs w:val="21"/>
                <w:lang w:val="en-US" w:eastAsia="zh-CN" w:bidi="ar"/>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210" w:firstLineChars="10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1</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rPr>
            </w:pPr>
            <w:r>
              <w:rPr>
                <w:rFonts w:hint="eastAsia" w:asciiTheme="minorEastAsia" w:hAnsiTheme="minorEastAsia" w:eastAsiaTheme="minorEastAsia" w:cstheme="minorEastAsia"/>
                <w:kern w:val="0"/>
                <w:sz w:val="21"/>
                <w:szCs w:val="21"/>
                <w:lang w:val="en-US" w:eastAsia="zh-CN" w:bidi="ar"/>
              </w:rPr>
              <w:t>3</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sz w:val="21"/>
                <w:szCs w:val="21"/>
                <w:lang w:val="en-US" w:eastAsia="zh-CN"/>
              </w:rPr>
            </w:pPr>
            <w:r>
              <w:rPr>
                <w:rFonts w:hint="eastAsia" w:asciiTheme="minorEastAsia" w:hAnsiTheme="minorEastAsia" w:eastAsiaTheme="minorEastAsia" w:cstheme="minorEastAsia"/>
                <w:sz w:val="21"/>
                <w:szCs w:val="21"/>
                <w:lang w:val="en-US" w:eastAsia="zh-CN"/>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Theme="minorEastAsia" w:hAnsiTheme="minorEastAsia" w:eastAsiaTheme="minorEastAsia" w:cstheme="minorEastAsia"/>
                <w:kern w:val="0"/>
                <w:sz w:val="21"/>
                <w:szCs w:val="21"/>
                <w:lang w:val="en-US" w:eastAsia="zh-CN" w:bidi="ar"/>
              </w:rPr>
            </w:pPr>
            <w:r>
              <w:rPr>
                <w:rFonts w:hint="eastAsia" w:asciiTheme="minorEastAsia" w:hAnsiTheme="minorEastAsia" w:eastAsiaTheme="minorEastAsia" w:cstheme="minorEastAsia"/>
                <w:kern w:val="0"/>
                <w:sz w:val="21"/>
                <w:szCs w:val="21"/>
                <w:lang w:val="en-US" w:eastAsia="zh-CN" w:bidi="ar"/>
              </w:rPr>
              <w:t>0</w:t>
            </w:r>
          </w:p>
        </w:tc>
      </w:tr>
    </w:tbl>
    <w:p>
      <w:pPr>
        <w:keepNext w:val="0"/>
        <w:keepLines w:val="0"/>
        <w:widowControl/>
        <w:suppressLineNumbers w:val="0"/>
        <w:jc w:val="left"/>
      </w:pPr>
    </w:p>
    <w:p>
      <w:pPr>
        <w:widowControl/>
        <w:spacing w:line="560" w:lineRule="exact"/>
        <w:ind w:firstLine="672" w:firstLineChars="200"/>
        <w:jc w:val="left"/>
      </w:pPr>
      <w:r>
        <w:rPr>
          <w:rFonts w:ascii="黑体" w:hAnsi="黑体" w:eastAsia="黑体" w:cs="宋体"/>
          <w:spacing w:val="8"/>
          <w:kern w:val="0"/>
          <w:sz w:val="32"/>
          <w:szCs w:val="32"/>
        </w:rPr>
        <w:t>五、存在的主要问题及改进情况</w:t>
      </w: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default" w:ascii="黑体" w:hAnsi="黑体" w:eastAsia="黑体" w:cs="黑体"/>
          <w:sz w:val="32"/>
          <w:szCs w:val="32"/>
          <w:lang w:val="en-US" w:eastAsia="zh-CN"/>
        </w:rPr>
      </w:pPr>
      <w:r>
        <w:rPr>
          <w:rFonts w:hint="eastAsia" w:ascii="仿宋_GB2312" w:hAnsi="仿宋_GB2312" w:eastAsia="仿宋_GB2312" w:cs="仿宋_GB2312"/>
          <w:sz w:val="32"/>
          <w:szCs w:val="32"/>
          <w:lang w:val="en-US" w:eastAsia="zh-CN"/>
        </w:rPr>
        <w:t>经开区政务公开工作中还存在依申请公开需要加强，政府信息公开专栏仍需进一步优化等问题。我们重点做好以下工作：</w:t>
      </w:r>
      <w:r>
        <w:rPr>
          <w:rFonts w:hint="eastAsia" w:ascii="仿宋_GB2312" w:hAnsi="仿宋_GB2312" w:eastAsia="仿宋_GB2312" w:cs="仿宋_GB2312"/>
          <w:b/>
          <w:bCs/>
          <w:sz w:val="32"/>
          <w:szCs w:val="32"/>
          <w:lang w:val="en-US" w:eastAsia="zh-CN"/>
        </w:rPr>
        <w:t>一是</w:t>
      </w:r>
      <w:r>
        <w:rPr>
          <w:rFonts w:hint="eastAsia" w:ascii="仿宋_GB2312" w:hAnsi="仿宋_GB2312" w:eastAsia="仿宋_GB2312" w:cs="仿宋_GB2312"/>
          <w:sz w:val="32"/>
          <w:szCs w:val="32"/>
          <w:lang w:val="en-US" w:eastAsia="zh-CN"/>
        </w:rPr>
        <w:t>持续强化培训工作，不断提升依申请公开工作质量</w:t>
      </w:r>
      <w:r>
        <w:rPr>
          <w:rFonts w:hint="eastAsia" w:ascii="仿宋_GB2312" w:hAnsi="仿宋_GB2312" w:eastAsia="仿宋_GB2312" w:cs="仿宋_GB2312"/>
          <w:b w:val="0"/>
          <w:kern w:val="2"/>
          <w:sz w:val="32"/>
          <w:szCs w:val="32"/>
          <w:lang w:val="en-US" w:eastAsia="zh-CN" w:bidi="ar-SA"/>
        </w:rPr>
        <w:t>；</w:t>
      </w:r>
      <w:r>
        <w:rPr>
          <w:rFonts w:hint="eastAsia" w:ascii="仿宋_GB2312" w:hAnsi="仿宋_GB2312" w:eastAsia="仿宋_GB2312" w:cs="仿宋_GB2312"/>
          <w:b/>
          <w:bCs/>
          <w:kern w:val="2"/>
          <w:sz w:val="32"/>
          <w:szCs w:val="32"/>
          <w:lang w:val="en-US" w:eastAsia="zh-CN" w:bidi="ar-SA"/>
        </w:rPr>
        <w:t>二是</w:t>
      </w:r>
      <w:r>
        <w:rPr>
          <w:rFonts w:hint="eastAsia" w:ascii="仿宋_GB2312" w:hAnsi="仿宋_GB2312" w:eastAsia="仿宋_GB2312" w:cs="仿宋_GB2312"/>
          <w:b w:val="0"/>
          <w:kern w:val="2"/>
          <w:sz w:val="32"/>
          <w:szCs w:val="32"/>
          <w:lang w:val="en-US" w:eastAsia="zh-CN" w:bidi="ar-SA"/>
        </w:rPr>
        <w:t>加强主动公开信息的研究，不断优化政府信息公开专栏栏目设置。</w:t>
      </w:r>
    </w:p>
    <w:p>
      <w:pPr>
        <w:widowControl/>
        <w:spacing w:line="560" w:lineRule="exact"/>
        <w:ind w:firstLine="675"/>
        <w:jc w:val="left"/>
        <w:rPr>
          <w:rFonts w:ascii="宋体" w:hAnsi="宋体" w:cs="宋体"/>
          <w:spacing w:val="8"/>
          <w:kern w:val="0"/>
          <w:sz w:val="32"/>
          <w:szCs w:val="32"/>
        </w:rPr>
      </w:pPr>
      <w:r>
        <w:rPr>
          <w:rFonts w:ascii="黑体" w:hAnsi="黑体" w:eastAsia="黑体" w:cs="宋体"/>
          <w:spacing w:val="8"/>
          <w:kern w:val="0"/>
          <w:sz w:val="32"/>
          <w:szCs w:val="32"/>
        </w:rPr>
        <w:t>六、其他需要报告的事项</w:t>
      </w:r>
    </w:p>
    <w:p>
      <w:pPr>
        <w:spacing w:line="54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eastAsia="zh-CN"/>
        </w:rPr>
        <w:t>本单位发出收费通知</w:t>
      </w:r>
      <w:r>
        <w:rPr>
          <w:rFonts w:hint="eastAsia" w:ascii="仿宋_GB2312" w:hAnsi="仿宋_GB2312" w:eastAsia="仿宋_GB2312" w:cs="仿宋_GB2312"/>
          <w:color w:val="auto"/>
          <w:sz w:val="32"/>
          <w:szCs w:val="32"/>
          <w:lang w:val="en-US" w:eastAsia="zh-CN"/>
        </w:rPr>
        <w:t>0件，</w:t>
      </w:r>
      <w:r>
        <w:rPr>
          <w:rFonts w:hint="eastAsia" w:ascii="仿宋_GB2312" w:hAnsi="仿宋_GB2312" w:eastAsia="仿宋_GB2312" w:cs="仿宋_GB2312"/>
          <w:color w:val="auto"/>
          <w:sz w:val="32"/>
          <w:szCs w:val="32"/>
          <w:lang w:eastAsia="zh-CN"/>
        </w:rPr>
        <w:t>发出缴费通知金额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元，收到缴费金额</w:t>
      </w:r>
      <w:r>
        <w:rPr>
          <w:rFonts w:hint="eastAsia" w:ascii="仿宋_GB2312" w:hAnsi="仿宋_GB2312" w:eastAsia="仿宋_GB2312" w:cs="仿宋_GB2312"/>
          <w:color w:val="auto"/>
          <w:sz w:val="32"/>
          <w:szCs w:val="32"/>
          <w:lang w:val="en-US" w:eastAsia="zh-CN"/>
        </w:rPr>
        <w:t>0</w:t>
      </w:r>
      <w:r>
        <w:rPr>
          <w:rFonts w:hint="eastAsia" w:ascii="仿宋_GB2312" w:hAnsi="仿宋_GB2312" w:eastAsia="仿宋_GB2312" w:cs="仿宋_GB2312"/>
          <w:color w:val="auto"/>
          <w:sz w:val="32"/>
          <w:szCs w:val="32"/>
          <w:lang w:eastAsia="zh-CN"/>
        </w:rPr>
        <w:t>元。</w:t>
      </w:r>
    </w:p>
    <w:p>
      <w:pPr>
        <w:spacing w:line="54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北京经济技术开发区管理委员会网站网址为：</w:t>
      </w:r>
      <w:r>
        <w:rPr>
          <w:rFonts w:hint="eastAsia" w:ascii="仿宋_GB2312" w:hAnsi="仿宋_GB2312" w:eastAsia="仿宋_GB2312" w:cs="仿宋_GB2312"/>
          <w:color w:val="auto"/>
          <w:sz w:val="32"/>
          <w:szCs w:val="32"/>
        </w:rPr>
        <w:fldChar w:fldCharType="begin"/>
      </w:r>
      <w:r>
        <w:rPr>
          <w:rFonts w:hint="eastAsia" w:ascii="仿宋_GB2312" w:hAnsi="仿宋_GB2312" w:eastAsia="仿宋_GB2312" w:cs="仿宋_GB2312"/>
          <w:color w:val="auto"/>
          <w:sz w:val="32"/>
          <w:szCs w:val="32"/>
        </w:rPr>
        <w:instrText xml:space="preserve"> HYPERLINK "http://kfqgw.beijing.gov.cn/" </w:instrText>
      </w:r>
      <w:r>
        <w:rPr>
          <w:rFonts w:hint="eastAsia" w:ascii="仿宋_GB2312" w:hAnsi="仿宋_GB2312" w:eastAsia="仿宋_GB2312" w:cs="仿宋_GB2312"/>
          <w:color w:val="auto"/>
          <w:sz w:val="32"/>
          <w:szCs w:val="32"/>
        </w:rPr>
        <w:fldChar w:fldCharType="separate"/>
      </w:r>
      <w:r>
        <w:rPr>
          <w:rFonts w:hint="eastAsia" w:ascii="仿宋_GB2312" w:hAnsi="仿宋_GB2312" w:eastAsia="仿宋_GB2312" w:cs="仿宋_GB2312"/>
          <w:color w:val="auto"/>
          <w:sz w:val="32"/>
          <w:szCs w:val="32"/>
        </w:rPr>
        <w:t>http://kfqgw.beijing.gov.cn/</w:t>
      </w:r>
      <w:r>
        <w:rPr>
          <w:rFonts w:hint="eastAsia" w:ascii="仿宋_GB2312" w:hAnsi="仿宋_GB2312" w:eastAsia="仿宋_GB2312" w:cs="仿宋_GB2312"/>
          <w:color w:val="auto"/>
          <w:sz w:val="32"/>
          <w:szCs w:val="32"/>
        </w:rPr>
        <w:fldChar w:fldCharType="end"/>
      </w:r>
      <w:r>
        <w:rPr>
          <w:rFonts w:hint="eastAsia" w:ascii="仿宋_GB2312" w:hAnsi="仿宋_GB2312" w:eastAsia="仿宋_GB2312" w:cs="仿宋_GB2312"/>
          <w:color w:val="auto"/>
          <w:sz w:val="32"/>
          <w:szCs w:val="32"/>
        </w:rPr>
        <w:t>，如需了解更多政府信息，</w:t>
      </w:r>
      <w:r>
        <w:rPr>
          <w:rFonts w:hint="eastAsia" w:ascii="仿宋_GB2312" w:hAnsi="仿宋_GB2312" w:eastAsia="仿宋_GB2312" w:cs="仿宋_GB2312"/>
          <w:color w:val="auto"/>
          <w:sz w:val="32"/>
          <w:szCs w:val="32"/>
          <w:lang w:val="en-US" w:eastAsia="zh-CN"/>
        </w:rPr>
        <w:t xml:space="preserve"> </w:t>
      </w:r>
      <w:r>
        <w:rPr>
          <w:rFonts w:hint="eastAsia" w:ascii="仿宋_GB2312" w:hAnsi="仿宋_GB2312" w:eastAsia="仿宋_GB2312" w:cs="仿宋_GB2312"/>
          <w:color w:val="auto"/>
          <w:sz w:val="32"/>
          <w:szCs w:val="32"/>
        </w:rPr>
        <w:t>请登录查询。</w:t>
      </w:r>
    </w:p>
    <w:p>
      <w:pPr>
        <w:pStyle w:val="2"/>
        <w:rPr>
          <w:rFonts w:hint="default"/>
          <w:lang w:val="en-US" w:eastAsia="zh-CN"/>
        </w:rPr>
      </w:pPr>
    </w:p>
    <w:p>
      <w:pPr>
        <w:widowControl/>
        <w:spacing w:line="560" w:lineRule="exact"/>
        <w:jc w:val="left"/>
        <w:rPr>
          <w:rFonts w:hint="eastAsia" w:ascii="仿宋_GB2312" w:hAnsi="宋体" w:eastAsia="仿宋_GB2312" w:cs="宋体"/>
          <w:spacing w:val="8"/>
          <w:kern w:val="0"/>
          <w:sz w:val="32"/>
          <w:szCs w:val="32"/>
          <w:lang w:eastAsia="zh-CN"/>
        </w:rPr>
      </w:pPr>
    </w:p>
    <w:p>
      <w:pPr>
        <w:pStyle w:val="2"/>
        <w:rPr>
          <w:rFonts w:hint="eastAsia"/>
        </w:rPr>
      </w:pPr>
    </w:p>
    <w:p>
      <w:pPr>
        <w:pStyle w:val="2"/>
        <w:rPr>
          <w:rFonts w:hint="eastAsia"/>
        </w:rPr>
      </w:pPr>
    </w:p>
    <w:p>
      <w:pPr>
        <w:pStyle w:val="2"/>
        <w:rPr>
          <w:rFonts w:hint="eastAsia"/>
        </w:rPr>
      </w:pPr>
    </w:p>
    <w:p/>
    <w:sectPr>
      <w:footerReference r:id="rId3" w:type="default"/>
      <w:pgSz w:w="11906" w:h="16838"/>
      <w:pgMar w:top="1440" w:right="1800" w:bottom="1440" w:left="1800" w:header="851" w:footer="992" w:gutter="0"/>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8Wfk5a4BAABLAwAADgAAAGRycy9lMm9Eb2MueG1srVNLbtswEN0H6B0I&#10;7mvKXhSGYDlIECQIULQFkhyApkiLAH8Y0pZ8gfYGXXXTfc/lc2RIS07a7oJsqOHM8M17M6PV5WAN&#10;2UuI2ruGzmcVJdIJ32q3bejT4+3HJSUxcddy451s6EFGern+cLHqQy0XvvOmlUAQxMW6Dw3tUgo1&#10;Y1F00vI480E6DCoPlie8wpa1wHtEt4YtquoT6z20AbyQMaL35hSk64KvlBTpq1JRJmIaitxSOaGc&#10;m3yy9YrXW+Ch02Kkwd/AwnLtsOgZ6oYnTnag/4OyWoCPXqWZ8JZ5pbSQRQOqmVf/qHnoeJBFCzYn&#10;hnOb4vvBii/7b0B0i7OjxHGLIzr+/HH89ef4+zuZ5/b0IdaY9RAwLw3Xfsipoz+iM6seFNj8RT0E&#10;49jow7m5ckhE5EfLxXJZYUhgbLogDnt5HiCmO+ktyUZDAadXmsr3n2M6pU4puZrzt9oY9PPauL8c&#10;iJk9LHM/ccxWGjbDSHzj2wPq6XHwDXW4mZSYe4d9zTsyGTAZm8nYBdDbrixRrhfD1S4hicItVzjB&#10;joVxYkXduF15JV7fS9bLP7B+Bl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xZ+TlrgEAAEsD&#10;AAAOAAAAAAAAAAEAIAAAAB4BAABkcnMvZTJvRG9jLnhtbFBLBQYAAAAABgAGAFkBAAA+BQAAAAA=&#10;">
              <v:fill on="f" focussize="0,0"/>
              <v:stroke on="f"/>
              <v:imagedata o:title=""/>
              <o:lock v:ext="edit" aspectratio="f"/>
              <v:textbox inset="0mm,0mm,0mm,0mm" style="mso-fit-shape-to-text:t;">
                <w:txbxContent>
                  <w:p>
                    <w:pPr>
                      <w:pStyle w:val="3"/>
                      <w:rPr>
                        <w:rFonts w:hint="eastAsia"/>
                      </w:rPr>
                    </w:pPr>
                    <w:r>
                      <w:rPr>
                        <w:rFonts w:hint="eastAsia"/>
                      </w:rPr>
                      <w:fldChar w:fldCharType="begin"/>
                    </w:r>
                    <w:r>
                      <w:rPr>
                        <w:rFonts w:hint="eastAsia"/>
                      </w:rPr>
                      <w:instrText xml:space="preserve"> PAGE  \* MERGEFORMAT </w:instrText>
                    </w:r>
                    <w:r>
                      <w:rPr>
                        <w:rFonts w:hint="eastAsia"/>
                      </w:rPr>
                      <w:fldChar w:fldCharType="separate"/>
                    </w:r>
                    <w:r>
                      <w:t>4</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5F19AA"/>
    <w:multiLevelType w:val="singleLevel"/>
    <w:tmpl w:val="9D5F19AA"/>
    <w:lvl w:ilvl="0" w:tentative="0">
      <w:start w:val="2"/>
      <w:numFmt w:val="chineseCounting"/>
      <w:suff w:val="nothing"/>
      <w:lvlText w:val="（%1）"/>
      <w:lvlJc w:val="left"/>
      <w:rPr>
        <w:rFonts w:hint="eastAsia" w:ascii="楷体_GB2312" w:hAnsi="楷体_GB2312" w:eastAsia="楷体_GB2312" w:cs="楷体_GB2312"/>
      </w:rPr>
    </w:lvl>
  </w:abstractNum>
  <w:abstractNum w:abstractNumId="1">
    <w:nsid w:val="F8FBF937"/>
    <w:multiLevelType w:val="singleLevel"/>
    <w:tmpl w:val="F8FBF937"/>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5EC0CBD"/>
    <w:rsid w:val="06983950"/>
    <w:rsid w:val="07D86BD9"/>
    <w:rsid w:val="096A6BF0"/>
    <w:rsid w:val="0B7B1C1C"/>
    <w:rsid w:val="0F63545C"/>
    <w:rsid w:val="0FF21D9E"/>
    <w:rsid w:val="116E3C13"/>
    <w:rsid w:val="12401AAA"/>
    <w:rsid w:val="16225B3C"/>
    <w:rsid w:val="1A8A7263"/>
    <w:rsid w:val="1AC56957"/>
    <w:rsid w:val="1B7B0FA1"/>
    <w:rsid w:val="1C0B3EBD"/>
    <w:rsid w:val="208B784D"/>
    <w:rsid w:val="20912E42"/>
    <w:rsid w:val="20D9260D"/>
    <w:rsid w:val="23686E95"/>
    <w:rsid w:val="26DD0D5D"/>
    <w:rsid w:val="28B4394B"/>
    <w:rsid w:val="2D075D5A"/>
    <w:rsid w:val="2ED40B20"/>
    <w:rsid w:val="2F7F2463"/>
    <w:rsid w:val="301F4D96"/>
    <w:rsid w:val="312C0413"/>
    <w:rsid w:val="338E75CA"/>
    <w:rsid w:val="363F693C"/>
    <w:rsid w:val="38FA20DC"/>
    <w:rsid w:val="3B655715"/>
    <w:rsid w:val="3D7060A2"/>
    <w:rsid w:val="40934467"/>
    <w:rsid w:val="45AB7536"/>
    <w:rsid w:val="472A4E44"/>
    <w:rsid w:val="48397C81"/>
    <w:rsid w:val="4B8965F7"/>
    <w:rsid w:val="4CF87ADB"/>
    <w:rsid w:val="55F83B5A"/>
    <w:rsid w:val="56B3751E"/>
    <w:rsid w:val="57C609E7"/>
    <w:rsid w:val="59623AFE"/>
    <w:rsid w:val="5FFD4901"/>
    <w:rsid w:val="62B570DD"/>
    <w:rsid w:val="65B92F76"/>
    <w:rsid w:val="67C06B45"/>
    <w:rsid w:val="69237CC9"/>
    <w:rsid w:val="69A75E24"/>
    <w:rsid w:val="6D3012DD"/>
    <w:rsid w:val="6DD25310"/>
    <w:rsid w:val="70D41381"/>
    <w:rsid w:val="768F222E"/>
    <w:rsid w:val="7D4C7BBC"/>
    <w:rsid w:val="7DBC400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 w:type="paragraph" w:styleId="2">
    <w:name w:val="Plain Text"/>
    <w:basedOn w:val="1"/>
    <w:qFormat/>
    <w:uiPriority w:val="0"/>
    <w:rPr>
      <w:rFonts w:ascii="宋体" w:hAnsi="Courier New"/>
    </w:rPr>
  </w:style>
  <w:style w:type="paragraph" w:styleId="3">
    <w:name w:val="footer"/>
    <w:basedOn w:val="1"/>
    <w:qFormat/>
    <w:uiPriority w:val="0"/>
    <w:pPr>
      <w:tabs>
        <w:tab w:val="center" w:pos="4153"/>
        <w:tab w:val="right" w:pos="8306"/>
      </w:tabs>
      <w:snapToGrid w:val="0"/>
      <w:jc w:val="left"/>
    </w:pPr>
    <w:rPr>
      <w:sz w:val="18"/>
    </w:rPr>
  </w:style>
  <w:style w:type="paragraph" w:styleId="4">
    <w:name w:val="Normal (Web)"/>
    <w:basedOn w:val="1"/>
    <w:qFormat/>
    <w:uiPriority w:val="99"/>
    <w:pPr>
      <w:spacing w:before="100" w:beforeAutospacing="1" w:after="100" w:afterAutospacing="1"/>
      <w:ind w:left="0" w:right="0"/>
      <w:jc w:val="left"/>
    </w:pPr>
    <w:rPr>
      <w:kern w:val="0"/>
      <w:sz w:val="24"/>
      <w:lang w:val="en-US" w:eastAsia="zh-CN" w:bidi="ar"/>
    </w:rPr>
  </w:style>
  <w:style w:type="character" w:styleId="7">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281</TotalTime>
  <ScaleCrop>false</ScaleCrop>
  <LinksUpToDate>false</LinksUpToDate>
  <CharactersWithSpaces>0</CharactersWithSpaces>
  <Application>WPS Office_11.8.2.8506_F1E327BC-269C-435d-A152-05C5408002CA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2023-01-04T07:33:00Z</dcterms:created>
  <dc:creator>Administrator</dc:creator>
  <cp:lastModifiedBy>Administrator</cp:lastModifiedBy>
  <cp:lastPrinted>2023-01-12T08:33:00Z</cp:lastPrinted>
  <dcterms:modified xsi:type="dcterms:W3CDTF">2023-01-18T07:36:31Z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ies>
</file>