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1"/>
        <w:gridCol w:w="689"/>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3"/>
            <w:shd w:val="clear" w:color="auto" w:fill="auto"/>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政府信息公开情况统计表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3"/>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（2016年度）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统 计 指 标</w:t>
            </w:r>
          </w:p>
        </w:tc>
        <w:tc>
          <w:tcPr>
            <w:tcW w:w="404" w:type="pct"/>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500" w:type="pct"/>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 一、主动公开情况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  （一）主动公开政府信息数</w:t>
            </w:r>
          </w:p>
        </w:tc>
        <w:tc>
          <w:tcPr>
            <w:tcW w:w="404" w:type="pct"/>
            <w:vMerge w:val="restar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vMerge w:val="restar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    （不同渠道和方式公开相同信息计1条）</w:t>
            </w:r>
          </w:p>
        </w:tc>
        <w:tc>
          <w:tcPr>
            <w:tcW w:w="404" w:type="pct"/>
            <w:vMerge w:val="continue"/>
            <w:vAlign w:val="center"/>
          </w:tcPr>
          <w:p>
            <w:pPr>
              <w:widowControl/>
              <w:jc w:val="left"/>
              <w:rPr>
                <w:rFonts w:ascii="宋体" w:hAnsi="宋体" w:eastAsia="宋体" w:cs="宋体"/>
                <w:color w:val="000000"/>
                <w:kern w:val="0"/>
                <w:sz w:val="22"/>
              </w:rPr>
            </w:pPr>
          </w:p>
        </w:tc>
        <w:tc>
          <w:tcPr>
            <w:tcW w:w="500" w:type="pct"/>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     其中：主动公开规范性文件数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        制发规范性文件总数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  （二）重点领域公开政府信息数</w:t>
            </w:r>
          </w:p>
        </w:tc>
        <w:tc>
          <w:tcPr>
            <w:tcW w:w="404" w:type="pct"/>
            <w:vMerge w:val="restar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vMerge w:val="restar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    （不同渠道和方式公开相同信息计1条）</w:t>
            </w:r>
          </w:p>
        </w:tc>
        <w:tc>
          <w:tcPr>
            <w:tcW w:w="404" w:type="pct"/>
            <w:vMerge w:val="continue"/>
            <w:vAlign w:val="center"/>
          </w:tcPr>
          <w:p>
            <w:pPr>
              <w:widowControl/>
              <w:jc w:val="left"/>
              <w:rPr>
                <w:rFonts w:ascii="宋体" w:hAnsi="宋体" w:eastAsia="宋体" w:cs="宋体"/>
                <w:color w:val="000000"/>
                <w:kern w:val="0"/>
                <w:sz w:val="22"/>
              </w:rPr>
            </w:pPr>
          </w:p>
        </w:tc>
        <w:tc>
          <w:tcPr>
            <w:tcW w:w="500" w:type="pct"/>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     其中：主动公开财政预算决算、“三公经费”和行政经费信息数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        主动公开保障性安居工程建设计划、项目开工和竣工情况，保障性住房的分配和退出等信息数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        主动公开食品安全标准，食品生产经营许可、专项检查整治等信息数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        主动公开环境核查审批、环境状况公报和重特大突发环境事件等信息数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        主动公开招投标违法违规行为及处理情况、国有资金占控股或者主导地位依法应当招标的项目等信息数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        主动公开生产安全事故的政府举措、处置进展、风险预警、防范措施等信息数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        主动公开农用地转为建设用地批准、征收集体土地批准、征地公告、征地补偿安置公示、集体土地征收结案等信息数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        主动公开政府指导价、政府定价和收费标准调整的项目、价格、依据、执行时间和范围等信息数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        主动公开本市企业信用信息系统中的警示信息和良好信息等信息数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        主动公开政府部门预算执行审计结果等信息数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        主动公开行政机关对与人民群众利益密切相关的公共企事业单位进行监督管理的信息数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        主动公开市人民政府决定主动公开的其他信息数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  （三）通过不同渠道和方式公开政府信息的情况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       1.政府公报公开政府信息数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       2.政府网站公开政府信息数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       3.政务微博公开政府信息数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       4.政务微信公开政府信息数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       5.其他方式公开政府信息数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 二、回应解读情况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  （一）回应公众关注热点或重大舆情数</w:t>
            </w:r>
          </w:p>
        </w:tc>
        <w:tc>
          <w:tcPr>
            <w:tcW w:w="404" w:type="pct"/>
            <w:vMerge w:val="restar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vMerge w:val="restar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     （不同方式回应同一热点或舆情计1次）</w:t>
            </w:r>
          </w:p>
        </w:tc>
        <w:tc>
          <w:tcPr>
            <w:tcW w:w="404" w:type="pct"/>
            <w:vMerge w:val="continue"/>
            <w:vAlign w:val="center"/>
          </w:tcPr>
          <w:p>
            <w:pPr>
              <w:widowControl/>
              <w:jc w:val="left"/>
              <w:rPr>
                <w:rFonts w:ascii="宋体" w:hAnsi="宋体" w:eastAsia="宋体" w:cs="宋体"/>
                <w:color w:val="000000"/>
                <w:kern w:val="0"/>
                <w:sz w:val="22"/>
              </w:rPr>
            </w:pPr>
          </w:p>
        </w:tc>
        <w:tc>
          <w:tcPr>
            <w:tcW w:w="500" w:type="pct"/>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  （二）通过不同渠道和方式回应解读的情况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       1.参加或举办新闻发布会总次数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         其中：主要负责同志参加新闻发布会次数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       2.政府网站在线访谈次数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         其中：主要负责同志参加政府网站在线访谈次数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       3.政策解读稿件发布数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篇</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       4.微博微信回应事件数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       5.其他方式回应事件数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 三、依申请公开情况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  （一）收到申请数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       1.当面申请数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       2.传真申请数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       3.网络申请数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       4.信函申请数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  （二）申请办结数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       1.按时办结数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       2.延期办结数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  （三）申请答复数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       1.属于已主动公开范围数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       2.同意公开答复数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       3.同意部分公开答复数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       4.不同意公开答复数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         其中：涉及国家秘密</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            涉及商业秘密</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            涉及个人隐私</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            危及国家安全、公共安全、经济安全和社会稳定</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            不是《条例》所指政府信息</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            法律法规规定的其他情形</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       5.不属于本行政机关公开数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       6.申请信息不存在数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       7.告知作出更改补充数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       8.告知通过其他途径办理数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 四、行政复议数量</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  （一）维持具体行政行为数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  （二）被依法纠错数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  （三）其他情形数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 五、行政诉讼数量</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  （一）维持具体行政行为或者驳回原告诉讼请求数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  （二）被依法纠错数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  （三）其他情形数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 六、举报投诉数量</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件</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 七、依申请公开信息收取的费用</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元</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 八、机构建设和保障经费情况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  （一）政府信息公开工作专门机构数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  （二）设置政府信息公开查阅点数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  （三）从事政府信息公开工作人员数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人</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       1.专职人员数（不包括政府公报及政府网站工作人员数）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人</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       2.兼职人员数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人</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  （四）政府信息公开专项经费（不包括用于政府公报编辑管理及政府网站建设维护等方面的经费）</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元</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 九、政府信息公开会议和培训情况</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  （一）召开政府信息公开工作会议或专题会议数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  （二）举办各类培训班数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6" w:type="pc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  （三）接受培训人员数</w:t>
            </w:r>
          </w:p>
        </w:tc>
        <w:tc>
          <w:tcPr>
            <w:tcW w:w="404"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人次</w:t>
            </w:r>
          </w:p>
        </w:tc>
        <w:tc>
          <w:tcPr>
            <w:tcW w:w="500" w:type="pct"/>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w:t>
            </w:r>
          </w:p>
        </w:tc>
      </w:tr>
    </w:tbl>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hint="eastAsia" w:ascii="仿宋_GB2312" w:hAnsi="宋体" w:eastAsia="仿宋_GB2312" w:cs="宋体"/>
          <w:kern w:val="0"/>
          <w:sz w:val="32"/>
          <w:szCs w:val="32"/>
        </w:rPr>
      </w:pPr>
    </w:p>
    <w:p>
      <w:pPr>
        <w:widowControl/>
        <w:jc w:val="left"/>
        <w:rPr>
          <w:rFonts w:hint="eastAsia" w:ascii="仿宋_GB2312" w:hAnsi="宋体" w:eastAsia="仿宋_GB2312" w:cs="宋体"/>
          <w:kern w:val="0"/>
          <w:sz w:val="20"/>
          <w:szCs w:val="20"/>
        </w:rPr>
      </w:pPr>
    </w:p>
    <w:p>
      <w:pPr>
        <w:rPr>
          <w:rFonts w:hint="eastAsia"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15"/>
    <w:rsid w:val="004E4A15"/>
    <w:rsid w:val="006566C4"/>
    <w:rsid w:val="006D7686"/>
    <w:rsid w:val="406E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748</Words>
  <Characters>4266</Characters>
  <Lines>35</Lines>
  <Paragraphs>10</Paragraphs>
  <TotalTime>5</TotalTime>
  <ScaleCrop>false</ScaleCrop>
  <LinksUpToDate>false</LinksUpToDate>
  <CharactersWithSpaces>5004</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2017-03-13T11:36:00Z</dcterms:created>
  <dc:creator>wangpeng</dc:creator>
  <cp:lastModifiedBy>admin</cp:lastModifiedBy>
  <dcterms:modified xsi:type="dcterms:W3CDTF">2021-01-18T09:10:58Z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