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pPr>
    </w:p>
    <w:p>
      <w:pPr>
        <w:pStyle w:val="16"/>
      </w:pPr>
    </w:p>
    <w:p>
      <w:pPr>
        <w:pStyle w:val="16"/>
      </w:pPr>
      <w:r>
        <w:rPr>
          <w:rFonts w:hint="eastAsia"/>
        </w:rPr>
        <w:t>北京市人民政府关于对违反师范毕业生服务期制度者追缴专业奖学金和培养费的规定</w:t>
      </w:r>
    </w:p>
    <w:p>
      <w:pPr>
        <w:pStyle w:val="14"/>
      </w:pPr>
      <w:r>
        <w:rPr>
          <w:rFonts w:hint="eastAsia"/>
        </w:rPr>
        <w:t>(1998年7月8日北京市人民政府第9号令发布　自1998年9月1日起施行)</w:t>
      </w:r>
    </w:p>
    <w:p>
      <w:pPr>
        <w:pStyle w:val="24"/>
      </w:pPr>
      <w:bookmarkStart w:id="0" w:name="_GoBack"/>
      <w:bookmarkEnd w:id="0"/>
    </w:p>
    <w:p>
      <w:pPr>
        <w:pStyle w:val="19"/>
        <w:rPr>
          <w:rFonts w:hint="eastAsia"/>
        </w:rPr>
      </w:pPr>
      <w:r>
        <w:rPr>
          <w:rFonts w:hint="eastAsia" w:ascii="黑体" w:hAnsi="黑体" w:eastAsia="黑体" w:cs="黑体"/>
        </w:rPr>
        <w:t>　　第一条</w:t>
      </w:r>
      <w:r>
        <w:rPr>
          <w:rFonts w:hint="eastAsia"/>
        </w:rPr>
        <w:t>　根据《北京市实施&lt;中华人民共和国教师法&gt;办法》(以下简称《办法》)第二十三条第二款的规定，制定本规定。</w:t>
      </w:r>
    </w:p>
    <w:p>
      <w:pPr>
        <w:pStyle w:val="19"/>
        <w:rPr>
          <w:rFonts w:hint="eastAsia"/>
        </w:rPr>
      </w:pPr>
      <w:r>
        <w:rPr>
          <w:rFonts w:hint="eastAsia" w:ascii="黑体" w:hAnsi="黑体" w:eastAsia="黑体" w:cs="黑体"/>
        </w:rPr>
        <w:t>　　第二条</w:t>
      </w:r>
      <w:r>
        <w:rPr>
          <w:rFonts w:hint="eastAsia"/>
        </w:rPr>
        <w:t>　师范毕业生违反师范毕业生服务期制度的，由市和区、县的教育行政部门或者劳动行政部门按《办法》第四条的职责划分责令其改正；拒不改正的，追缴在校期间的专业奖学金和培养费。</w:t>
      </w:r>
    </w:p>
    <w:p>
      <w:pPr>
        <w:pStyle w:val="19"/>
        <w:rPr>
          <w:rFonts w:hint="eastAsia"/>
        </w:rPr>
      </w:pPr>
      <w:r>
        <w:rPr>
          <w:rFonts w:hint="eastAsia" w:ascii="黑体" w:hAnsi="黑体" w:eastAsia="黑体" w:cs="黑体"/>
        </w:rPr>
        <w:t>　　第三条</w:t>
      </w:r>
      <w:r>
        <w:rPr>
          <w:rFonts w:hint="eastAsia"/>
        </w:rPr>
        <w:t>　追缴专业奖学金和培养费的标准，由市教育行政部门和市财政部门、市物价部门根据师范毕业生在校学习期间生均教育培养费用制定。</w:t>
      </w:r>
    </w:p>
    <w:p>
      <w:pPr>
        <w:pStyle w:val="19"/>
        <w:rPr>
          <w:rFonts w:hint="eastAsia"/>
        </w:rPr>
      </w:pPr>
      <w:r>
        <w:rPr>
          <w:rFonts w:hint="eastAsia"/>
        </w:rPr>
        <w:t>　　追缴数额按已服务年限，以每年递减20%的比例计算。</w:t>
      </w:r>
    </w:p>
    <w:p>
      <w:pPr>
        <w:pStyle w:val="19"/>
        <w:rPr>
          <w:rFonts w:hint="eastAsia"/>
        </w:rPr>
      </w:pPr>
      <w:r>
        <w:rPr>
          <w:rFonts w:hint="eastAsia"/>
        </w:rPr>
        <w:t>　　本规定中的服务年限自报到之日起开始计算。</w:t>
      </w:r>
    </w:p>
    <w:p>
      <w:pPr>
        <w:pStyle w:val="19"/>
        <w:rPr>
          <w:rFonts w:hint="eastAsia"/>
        </w:rPr>
      </w:pPr>
      <w:r>
        <w:rPr>
          <w:rFonts w:hint="eastAsia"/>
        </w:rPr>
        <w:t>　　师范毕业生不按国家规定从事教育教学工作的，全额追缴专业奖学金和培养费。</w:t>
      </w:r>
    </w:p>
    <w:p>
      <w:pPr>
        <w:pStyle w:val="19"/>
        <w:rPr>
          <w:rFonts w:hint="eastAsia"/>
        </w:rPr>
      </w:pPr>
      <w:r>
        <w:rPr>
          <w:rFonts w:hint="eastAsia" w:ascii="黑体" w:hAnsi="黑体" w:eastAsia="黑体" w:cs="黑体"/>
        </w:rPr>
        <w:t>　　第四条</w:t>
      </w:r>
      <w:r>
        <w:rPr>
          <w:rFonts w:hint="eastAsia"/>
        </w:rPr>
        <w:t>　追缴专业奖学金和培养费应使用北京市行政事业单位统一银钱收据，并作为其他收入纳入财政预算管理，专项用于补充教育经费。</w:t>
      </w:r>
    </w:p>
    <w:p>
      <w:pPr>
        <w:pStyle w:val="19"/>
        <w:rPr>
          <w:rFonts w:hint="eastAsia"/>
        </w:rPr>
      </w:pPr>
      <w:r>
        <w:rPr>
          <w:rFonts w:hint="eastAsia" w:ascii="黑体" w:hAnsi="黑体" w:eastAsia="黑体" w:cs="黑体"/>
        </w:rPr>
        <w:t>　　第五条</w:t>
      </w:r>
      <w:r>
        <w:rPr>
          <w:rFonts w:hint="eastAsia"/>
        </w:rPr>
        <w:t>　区、县自行举办的师资班毕业生，参照本规定办理。</w:t>
      </w:r>
    </w:p>
    <w:p>
      <w:pPr>
        <w:pStyle w:val="19"/>
        <w:rPr>
          <w:rFonts w:hint="eastAsia"/>
        </w:rPr>
      </w:pPr>
      <w:r>
        <w:rPr>
          <w:rFonts w:hint="eastAsia" w:ascii="黑体" w:hAnsi="黑体" w:eastAsia="黑体" w:cs="黑体"/>
        </w:rPr>
        <w:t>　　第六条</w:t>
      </w:r>
      <w:r>
        <w:rPr>
          <w:rFonts w:hint="eastAsia"/>
        </w:rPr>
        <w:t>　本规定执行中的具体问题由市教育行政部门、市劳动行政部门按照各自职责划分负责解释。</w:t>
      </w:r>
    </w:p>
    <w:p>
      <w:pPr>
        <w:pStyle w:val="19"/>
        <w:rPr>
          <w:rFonts w:hint="eastAsia"/>
        </w:rPr>
      </w:pPr>
      <w:r>
        <w:rPr>
          <w:rFonts w:hint="eastAsia" w:ascii="黑体" w:hAnsi="黑体" w:eastAsia="黑体" w:cs="黑体"/>
        </w:rPr>
        <w:t>　　第七条</w:t>
      </w:r>
      <w:r>
        <w:rPr>
          <w:rFonts w:hint="eastAsia"/>
        </w:rPr>
        <w:t>　本规定自1998年9月1日起施行。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北京市人民政府发布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A54B2A"/>
    <w:rsid w:val="000F0D3B"/>
    <w:rsid w:val="000F54C2"/>
    <w:rsid w:val="001568D2"/>
    <w:rsid w:val="004D168F"/>
    <w:rsid w:val="0064698B"/>
    <w:rsid w:val="006A4B10"/>
    <w:rsid w:val="007A52E8"/>
    <w:rsid w:val="00804AC2"/>
    <w:rsid w:val="008C7C50"/>
    <w:rsid w:val="0092175F"/>
    <w:rsid w:val="009823BE"/>
    <w:rsid w:val="00A275E3"/>
    <w:rsid w:val="00A64335"/>
    <w:rsid w:val="00AB58B6"/>
    <w:rsid w:val="00AD3E8F"/>
    <w:rsid w:val="00B73F6F"/>
    <w:rsid w:val="00B93733"/>
    <w:rsid w:val="00C11876"/>
    <w:rsid w:val="00C44B2C"/>
    <w:rsid w:val="00DA5E39"/>
    <w:rsid w:val="00DD4E6B"/>
    <w:rsid w:val="00E45C29"/>
    <w:rsid w:val="00EF5B35"/>
    <w:rsid w:val="00F565E3"/>
    <w:rsid w:val="044A53F8"/>
    <w:rsid w:val="094F2442"/>
    <w:rsid w:val="0B280268"/>
    <w:rsid w:val="281D07CF"/>
    <w:rsid w:val="38643531"/>
    <w:rsid w:val="3CC1428F"/>
    <w:rsid w:val="40394326"/>
    <w:rsid w:val="4EB822FF"/>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0"/>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link w:val="11"/>
    <w:qFormat/>
    <w:uiPriority w:val="0"/>
    <w:pPr>
      <w:spacing w:before="240" w:after="60"/>
      <w:jc w:val="center"/>
      <w:outlineLvl w:val="0"/>
    </w:pPr>
    <w:rPr>
      <w:rFonts w:asciiTheme="majorHAnsi" w:hAnsiTheme="majorHAnsi" w:eastAsiaTheme="majorEastAsia" w:cstheme="majorBidi"/>
      <w:b/>
      <w:bCs/>
      <w:sz w:val="32"/>
      <w:szCs w:val="32"/>
    </w:rPr>
  </w:style>
  <w:style w:type="character" w:customStyle="1" w:styleId="10">
    <w:name w:val="批注文字 字符"/>
    <w:basedOn w:val="9"/>
    <w:link w:val="3"/>
    <w:uiPriority w:val="0"/>
    <w:rPr>
      <w:rFonts w:asciiTheme="minorHAnsi" w:hAnsiTheme="minorHAnsi" w:eastAsiaTheme="minorEastAsia" w:cstheme="minorBidi"/>
      <w:kern w:val="2"/>
      <w:sz w:val="21"/>
      <w:szCs w:val="24"/>
    </w:rPr>
  </w:style>
  <w:style w:type="character" w:customStyle="1" w:styleId="11">
    <w:name w:val="标题 字符"/>
    <w:basedOn w:val="9"/>
    <w:link w:val="7"/>
    <w:qFormat/>
    <w:uiPriority w:val="0"/>
    <w:rPr>
      <w:rFonts w:asciiTheme="majorHAnsi" w:hAnsiTheme="majorHAnsi" w:eastAsiaTheme="majorEastAsia" w:cstheme="majorBidi"/>
      <w:b/>
      <w:bCs/>
      <w:kern w:val="2"/>
      <w:sz w:val="32"/>
      <w:szCs w:val="32"/>
    </w:rPr>
  </w:style>
  <w:style w:type="character" w:customStyle="1" w:styleId="12">
    <w:name w:val="标题 1 字符"/>
    <w:basedOn w:val="9"/>
    <w:link w:val="2"/>
    <w:uiPriority w:val="0"/>
    <w:rPr>
      <w:rFonts w:asciiTheme="minorHAnsi" w:hAnsiTheme="minorHAnsi" w:eastAsiaTheme="minorEastAsia" w:cstheme="minorBidi"/>
      <w:b/>
      <w:bCs/>
      <w:kern w:val="44"/>
      <w:sz w:val="44"/>
      <w:szCs w:val="44"/>
    </w:rPr>
  </w:style>
  <w:style w:type="character" w:customStyle="1" w:styleId="13">
    <w:name w:val="中文正文 (宋体) 二号"/>
    <w:basedOn w:val="9"/>
    <w:uiPriority w:val="0"/>
    <w:rPr>
      <w:rFonts w:asciiTheme="minorEastAsia" w:hAnsiTheme="minorEastAsia"/>
      <w:sz w:val="44"/>
    </w:rPr>
  </w:style>
  <w:style w:type="paragraph" w:customStyle="1" w:styleId="14">
    <w:name w:val="规章提注"/>
    <w:basedOn w:val="7"/>
    <w:link w:val="15"/>
    <w:qFormat/>
    <w:uiPriority w:val="0"/>
    <w:pPr>
      <w:ind w:firstLine="640"/>
      <w:jc w:val="left"/>
    </w:pPr>
    <w:rPr>
      <w:rFonts w:ascii="楷体_GB2312" w:eastAsia="楷体_GB2312" w:hAnsiTheme="minorEastAsia"/>
      <w:b w:val="0"/>
      <w:bCs w:val="0"/>
    </w:rPr>
  </w:style>
  <w:style w:type="character" w:customStyle="1" w:styleId="15">
    <w:name w:val="规章提注 字符"/>
    <w:basedOn w:val="11"/>
    <w:link w:val="14"/>
    <w:uiPriority w:val="0"/>
    <w:rPr>
      <w:rFonts w:ascii="楷体_GB2312" w:eastAsia="楷体_GB2312" w:hAnsiTheme="minorEastAsia" w:cstheme="majorBidi"/>
      <w:b w:val="0"/>
      <w:bCs w:val="0"/>
      <w:kern w:val="2"/>
      <w:sz w:val="32"/>
      <w:szCs w:val="32"/>
    </w:rPr>
  </w:style>
  <w:style w:type="paragraph" w:customStyle="1" w:styleId="16">
    <w:name w:val="规章标题"/>
    <w:basedOn w:val="1"/>
    <w:link w:val="18"/>
    <w:qFormat/>
    <w:uiPriority w:val="0"/>
    <w:pPr>
      <w:jc w:val="center"/>
    </w:pPr>
    <w:rPr>
      <w:sz w:val="44"/>
    </w:rPr>
  </w:style>
  <w:style w:type="paragraph" w:customStyle="1" w:styleId="17">
    <w:name w:val="规章黑体"/>
    <w:basedOn w:val="1"/>
    <w:link w:val="20"/>
    <w:qFormat/>
    <w:uiPriority w:val="0"/>
    <w:pPr>
      <w:jc w:val="center"/>
    </w:pPr>
    <w:rPr>
      <w:rFonts w:ascii="黑体" w:hAnsi="黑体" w:eastAsia="黑体"/>
      <w:sz w:val="32"/>
      <w:szCs w:val="32"/>
    </w:rPr>
  </w:style>
  <w:style w:type="character" w:customStyle="1" w:styleId="18">
    <w:name w:val="规章标题 字符"/>
    <w:basedOn w:val="9"/>
    <w:link w:val="16"/>
    <w:qFormat/>
    <w:uiPriority w:val="0"/>
    <w:rPr>
      <w:rFonts w:asciiTheme="minorHAnsi" w:hAnsiTheme="minorHAnsi" w:eastAsiaTheme="minorEastAsia" w:cstheme="minorBidi"/>
      <w:kern w:val="2"/>
      <w:sz w:val="44"/>
      <w:szCs w:val="24"/>
    </w:rPr>
  </w:style>
  <w:style w:type="paragraph" w:customStyle="1" w:styleId="19">
    <w:name w:val="规章仿宋三"/>
    <w:basedOn w:val="1"/>
    <w:link w:val="22"/>
    <w:qFormat/>
    <w:uiPriority w:val="0"/>
    <w:rPr>
      <w:rFonts w:ascii="仿宋_GB2312" w:eastAsia="仿宋_GB2312"/>
      <w:sz w:val="32"/>
      <w:szCs w:val="32"/>
    </w:rPr>
  </w:style>
  <w:style w:type="character" w:customStyle="1" w:styleId="20">
    <w:name w:val="规章黑体 字符"/>
    <w:basedOn w:val="9"/>
    <w:link w:val="17"/>
    <w:uiPriority w:val="0"/>
    <w:rPr>
      <w:rFonts w:ascii="黑体" w:hAnsi="黑体" w:eastAsia="黑体" w:cstheme="minorBidi"/>
      <w:kern w:val="2"/>
      <w:sz w:val="32"/>
      <w:szCs w:val="32"/>
    </w:rPr>
  </w:style>
  <w:style w:type="paragraph" w:customStyle="1" w:styleId="21">
    <w:name w:val="提注后空行宋体小二"/>
    <w:basedOn w:val="7"/>
    <w:link w:val="23"/>
    <w:qFormat/>
    <w:uiPriority w:val="0"/>
    <w:pPr>
      <w:jc w:val="left"/>
    </w:pPr>
    <w:rPr>
      <w:rFonts w:asciiTheme="minorEastAsia" w:hAnsiTheme="minorEastAsia" w:eastAsiaTheme="minorEastAsia"/>
      <w:b w:val="0"/>
      <w:sz w:val="36"/>
      <w:szCs w:val="36"/>
    </w:rPr>
  </w:style>
  <w:style w:type="character" w:customStyle="1" w:styleId="22">
    <w:name w:val="规章仿宋三 字符"/>
    <w:basedOn w:val="9"/>
    <w:link w:val="19"/>
    <w:uiPriority w:val="0"/>
    <w:rPr>
      <w:rFonts w:ascii="仿宋_GB2312" w:eastAsia="仿宋_GB2312" w:hAnsiTheme="minorHAnsi" w:cstheme="minorBidi"/>
      <w:kern w:val="2"/>
      <w:sz w:val="32"/>
      <w:szCs w:val="32"/>
    </w:rPr>
  </w:style>
  <w:style w:type="character" w:customStyle="1" w:styleId="23">
    <w:name w:val="提注后空行宋体小二 字符"/>
    <w:basedOn w:val="11"/>
    <w:link w:val="21"/>
    <w:uiPriority w:val="0"/>
    <w:rPr>
      <w:rFonts w:asciiTheme="minorEastAsia" w:hAnsiTheme="minorEastAsia" w:eastAsiaTheme="minorEastAsia" w:cstheme="majorBidi"/>
      <w:b w:val="0"/>
      <w:kern w:val="2"/>
      <w:sz w:val="36"/>
      <w:szCs w:val="36"/>
    </w:rPr>
  </w:style>
  <w:style w:type="paragraph" w:customStyle="1" w:styleId="24">
    <w:name w:val="规章宋体小二"/>
    <w:basedOn w:val="1"/>
    <w:link w:val="25"/>
    <w:qFormat/>
    <w:uiPriority w:val="0"/>
    <w:rPr>
      <w:rFonts w:ascii="宋体" w:hAnsi="宋体" w:eastAsia="宋体" w:cs="宋体"/>
      <w:color w:val="333333"/>
      <w:sz w:val="36"/>
      <w:szCs w:val="36"/>
      <w:shd w:val="clear" w:color="auto" w:fill="FFFFFF"/>
    </w:rPr>
  </w:style>
  <w:style w:type="character" w:customStyle="1" w:styleId="25">
    <w:name w:val="规章宋体小二 字符"/>
    <w:basedOn w:val="9"/>
    <w:link w:val="24"/>
    <w:uiPriority w:val="0"/>
    <w:rPr>
      <w:rFonts w:ascii="宋体" w:hAnsi="宋体" w:cs="宋体"/>
      <w:color w:val="333333"/>
      <w:kern w:val="2"/>
      <w:sz w:val="36"/>
      <w:szCs w:val="36"/>
    </w:rPr>
  </w:style>
  <w:style w:type="paragraph" w:customStyle="1" w:styleId="26">
    <w:name w:val="仿宋"/>
    <w:basedOn w:val="1"/>
    <w:link w:val="27"/>
    <w:qFormat/>
    <w:uiPriority w:val="0"/>
    <w:pPr>
      <w:spacing w:before="240" w:after="240" w:line="360" w:lineRule="auto"/>
    </w:pPr>
    <w:rPr>
      <w:rFonts w:ascii="Times New Roman" w:hAnsi="Times New Roman" w:eastAsia="仿宋_GB2312" w:cs="Times New Roman"/>
      <w:sz w:val="24"/>
      <w:szCs w:val="20"/>
    </w:rPr>
  </w:style>
  <w:style w:type="character" w:customStyle="1" w:styleId="27">
    <w:name w:val="仿宋 字符"/>
    <w:basedOn w:val="9"/>
    <w:link w:val="26"/>
    <w:uiPriority w:val="0"/>
    <w:rPr>
      <w:rFonts w:eastAsia="仿宋_GB2312"/>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277</Words>
  <Characters>277</Characters>
  <Lines>14</Lines>
  <Paragraphs>12</Paragraphs>
  <TotalTime>5</TotalTime>
  <ScaleCrop>false</ScaleCrop>
  <LinksUpToDate>false</LinksUpToDate>
  <CharactersWithSpaces>542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2021-12-03T03:08:00Z</dcterms:created>
  <dc:creator>Lenovo</dc:creator>
  <cp:lastModifiedBy>两两相见不惊艳</cp:lastModifiedBy>
  <dcterms:modified xsi:type="dcterms:W3CDTF">2021-12-17T10:39:05Z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FCE7CE08214B41E19B23CC0474F05A52</vt:lpwstr>
  </property>
</Properties>
</file>