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2DCE" w14:textId="77777777" w:rsidR="00FF21F4" w:rsidRPr="00901529" w:rsidRDefault="00FF21F4" w:rsidP="00FF21F4">
      <w:pPr>
        <w:jc w:val="center"/>
        <w:rPr>
          <w:rFonts w:ascii="仿宋_GB2312" w:eastAsia="仿宋_GB2312" w:hAnsi="仿宋_GB2312" w:cs="仿宋_GB2312"/>
          <w:sz w:val="32"/>
          <w:szCs w:val="32"/>
        </w:rPr>
      </w:pPr>
    </w:p>
    <w:p w14:paraId="26E124EF" w14:textId="77777777" w:rsidR="00FF21F4" w:rsidRPr="00901529" w:rsidRDefault="00FF21F4" w:rsidP="00FF21F4">
      <w:pPr>
        <w:rPr>
          <w:rFonts w:ascii="仿宋_GB2312" w:eastAsia="仿宋_GB2312" w:hAnsi="仿宋_GB2312" w:cs="仿宋_GB2312"/>
          <w:sz w:val="32"/>
          <w:szCs w:val="32"/>
        </w:rPr>
      </w:pPr>
    </w:p>
    <w:p w14:paraId="2652AA49" w14:textId="3B128121" w:rsidR="00FF21F4" w:rsidRPr="00901529" w:rsidRDefault="00FF21F4" w:rsidP="00FF21F4">
      <w:pPr>
        <w:pStyle w:val="a6"/>
        <w:widowControl/>
        <w:shd w:val="clear" w:color="auto" w:fill="FFFFFF"/>
        <w:spacing w:beforeAutospacing="0" w:afterAutospacing="0"/>
        <w:jc w:val="center"/>
        <w:rPr>
          <w:rFonts w:ascii="宋体" w:eastAsia="宋体" w:hAnsi="宋体"/>
          <w:color w:val="2B2B2B"/>
          <w:sz w:val="44"/>
          <w:szCs w:val="44"/>
          <w:shd w:val="clear" w:color="auto" w:fill="FFFFFF"/>
        </w:rPr>
      </w:pPr>
      <w:r w:rsidRPr="00FF21F4">
        <w:rPr>
          <w:rFonts w:ascii="宋体" w:eastAsia="宋体" w:hAnsi="宋体"/>
          <w:color w:val="2B2B2B"/>
          <w:sz w:val="44"/>
          <w:szCs w:val="44"/>
          <w:shd w:val="clear" w:color="auto" w:fill="FFFFFF"/>
        </w:rPr>
        <w:t>北京市关于在公众交易中禁止使用杆秤的规定</w:t>
      </w:r>
    </w:p>
    <w:p w14:paraId="4C5B749B" w14:textId="61B7DDAE" w:rsidR="00FF21F4" w:rsidRPr="00747801" w:rsidRDefault="00FF21F4" w:rsidP="00FF21F4">
      <w:pPr>
        <w:pStyle w:val="a6"/>
        <w:widowControl/>
        <w:shd w:val="clear" w:color="auto" w:fill="FFFFFF"/>
        <w:spacing w:beforeAutospacing="0" w:afterAutospacing="0"/>
        <w:rPr>
          <w:rFonts w:ascii="楷体_GB2312" w:eastAsia="楷体_GB2312" w:hAnsi="Helvetica"/>
          <w:color w:val="2B2B2B"/>
          <w:sz w:val="32"/>
          <w:szCs w:val="32"/>
          <w:shd w:val="clear" w:color="auto" w:fill="FFFFFF"/>
        </w:rPr>
      </w:pPr>
      <w:r w:rsidRPr="00901529">
        <w:rPr>
          <w:rFonts w:ascii="仿宋_GB2312" w:eastAsia="仿宋_GB2312" w:hAnsi="仿宋_GB2312" w:cs="仿宋_GB2312" w:hint="eastAsia"/>
          <w:sz w:val="32"/>
          <w:szCs w:val="32"/>
        </w:rPr>
        <w:t xml:space="preserve">　</w:t>
      </w:r>
      <w:r w:rsidRPr="00FF21F4">
        <w:rPr>
          <w:rFonts w:ascii="楷体_GB2312" w:eastAsia="楷体_GB2312" w:hAnsi="Helvetica" w:hint="eastAsia"/>
          <w:color w:val="2B2B2B"/>
          <w:sz w:val="32"/>
          <w:szCs w:val="32"/>
          <w:shd w:val="clear" w:color="auto" w:fill="FFFFFF"/>
        </w:rPr>
        <w:t xml:space="preserve">　</w:t>
      </w:r>
      <w:r w:rsidRPr="00FF21F4">
        <w:rPr>
          <w:rFonts w:ascii="楷体_GB2312" w:eastAsia="楷体_GB2312" w:hAnsi="Helvetica"/>
          <w:color w:val="2B2B2B"/>
          <w:sz w:val="32"/>
          <w:szCs w:val="32"/>
          <w:shd w:val="clear" w:color="auto" w:fill="FFFFFF"/>
        </w:rPr>
        <w:t>(1995年7月5日北京市人民政府第20号令发布　自1995年12月1日起施行)</w:t>
      </w:r>
    </w:p>
    <w:p w14:paraId="6B954016" w14:textId="77777777" w:rsidR="00FF21F4" w:rsidRPr="00E0292E" w:rsidRDefault="00FF21F4" w:rsidP="00FF21F4">
      <w:pPr>
        <w:pStyle w:val="a6"/>
        <w:widowControl/>
        <w:shd w:val="clear" w:color="auto" w:fill="FFFFFF"/>
        <w:spacing w:beforeAutospacing="0" w:afterAutospacing="0"/>
        <w:rPr>
          <w:rFonts w:ascii="仿宋_GB2312" w:eastAsia="仿宋_GB2312" w:hAnsi="Helvetica"/>
          <w:color w:val="2B2B2B"/>
          <w:sz w:val="32"/>
          <w:szCs w:val="32"/>
          <w:shd w:val="clear" w:color="auto" w:fill="FFFFFF"/>
        </w:rPr>
      </w:pPr>
    </w:p>
    <w:p w14:paraId="70B7F112"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w:t>
      </w:r>
      <w:r w:rsidRPr="00E0292E">
        <w:rPr>
          <w:rFonts w:ascii="黑体" w:eastAsia="黑体" w:hAnsi="黑体" w:hint="eastAsia"/>
          <w:color w:val="2B2B2B"/>
          <w:sz w:val="32"/>
          <w:szCs w:val="32"/>
          <w:shd w:val="clear" w:color="auto" w:fill="FFFFFF"/>
        </w:rPr>
        <w:t>第一条</w:t>
      </w:r>
      <w:r w:rsidRPr="00E0292E">
        <w:rPr>
          <w:rFonts w:ascii="仿宋_GB2312" w:eastAsia="仿宋_GB2312" w:hAnsi="Helvetica" w:hint="eastAsia"/>
          <w:color w:val="2B2B2B"/>
          <w:sz w:val="32"/>
          <w:szCs w:val="32"/>
          <w:shd w:val="clear" w:color="auto" w:fill="FFFFFF"/>
        </w:rPr>
        <w:t xml:space="preserve">　为了保证计量准确，维护公平交易，保护消费者和经营者的合法权益，根据《中华人民共和国计量法》和国家有关规定，结合本市实际情况，制定本规定。</w:t>
      </w:r>
    </w:p>
    <w:p w14:paraId="5BA82C5F"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w:t>
      </w:r>
      <w:r w:rsidRPr="00E0292E">
        <w:rPr>
          <w:rFonts w:ascii="黑体" w:eastAsia="黑体" w:hAnsi="黑体" w:hint="eastAsia"/>
          <w:color w:val="2B2B2B"/>
          <w:sz w:val="32"/>
          <w:szCs w:val="32"/>
          <w:shd w:val="clear" w:color="auto" w:fill="FFFFFF"/>
        </w:rPr>
        <w:t>第二条</w:t>
      </w:r>
      <w:r w:rsidRPr="00E0292E">
        <w:rPr>
          <w:rFonts w:ascii="仿宋_GB2312" w:eastAsia="仿宋_GB2312" w:hAnsi="Helvetica" w:hint="eastAsia"/>
          <w:color w:val="2B2B2B"/>
          <w:sz w:val="32"/>
          <w:szCs w:val="32"/>
          <w:shd w:val="clear" w:color="auto" w:fill="FFFFFF"/>
        </w:rPr>
        <w:t xml:space="preserve">　在本市公众交易中使用衡器的企业、其他经济组织和个体工商户(以下统称经营者)，必须遵守本规定。</w:t>
      </w:r>
    </w:p>
    <w:p w14:paraId="5DBB1F3D"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w:t>
      </w:r>
      <w:r w:rsidRPr="00E0292E">
        <w:rPr>
          <w:rFonts w:ascii="黑体" w:eastAsia="黑体" w:hAnsi="黑体" w:hint="eastAsia"/>
          <w:color w:val="2B2B2B"/>
          <w:sz w:val="32"/>
          <w:szCs w:val="32"/>
          <w:shd w:val="clear" w:color="auto" w:fill="FFFFFF"/>
        </w:rPr>
        <w:t>第三条</w:t>
      </w:r>
      <w:r w:rsidRPr="00E0292E">
        <w:rPr>
          <w:rFonts w:ascii="仿宋_GB2312" w:eastAsia="仿宋_GB2312" w:hAnsi="Helvetica" w:hint="eastAsia"/>
          <w:color w:val="2B2B2B"/>
          <w:sz w:val="32"/>
          <w:szCs w:val="32"/>
          <w:shd w:val="clear" w:color="auto" w:fill="FFFFFF"/>
        </w:rPr>
        <w:t xml:space="preserve">　本市在公众交易中禁止使用杆秤。</w:t>
      </w:r>
    </w:p>
    <w:p w14:paraId="6EAA421F"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本市城区、近郊区自1995年12月1日起，禁止在公众交易中使用杆秤；本市远郊区、县禁止使用杆秤的具体范围、时间，由区、县人民政府决定，报市技术监督局备案。</w:t>
      </w:r>
    </w:p>
    <w:p w14:paraId="14B78CBC"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w:t>
      </w:r>
      <w:r w:rsidRPr="00E0292E">
        <w:rPr>
          <w:rFonts w:ascii="黑体" w:eastAsia="黑体" w:hAnsi="黑体" w:hint="eastAsia"/>
          <w:color w:val="2B2B2B"/>
          <w:sz w:val="32"/>
          <w:szCs w:val="32"/>
          <w:shd w:val="clear" w:color="auto" w:fill="FFFFFF"/>
        </w:rPr>
        <w:t>第四条</w:t>
      </w:r>
      <w:r w:rsidRPr="00E0292E">
        <w:rPr>
          <w:rFonts w:ascii="仿宋_GB2312" w:eastAsia="仿宋_GB2312" w:hAnsi="Helvetica" w:hint="eastAsia"/>
          <w:color w:val="2B2B2B"/>
          <w:sz w:val="32"/>
          <w:szCs w:val="32"/>
          <w:shd w:val="clear" w:color="auto" w:fill="FFFFFF"/>
        </w:rPr>
        <w:t xml:space="preserve">　在公众交易中使用的衡器，应当符合国家和本市有关规定，并经市和区、县技术监督局检定合格。</w:t>
      </w:r>
    </w:p>
    <w:p w14:paraId="609ECA4F"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在公众交易中使用衡器的经营者，应当在本交易场所设置“公平秤”；举办集贸市场、展销会和出租柜台、摊位的单位</w:t>
      </w:r>
      <w:r w:rsidRPr="00E0292E">
        <w:rPr>
          <w:rFonts w:ascii="仿宋_GB2312" w:eastAsia="仿宋_GB2312" w:hAnsi="Helvetica" w:hint="eastAsia"/>
          <w:color w:val="2B2B2B"/>
          <w:sz w:val="32"/>
          <w:szCs w:val="32"/>
          <w:shd w:val="clear" w:color="auto" w:fill="FFFFFF"/>
        </w:rPr>
        <w:lastRenderedPageBreak/>
        <w:t>(以下简称举办者和出租者)，负责在本交易场所设置“公平秤”。</w:t>
      </w:r>
    </w:p>
    <w:p w14:paraId="46C41383"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鼓励将电子秤作为“公平秤”。</w:t>
      </w:r>
    </w:p>
    <w:p w14:paraId="6B2D681F"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w:t>
      </w:r>
      <w:r w:rsidRPr="00E0292E">
        <w:rPr>
          <w:rFonts w:ascii="黑体" w:eastAsia="黑体" w:hAnsi="黑体" w:hint="eastAsia"/>
          <w:color w:val="2B2B2B"/>
          <w:sz w:val="32"/>
          <w:szCs w:val="32"/>
          <w:shd w:val="clear" w:color="auto" w:fill="FFFFFF"/>
        </w:rPr>
        <w:t>第五条</w:t>
      </w:r>
      <w:r w:rsidRPr="00E0292E">
        <w:rPr>
          <w:rFonts w:ascii="仿宋_GB2312" w:eastAsia="仿宋_GB2312" w:hAnsi="Helvetica" w:hint="eastAsia"/>
          <w:color w:val="2B2B2B"/>
          <w:sz w:val="32"/>
          <w:szCs w:val="32"/>
          <w:shd w:val="clear" w:color="auto" w:fill="FFFFFF"/>
        </w:rPr>
        <w:t xml:space="preserve">　举办者和出租者应当督促使用衡器的经营者使用由市技术监督局确认的双面显示的电子</w:t>
      </w:r>
      <w:proofErr w:type="gramStart"/>
      <w:r w:rsidRPr="00E0292E">
        <w:rPr>
          <w:rFonts w:ascii="仿宋_GB2312" w:eastAsia="仿宋_GB2312" w:hAnsi="Helvetica" w:hint="eastAsia"/>
          <w:color w:val="2B2B2B"/>
          <w:sz w:val="32"/>
          <w:szCs w:val="32"/>
          <w:shd w:val="clear" w:color="auto" w:fill="FFFFFF"/>
        </w:rPr>
        <w:t>秤或者</w:t>
      </w:r>
      <w:proofErr w:type="gramEnd"/>
      <w:r w:rsidRPr="00E0292E">
        <w:rPr>
          <w:rFonts w:ascii="仿宋_GB2312" w:eastAsia="仿宋_GB2312" w:hAnsi="Helvetica" w:hint="eastAsia"/>
          <w:color w:val="2B2B2B"/>
          <w:sz w:val="32"/>
          <w:szCs w:val="32"/>
          <w:shd w:val="clear" w:color="auto" w:fill="FFFFFF"/>
        </w:rPr>
        <w:t>机械秤。</w:t>
      </w:r>
    </w:p>
    <w:p w14:paraId="48005DCE"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经营者自带衡器有困难的，由举办者和出租者负责提供。</w:t>
      </w:r>
    </w:p>
    <w:p w14:paraId="511B7B15"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w:t>
      </w:r>
      <w:r w:rsidRPr="00E0292E">
        <w:rPr>
          <w:rFonts w:ascii="黑体" w:eastAsia="黑体" w:hAnsi="黑体" w:hint="eastAsia"/>
          <w:color w:val="2B2B2B"/>
          <w:sz w:val="32"/>
          <w:szCs w:val="32"/>
          <w:shd w:val="clear" w:color="auto" w:fill="FFFFFF"/>
        </w:rPr>
        <w:t>第六条</w:t>
      </w:r>
      <w:r w:rsidRPr="00E0292E">
        <w:rPr>
          <w:rFonts w:ascii="仿宋_GB2312" w:eastAsia="仿宋_GB2312" w:hAnsi="Helvetica" w:hint="eastAsia"/>
          <w:color w:val="2B2B2B"/>
          <w:sz w:val="32"/>
          <w:szCs w:val="32"/>
          <w:shd w:val="clear" w:color="auto" w:fill="FFFFFF"/>
        </w:rPr>
        <w:t xml:space="preserve">　违反本规定的行为，按照下列规定处罚：</w:t>
      </w:r>
    </w:p>
    <w:p w14:paraId="264DA6E7"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w:t>
      </w:r>
      <w:proofErr w:type="gramStart"/>
      <w:r w:rsidRPr="00E0292E">
        <w:rPr>
          <w:rFonts w:ascii="仿宋_GB2312" w:eastAsia="仿宋_GB2312" w:hAnsi="Helvetica" w:hint="eastAsia"/>
          <w:color w:val="2B2B2B"/>
          <w:sz w:val="32"/>
          <w:szCs w:val="32"/>
          <w:shd w:val="clear" w:color="auto" w:fill="FFFFFF"/>
        </w:rPr>
        <w:t>一</w:t>
      </w:r>
      <w:proofErr w:type="gramEnd"/>
      <w:r w:rsidRPr="00E0292E">
        <w:rPr>
          <w:rFonts w:ascii="仿宋_GB2312" w:eastAsia="仿宋_GB2312" w:hAnsi="Helvetica" w:hint="eastAsia"/>
          <w:color w:val="2B2B2B"/>
          <w:sz w:val="32"/>
          <w:szCs w:val="32"/>
          <w:shd w:val="clear" w:color="auto" w:fill="FFFFFF"/>
        </w:rPr>
        <w:t>)违反本规定第三条的规定，在公众交易中继续使用杆秤的，没收杆秤，并处以100元以上500元以下罚款；</w:t>
      </w:r>
    </w:p>
    <w:p w14:paraId="0C08B055"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(二)违反本规定第四条第一款规定，使用衡器不符合要求的，依照国家有关法律、法规的规定处罚；</w:t>
      </w:r>
    </w:p>
    <w:p w14:paraId="44615A23"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(三)违反本规定第四条第二款规定，不设置“公平秤”的，责令其限期设置；逾期仍不设置的，处以1000元以上5000元以下罚款；</w:t>
      </w:r>
    </w:p>
    <w:p w14:paraId="65CBBF76"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(四)举办者和出租者不履行本规定第五条第一款的督促责任或者不按照第二款规定提供衡器，致使在公众交易中继续使用不符合规定的衡器的，对举办者和出租者处以5000元以上1万元以下罚款。</w:t>
      </w:r>
    </w:p>
    <w:p w14:paraId="547D0E66" w14:textId="77777777" w:rsidR="00E0292E" w:rsidRPr="00E0292E" w:rsidRDefault="00E0292E" w:rsidP="00E0292E">
      <w:pPr>
        <w:pStyle w:val="a6"/>
        <w:widowControl/>
        <w:shd w:val="clear" w:color="auto" w:fill="FFFFFF"/>
        <w:spacing w:beforeAutospacing="0" w:afterAutospacing="0"/>
        <w:rPr>
          <w:rFonts w:ascii="仿宋_GB2312" w:eastAsia="仿宋_GB2312" w:hAnsi="Helvetica" w:hint="eastAsi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lastRenderedPageBreak/>
        <w:t xml:space="preserve">　　</w:t>
      </w:r>
      <w:r w:rsidRPr="00E0292E">
        <w:rPr>
          <w:rFonts w:ascii="黑体" w:eastAsia="黑体" w:hAnsi="黑体" w:hint="eastAsia"/>
          <w:color w:val="2B2B2B"/>
          <w:sz w:val="32"/>
          <w:szCs w:val="32"/>
          <w:shd w:val="clear" w:color="auto" w:fill="FFFFFF"/>
        </w:rPr>
        <w:t>第七条</w:t>
      </w:r>
      <w:r w:rsidRPr="00E0292E">
        <w:rPr>
          <w:rFonts w:ascii="仿宋_GB2312" w:eastAsia="仿宋_GB2312" w:hAnsi="Helvetica" w:hint="eastAsia"/>
          <w:color w:val="2B2B2B"/>
          <w:sz w:val="32"/>
          <w:szCs w:val="32"/>
          <w:shd w:val="clear" w:color="auto" w:fill="FFFFFF"/>
        </w:rPr>
        <w:t xml:space="preserve">　本规定第六条规定的行政处罚，由技术监督部门和工商行政管理部门执行。但对同一违法行为的行政处罚，不得重复进行。</w:t>
      </w:r>
    </w:p>
    <w:p w14:paraId="622E8F57" w14:textId="5C9E348C" w:rsidR="00E574F3" w:rsidRPr="00E0292E" w:rsidRDefault="00E0292E" w:rsidP="00E0292E">
      <w:pPr>
        <w:pStyle w:val="a6"/>
        <w:widowControl/>
        <w:shd w:val="clear" w:color="auto" w:fill="FFFFFF"/>
        <w:spacing w:beforeAutospacing="0" w:afterAutospacing="0"/>
        <w:rPr>
          <w:rFonts w:ascii="仿宋_GB2312" w:eastAsia="仿宋_GB2312" w:hAnsi="Helvetica"/>
          <w:color w:val="2B2B2B"/>
          <w:sz w:val="32"/>
          <w:szCs w:val="32"/>
          <w:shd w:val="clear" w:color="auto" w:fill="FFFFFF"/>
        </w:rPr>
      </w:pPr>
      <w:r w:rsidRPr="00E0292E">
        <w:rPr>
          <w:rFonts w:ascii="仿宋_GB2312" w:eastAsia="仿宋_GB2312" w:hAnsi="Helvetica" w:hint="eastAsia"/>
          <w:color w:val="2B2B2B"/>
          <w:sz w:val="32"/>
          <w:szCs w:val="32"/>
          <w:shd w:val="clear" w:color="auto" w:fill="FFFFFF"/>
        </w:rPr>
        <w:t xml:space="preserve">　　</w:t>
      </w:r>
      <w:r w:rsidRPr="00E0292E">
        <w:rPr>
          <w:rFonts w:ascii="黑体" w:eastAsia="黑体" w:hAnsi="黑体" w:hint="eastAsia"/>
          <w:color w:val="2B2B2B"/>
          <w:sz w:val="32"/>
          <w:szCs w:val="32"/>
          <w:shd w:val="clear" w:color="auto" w:fill="FFFFFF"/>
        </w:rPr>
        <w:t>第八条</w:t>
      </w:r>
      <w:r w:rsidRPr="00E0292E">
        <w:rPr>
          <w:rFonts w:ascii="仿宋_GB2312" w:eastAsia="仿宋_GB2312" w:hAnsi="Helvetica" w:hint="eastAsia"/>
          <w:color w:val="2B2B2B"/>
          <w:sz w:val="32"/>
          <w:szCs w:val="32"/>
          <w:shd w:val="clear" w:color="auto" w:fill="FFFFFF"/>
        </w:rPr>
        <w:t xml:space="preserve">　本规定自1995年12月1日起施行。</w:t>
      </w:r>
    </w:p>
    <w:sectPr w:rsidR="00E574F3" w:rsidRPr="00E0292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5CA2" w14:textId="77777777" w:rsidR="00B77C11" w:rsidRDefault="00B77C11">
      <w:r>
        <w:separator/>
      </w:r>
    </w:p>
  </w:endnote>
  <w:endnote w:type="continuationSeparator" w:id="0">
    <w:p w14:paraId="2CDDE839" w14:textId="77777777" w:rsidR="00B77C11" w:rsidRDefault="00B7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9F61" w14:textId="77777777" w:rsidR="00E574F3" w:rsidRDefault="00B77C1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406EB9DF" wp14:editId="72DD6BC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BC67A" w14:textId="77777777" w:rsidR="00E574F3" w:rsidRDefault="00B77C1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6EB9DF"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565BC67A" w14:textId="77777777" w:rsidR="00E574F3" w:rsidRDefault="00B77C1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E9B149E" w14:textId="77777777" w:rsidR="00E574F3" w:rsidRDefault="00B77C1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37C0A2E" wp14:editId="389F67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1C97B"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北京市人民政府发布</w:t>
    </w:r>
    <w:r>
      <w:rPr>
        <w:rFonts w:ascii="宋体" w:eastAsia="宋体" w:hAnsi="宋体" w:cs="宋体" w:hint="eastAsia"/>
        <w:b/>
        <w:bCs/>
        <w:color w:val="005192"/>
        <w:sz w:val="28"/>
        <w:szCs w:val="44"/>
      </w:rPr>
      <w:t xml:space="preserve">     </w:t>
    </w:r>
  </w:p>
  <w:p w14:paraId="7E72DD11" w14:textId="77777777" w:rsidR="00E574F3" w:rsidRDefault="00E574F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5E84" w14:textId="77777777" w:rsidR="00B77C11" w:rsidRDefault="00B77C11">
      <w:r>
        <w:separator/>
      </w:r>
    </w:p>
  </w:footnote>
  <w:footnote w:type="continuationSeparator" w:id="0">
    <w:p w14:paraId="15BA72B2" w14:textId="77777777" w:rsidR="00B77C11" w:rsidRDefault="00B7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7A8F" w14:textId="77777777" w:rsidR="00E574F3" w:rsidRDefault="00B77C1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D6C6C0C" wp14:editId="737A005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9FB1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726490F2" w14:textId="77777777" w:rsidR="00E574F3" w:rsidRDefault="00B77C1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A6B1C49" wp14:editId="6A28F5E8">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A54B2A"/>
    <w:rsid w:val="00B77C11"/>
    <w:rsid w:val="00E0292E"/>
    <w:rsid w:val="00E574F3"/>
    <w:rsid w:val="00FF21F4"/>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EFA8E"/>
  <w15:docId w15:val="{C8858386-2C36-4627-80D8-9A7BA549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 乐</cp:lastModifiedBy>
  <cp:revision>3</cp:revision>
  <dcterms:created xsi:type="dcterms:W3CDTF">2021-12-02T02:53:00Z</dcterms:created>
  <dcterms:modified xsi:type="dcterms:W3CDTF">2021-12-02T02:54:00Z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