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8540" w14:textId="77777777" w:rsidR="00D0423D" w:rsidRPr="00901529" w:rsidRDefault="00D0423D" w:rsidP="00D0423D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A8DBD85" w14:textId="77777777" w:rsidR="00D0423D" w:rsidRPr="00901529" w:rsidRDefault="00D0423D" w:rsidP="00D0423D">
      <w:pPr>
        <w:rPr>
          <w:rFonts w:ascii="仿宋_GB2312" w:eastAsia="仿宋_GB2312" w:hAnsi="仿宋_GB2312" w:cs="仿宋_GB2312"/>
          <w:sz w:val="32"/>
          <w:szCs w:val="32"/>
        </w:rPr>
      </w:pPr>
    </w:p>
    <w:p w14:paraId="4AAC65EA" w14:textId="0E4BA987" w:rsidR="00D0423D" w:rsidRPr="00901529" w:rsidRDefault="00BB6A09" w:rsidP="00D0423D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/>
          <w:color w:val="2B2B2B"/>
          <w:sz w:val="44"/>
          <w:szCs w:val="44"/>
          <w:shd w:val="clear" w:color="auto" w:fill="FFFFFF"/>
        </w:rPr>
      </w:pPr>
      <w:r w:rsidRPr="00BB6A09">
        <w:rPr>
          <w:rFonts w:ascii="宋体" w:eastAsia="宋体" w:hAnsi="宋体"/>
          <w:color w:val="2B2B2B"/>
          <w:sz w:val="44"/>
          <w:szCs w:val="44"/>
          <w:shd w:val="clear" w:color="auto" w:fill="FFFFFF"/>
        </w:rPr>
        <w:t>北京市人民政府关于加强八达岭—十三陵风景名胜区规划管理的规定</w:t>
      </w:r>
    </w:p>
    <w:p w14:paraId="5E59E1AE" w14:textId="2F874CBC" w:rsidR="00D0423D" w:rsidRDefault="00BB6A09" w:rsidP="00BB6A09">
      <w:pPr>
        <w:pStyle w:val="a6"/>
        <w:widowControl/>
        <w:shd w:val="clear" w:color="auto" w:fill="FFFFFF"/>
        <w:spacing w:beforeAutospacing="0" w:afterAutospacing="0"/>
        <w:ind w:firstLine="645"/>
        <w:rPr>
          <w:rFonts w:ascii="楷体_GB2312" w:eastAsia="楷体_GB2312" w:hAnsi="Helvetica"/>
          <w:color w:val="2B2B2B"/>
          <w:sz w:val="32"/>
          <w:szCs w:val="32"/>
          <w:shd w:val="clear" w:color="auto" w:fill="FFFFFF"/>
        </w:rPr>
      </w:pPr>
      <w:r w:rsidRPr="00BB6A09">
        <w:rPr>
          <w:rFonts w:ascii="楷体_GB2312" w:eastAsia="楷体_GB2312" w:hAnsi="Helvetica"/>
          <w:color w:val="2B2B2B"/>
          <w:sz w:val="32"/>
          <w:szCs w:val="32"/>
          <w:shd w:val="clear" w:color="auto" w:fill="FFFFFF"/>
        </w:rPr>
        <w:t>(1992年12月19日北京市人民政府第23号令发布　自1993年1月1日起施行)</w:t>
      </w:r>
    </w:p>
    <w:p w14:paraId="5FE000B0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Helvetica" w:hint="eastAsia"/>
          <w:color w:val="2B2B2B"/>
          <w:sz w:val="32"/>
          <w:szCs w:val="32"/>
          <w:shd w:val="clear" w:color="auto" w:fill="FFFFFF"/>
        </w:rPr>
      </w:pPr>
    </w:p>
    <w:p w14:paraId="0E136ADB" w14:textId="3583A78B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Helvetica" w:hint="eastAsia"/>
          <w:color w:val="2B2B2B"/>
          <w:sz w:val="32"/>
          <w:szCs w:val="32"/>
          <w:shd w:val="clear" w:color="auto" w:fill="FFFFFF"/>
        </w:rPr>
        <w:t xml:space="preserve">　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第一条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为保障八达岭——十三陵风景名胜区规划的实施，加强规划管理，根据国家和本市城市规划、文物保护的法律、法规，制定本规定。</w:t>
      </w:r>
    </w:p>
    <w:p w14:paraId="19F715CC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第二条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凡在八达岭——十三陵风景名胜区进行建设，均须遵守本规定和《北京市文物保护单位保护范围及建设控制地带管理规定》。</w:t>
      </w:r>
    </w:p>
    <w:p w14:paraId="370BFC77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本规定所称八达岭——十三陵风景名胜区，东至昌平县黑山寨沙岭，西至延庆县岔道城，南至昌平县南邵乡营坊，北至昌平县北界。</w:t>
      </w:r>
    </w:p>
    <w:p w14:paraId="61E13466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第三条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在八达岭——十三陵风景名胜区规划范围内，根据文物古迹、景点景观、古树名木等的分布状况和地形地貌等自然环境，划定一、二、三级保护区。</w:t>
      </w:r>
    </w:p>
    <w:p w14:paraId="17A41EB9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八达岭——十三陵风景名胜区的具体规划范围及其一、二、三级保护区的界限，按照市人民政府批准的《八达岭——十三陵风景名胜区总体规划》执行。</w:t>
      </w:r>
    </w:p>
    <w:p w14:paraId="0E3B67BE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第四条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在八达岭——十三陵风景名胜区内进行建设，必须遵守下列规定：</w:t>
      </w:r>
    </w:p>
    <w:p w14:paraId="180790E9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一、各项建设必须符合《八达岭——十三陵风景名胜区总体规划》和《北京市文物保护单位保护范围及建设控制地带管理规定》的规划建设要求。</w:t>
      </w:r>
    </w:p>
    <w:p w14:paraId="754EE68D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二、在一级保护区内，凡属《北京市文物保护单位保护范围及建设地带管理规定》中一类地带，除进行绿化和修筑消防通道外，不得建设任何建筑和地上附属建筑物。</w:t>
      </w:r>
    </w:p>
    <w:p w14:paraId="6EEF99FE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三、在一级保护区的非一类地带和二级保护区内，建设必要的旅游服务设拖，须符合景区性质的要求，其建筑布局、规模、体量、高度、材料和色彩等应当与景观环境相协调。</w:t>
      </w:r>
    </w:p>
    <w:p w14:paraId="78F39F54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四、在三级保护区内新建、改建、扩建和翻建建设工程，不得破坏景观和环境风貌。</w:t>
      </w:r>
    </w:p>
    <w:p w14:paraId="353455AC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五、在一级和二级保护区内，禁止开矿采石、挖砂取土、掘坑填塘等改变地形地貌的活动。在三级保护区内进行上述活动，须经主管机关批准，并须符合规划，服从规划管理。</w:t>
      </w:r>
    </w:p>
    <w:p w14:paraId="33C78093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第五条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在八达岭——十三陵风景名胜区进行建设需要申请用地的，必须取得市规划局核发的建设用地规划许可证。</w:t>
      </w:r>
    </w:p>
    <w:p w14:paraId="079C601F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第六条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在一级保护区进行工程建设，须报市规划局批准并核发建设工程规划许可证；在二级保护区进行工程建设和三级保护区的重要工程建设，应征得市规划局同意，由县规划局批准核发建设工程规划许可证；在三级保护区内进行非重要工程建设，由县规划局批准并核发建设工程规划许可证。</w:t>
      </w:r>
    </w:p>
    <w:p w14:paraId="15203B23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在八达岭——十三陵风景名胜区进行工程建设，凡属文物保护单位保护范围或建设控制地带范围内的，均须先经文</w:t>
      </w:r>
      <w:proofErr w:type="gramStart"/>
      <w:r w:rsidRPr="00BB6A09">
        <w:rPr>
          <w:rFonts w:ascii="仿宋_GB2312" w:eastAsia="仿宋_GB2312" w:hAnsi="仿宋_GB2312" w:cs="仿宋_GB2312" w:hint="eastAsia"/>
          <w:sz w:val="32"/>
          <w:szCs w:val="32"/>
        </w:rPr>
        <w:t>物行政</w:t>
      </w:r>
      <w:proofErr w:type="gramEnd"/>
      <w:r w:rsidRPr="00BB6A09">
        <w:rPr>
          <w:rFonts w:ascii="仿宋_GB2312" w:eastAsia="仿宋_GB2312" w:hAnsi="仿宋_GB2312" w:cs="仿宋_GB2312" w:hint="eastAsia"/>
          <w:sz w:val="32"/>
          <w:szCs w:val="32"/>
        </w:rPr>
        <w:t>主管部门同意。</w:t>
      </w:r>
    </w:p>
    <w:p w14:paraId="10897832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第七条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未取得建设用地规划许可证、建设工程规划许可证或者违反上述许可证的规定进行建设的，由城市规划管理部门依照有关城市规划管理的法律、法规予以处罚。</w:t>
      </w:r>
    </w:p>
    <w:p w14:paraId="04D4DEC6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属于违反文物保护管理法律、法规的，由文物管理机关依法处理。</w:t>
      </w:r>
    </w:p>
    <w:p w14:paraId="757305C7" w14:textId="77777777" w:rsidR="00BB6A09" w:rsidRPr="00BB6A09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第八条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本规定执行中的具体问题，由市城市规划管理局负责解释。</w:t>
      </w:r>
    </w:p>
    <w:p w14:paraId="09C45799" w14:textId="58B197CE" w:rsidR="000916EF" w:rsidRDefault="00BB6A09" w:rsidP="00BB6A09">
      <w:pPr>
        <w:pStyle w:val="a6"/>
        <w:widowControl/>
        <w:shd w:val="clear" w:color="auto" w:fill="FFFFFF"/>
        <w:spacing w:beforeAutospacing="0" w:afterAutospacing="0"/>
        <w:rPr>
          <w:rFonts w:ascii="仿宋_GB2312" w:eastAsia="仿宋_GB2312" w:hAnsi="Helvetica" w:hint="eastAsia"/>
          <w:color w:val="2B2B2B"/>
          <w:sz w:val="32"/>
          <w:szCs w:val="32"/>
          <w:shd w:val="clear" w:color="auto" w:fill="FFFFFF"/>
        </w:rPr>
      </w:pP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BB6A09">
        <w:rPr>
          <w:rFonts w:ascii="黑体" w:eastAsia="黑体" w:hAnsi="黑体" w:cs="仿宋_GB2312" w:hint="eastAsia"/>
          <w:sz w:val="32"/>
          <w:szCs w:val="32"/>
        </w:rPr>
        <w:t>第九条</w:t>
      </w:r>
      <w:r w:rsidRPr="00BB6A09">
        <w:rPr>
          <w:rFonts w:ascii="仿宋_GB2312" w:eastAsia="仿宋_GB2312" w:hAnsi="仿宋_GB2312" w:cs="仿宋_GB2312" w:hint="eastAsia"/>
          <w:sz w:val="32"/>
          <w:szCs w:val="32"/>
        </w:rPr>
        <w:t xml:space="preserve">　本规定自1993年1月</w:t>
      </w:r>
      <w:r w:rsidRPr="00BB6A09">
        <w:rPr>
          <w:rFonts w:ascii="仿宋_GB2312" w:eastAsia="仿宋_GB2312" w:hAnsi="Helvetica" w:hint="eastAsia"/>
          <w:color w:val="2B2B2B"/>
          <w:sz w:val="32"/>
          <w:szCs w:val="32"/>
          <w:shd w:val="clear" w:color="auto" w:fill="FFFFFF"/>
        </w:rPr>
        <w:t>1日起施行。</w:t>
      </w:r>
    </w:p>
    <w:sectPr w:rsidR="000916EF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5E30" w14:textId="77777777" w:rsidR="00DB6092" w:rsidRDefault="00DB6092">
      <w:r>
        <w:separator/>
      </w:r>
    </w:p>
  </w:endnote>
  <w:endnote w:type="continuationSeparator" w:id="0">
    <w:p w14:paraId="32C41C64" w14:textId="77777777" w:rsidR="00DB6092" w:rsidRDefault="00DB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CE00" w14:textId="77777777" w:rsidR="00D706E2" w:rsidRDefault="00DB6092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F908A" wp14:editId="2668CD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F6F47" w14:textId="77777777" w:rsidR="00D706E2" w:rsidRDefault="00DB609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F908A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2BF6F47" w14:textId="77777777" w:rsidR="00D706E2" w:rsidRDefault="00DB6092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5618A547" w14:textId="77777777" w:rsidR="00D706E2" w:rsidRDefault="00DB6092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A2AF1C" wp14:editId="05247594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F4186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北京市人民政府发布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14:paraId="0A896605" w14:textId="77777777" w:rsidR="00D706E2" w:rsidRDefault="00D706E2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3B5F" w14:textId="77777777" w:rsidR="00DB6092" w:rsidRDefault="00DB6092">
      <w:r>
        <w:separator/>
      </w:r>
    </w:p>
  </w:footnote>
  <w:footnote w:type="continuationSeparator" w:id="0">
    <w:p w14:paraId="18156331" w14:textId="77777777" w:rsidR="00DB6092" w:rsidRDefault="00DB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5D3F" w14:textId="77777777" w:rsidR="00D706E2" w:rsidRDefault="00DB6092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8ED72" wp14:editId="610A0F85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AA526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14:paraId="11AF0498" w14:textId="77777777" w:rsidR="00D706E2" w:rsidRDefault="00DB6092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5A024ABD" wp14:editId="24FA244E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北京市人民政府规章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A54B2A"/>
    <w:rsid w:val="000916EF"/>
    <w:rsid w:val="00780EF5"/>
    <w:rsid w:val="00BB6A09"/>
    <w:rsid w:val="00D0423D"/>
    <w:rsid w:val="00D706E2"/>
    <w:rsid w:val="00DB6092"/>
    <w:rsid w:val="00DF034F"/>
    <w:rsid w:val="044A53F8"/>
    <w:rsid w:val="094F2442"/>
    <w:rsid w:val="0B280268"/>
    <w:rsid w:val="281D07CF"/>
    <w:rsid w:val="38643531"/>
    <w:rsid w:val="3CC1428F"/>
    <w:rsid w:val="40394326"/>
    <w:rsid w:val="52B603CA"/>
    <w:rsid w:val="5D2E1D1D"/>
    <w:rsid w:val="653B1E64"/>
    <w:rsid w:val="6B7A1248"/>
    <w:rsid w:val="79A5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CD784"/>
  <w15:docId w15:val="{2CDAF101-7538-49F2-8F6D-05706328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 乐</cp:lastModifiedBy>
  <cp:revision>2</cp:revision>
  <cp:lastPrinted>2021-12-03T07:04:00Z</cp:lastPrinted>
  <dcterms:created xsi:type="dcterms:W3CDTF">2021-12-03T07:07:00Z</dcterms:created>
  <dcterms:modified xsi:type="dcterms:W3CDTF">2021-12-03T07:07:00Z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FCE7CE08214B41E19B23CC0474F05A52</vt:lpwstr>
  </property>
</Properties>
</file>