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F9DFC">
      <w:pPr>
        <w:pStyle w:val="2"/>
        <w:rPr>
          <w:rFonts w:hint="eastAsia" w:ascii="黑体" w:hAnsi="黑体" w:eastAsia="黑体" w:cs="黑体"/>
          <w:color w:val="auto"/>
          <w:sz w:val="32"/>
          <w:szCs w:val="32"/>
        </w:rPr>
      </w:pPr>
    </w:p>
    <w:p w14:paraId="5E9CBEE3">
      <w:pPr>
        <w:spacing w:before="312" w:beforeLines="100" w:after="156" w:afterLines="50" w:line="560" w:lineRule="exact"/>
        <w:jc w:val="center"/>
        <w:rPr>
          <w:rFonts w:ascii="Times New Roman" w:hAnsi="Times New Roman" w:eastAsia="方正小标宋简体" w:cs="Times New Roman"/>
          <w:sz w:val="36"/>
          <w:szCs w:val="36"/>
        </w:rPr>
      </w:pPr>
    </w:p>
    <w:p w14:paraId="3E53EB7F">
      <w:pPr>
        <w:spacing w:before="312" w:beforeLines="100" w:after="156" w:afterLines="50" w:line="560" w:lineRule="exact"/>
        <w:jc w:val="center"/>
        <w:rPr>
          <w:rFonts w:ascii="Times New Roman" w:hAnsi="Times New Roman" w:eastAsia="方正小标宋简体" w:cs="Times New Roman"/>
          <w:sz w:val="36"/>
          <w:szCs w:val="36"/>
        </w:rPr>
      </w:pPr>
    </w:p>
    <w:p w14:paraId="347E4998">
      <w:pPr>
        <w:spacing w:before="312" w:beforeLines="100" w:after="156" w:afterLines="50" w:line="560" w:lineRule="exact"/>
        <w:jc w:val="center"/>
        <w:rPr>
          <w:rFonts w:ascii="Times New Roman" w:hAnsi="Times New Roman" w:eastAsia="方正小标宋简体" w:cs="Times New Roman"/>
          <w:sz w:val="36"/>
          <w:szCs w:val="36"/>
        </w:rPr>
      </w:pPr>
    </w:p>
    <w:p w14:paraId="6BDA199E">
      <w:pPr>
        <w:spacing w:before="312" w:beforeLines="100" w:after="156" w:afterLines="50" w:line="560" w:lineRule="exact"/>
        <w:jc w:val="center"/>
        <w:rPr>
          <w:rFonts w:ascii="Times New Roman" w:hAnsi="Times New Roman" w:eastAsia="方正小标宋简体" w:cs="Times New Roman"/>
          <w:sz w:val="36"/>
          <w:szCs w:val="36"/>
        </w:rPr>
      </w:pPr>
    </w:p>
    <w:p w14:paraId="2915B497">
      <w:pPr>
        <w:adjustRightInd w:val="0"/>
        <w:snapToGrid w:val="0"/>
        <w:jc w:val="center"/>
        <w:rPr>
          <w:rFonts w:ascii="Times New Roman" w:hAnsi="Times New Roman" w:eastAsia="方正小标宋简体" w:cs="Times New Roman"/>
          <w:sz w:val="48"/>
          <w:szCs w:val="48"/>
        </w:rPr>
      </w:pPr>
      <w:r>
        <w:rPr>
          <w:rFonts w:hint="eastAsia" w:ascii="Times New Roman" w:hAnsi="Times New Roman" w:eastAsia="方正小标宋简体" w:cs="Times New Roman"/>
          <w:sz w:val="48"/>
          <w:szCs w:val="48"/>
        </w:rPr>
        <w:t>“十五五”时期美丽朝阳建设规划</w:t>
      </w:r>
    </w:p>
    <w:p w14:paraId="40BDD7CD">
      <w:pPr>
        <w:pBdr>
          <w:top w:val="none" w:color="auto" w:sz="0" w:space="1"/>
          <w:left w:val="none" w:color="auto" w:sz="0" w:space="4"/>
          <w:bottom w:val="none" w:color="auto" w:sz="0" w:space="1"/>
          <w:right w:val="none" w:color="auto" w:sz="0" w:space="4"/>
        </w:pBdr>
        <w:spacing w:line="640" w:lineRule="exact"/>
        <w:jc w:val="center"/>
        <w:rPr>
          <w:rFonts w:ascii="Times New Roman" w:hAnsi="Times New Roman" w:eastAsia="方正小标宋简体" w:cs="Times New Roman"/>
          <w:sz w:val="48"/>
          <w:szCs w:val="48"/>
        </w:rPr>
      </w:pPr>
    </w:p>
    <w:p w14:paraId="0C9552F2">
      <w:pPr>
        <w:pStyle w:val="2"/>
      </w:pPr>
    </w:p>
    <w:p w14:paraId="4E0CB03C">
      <w:pPr>
        <w:spacing w:line="560" w:lineRule="exact"/>
        <w:jc w:val="center"/>
        <w:rPr>
          <w:rFonts w:ascii="Times New Roman" w:hAnsi="Times New Roman" w:eastAsia="楷体_GB2312" w:cs="Times New Roman"/>
          <w:sz w:val="36"/>
          <w:szCs w:val="36"/>
        </w:rPr>
      </w:pPr>
    </w:p>
    <w:p w14:paraId="57D1C2B1">
      <w:pPr>
        <w:spacing w:line="560" w:lineRule="exact"/>
        <w:jc w:val="center"/>
        <w:rPr>
          <w:rFonts w:ascii="Times New Roman" w:hAnsi="Times New Roman" w:eastAsia="楷体_GB2312" w:cs="Times New Roman"/>
          <w:sz w:val="36"/>
          <w:szCs w:val="36"/>
        </w:rPr>
      </w:pPr>
    </w:p>
    <w:p w14:paraId="2526D26D">
      <w:pPr>
        <w:spacing w:line="560" w:lineRule="exact"/>
        <w:jc w:val="center"/>
        <w:rPr>
          <w:rFonts w:ascii="Times New Roman" w:hAnsi="Times New Roman" w:eastAsia="楷体_GB2312" w:cs="Times New Roman"/>
          <w:sz w:val="36"/>
          <w:szCs w:val="36"/>
        </w:rPr>
      </w:pPr>
    </w:p>
    <w:p w14:paraId="5D635612">
      <w:pPr>
        <w:spacing w:line="560" w:lineRule="exact"/>
        <w:jc w:val="center"/>
        <w:rPr>
          <w:rFonts w:ascii="Times New Roman" w:hAnsi="Times New Roman" w:eastAsia="楷体_GB2312" w:cs="Times New Roman"/>
          <w:sz w:val="36"/>
          <w:szCs w:val="36"/>
        </w:rPr>
      </w:pPr>
    </w:p>
    <w:p w14:paraId="46E9CC67">
      <w:pPr>
        <w:spacing w:line="560" w:lineRule="exact"/>
        <w:jc w:val="center"/>
        <w:rPr>
          <w:rFonts w:ascii="Times New Roman" w:hAnsi="Times New Roman" w:eastAsia="楷体_GB2312" w:cs="Times New Roman"/>
          <w:sz w:val="36"/>
          <w:szCs w:val="36"/>
        </w:rPr>
      </w:pPr>
    </w:p>
    <w:p w14:paraId="1253596C">
      <w:pPr>
        <w:spacing w:line="560" w:lineRule="exact"/>
        <w:jc w:val="center"/>
        <w:rPr>
          <w:rFonts w:ascii="Times New Roman" w:hAnsi="Times New Roman" w:eastAsia="楷体_GB2312" w:cs="Times New Roman"/>
          <w:sz w:val="36"/>
          <w:szCs w:val="36"/>
        </w:rPr>
      </w:pPr>
    </w:p>
    <w:p w14:paraId="229A3B16">
      <w:pPr>
        <w:spacing w:line="560" w:lineRule="exact"/>
        <w:jc w:val="center"/>
        <w:rPr>
          <w:rFonts w:ascii="Times New Roman" w:hAnsi="Times New Roman" w:eastAsia="楷体_GB2312" w:cs="Times New Roman"/>
          <w:sz w:val="36"/>
          <w:szCs w:val="36"/>
        </w:rPr>
      </w:pPr>
    </w:p>
    <w:p w14:paraId="11D96CF9">
      <w:pPr>
        <w:spacing w:line="560" w:lineRule="exact"/>
        <w:jc w:val="center"/>
        <w:rPr>
          <w:rFonts w:ascii="Times New Roman" w:hAnsi="Times New Roman" w:eastAsia="楷体_GB2312" w:cs="Times New Roman"/>
          <w:sz w:val="36"/>
          <w:szCs w:val="36"/>
        </w:rPr>
      </w:pPr>
    </w:p>
    <w:p w14:paraId="5D3645DA">
      <w:pPr>
        <w:spacing w:line="560" w:lineRule="exact"/>
        <w:jc w:val="center"/>
        <w:rPr>
          <w:rFonts w:ascii="Times New Roman" w:hAnsi="Times New Roman" w:eastAsia="楷体_GB2312" w:cs="Times New Roman"/>
          <w:sz w:val="36"/>
          <w:szCs w:val="36"/>
        </w:rPr>
      </w:pPr>
    </w:p>
    <w:p w14:paraId="06229B48">
      <w:pPr>
        <w:spacing w:line="560" w:lineRule="exact"/>
        <w:jc w:val="center"/>
        <w:rPr>
          <w:rFonts w:hint="eastAsia" w:ascii="Times New Roman" w:hAnsi="Times New Roman" w:eastAsia="楷体_GB2312" w:cs="Times New Roman"/>
          <w:sz w:val="36"/>
          <w:szCs w:val="36"/>
          <w:lang w:eastAsia="zh-CN"/>
        </w:rPr>
      </w:pPr>
      <w:r>
        <w:rPr>
          <w:rFonts w:hint="eastAsia" w:ascii="Times New Roman" w:hAnsi="Times New Roman" w:eastAsia="楷体_GB2312" w:cs="Times New Roman"/>
          <w:sz w:val="36"/>
          <w:szCs w:val="36"/>
          <w:lang w:eastAsia="zh-CN"/>
        </w:rPr>
        <w:t>北京市朝阳区人民政府</w:t>
      </w:r>
    </w:p>
    <w:p w14:paraId="78ABDFE3">
      <w:pPr>
        <w:pBdr>
          <w:top w:val="none" w:color="auto" w:sz="0" w:space="1"/>
          <w:left w:val="none" w:color="auto" w:sz="0" w:space="4"/>
          <w:bottom w:val="none" w:color="auto" w:sz="0" w:space="1"/>
          <w:right w:val="none" w:color="auto" w:sz="0" w:space="4"/>
        </w:pBdr>
        <w:spacing w:before="190"/>
        <w:jc w:val="center"/>
        <w:rPr>
          <w:rFonts w:ascii="Times New Roman" w:hAnsi="Times New Roman" w:eastAsia="楷体_GB2312" w:cs="Times New Roman"/>
          <w:sz w:val="36"/>
          <w:szCs w:val="36"/>
        </w:rPr>
        <w:sectPr>
          <w:headerReference r:id="rId4" w:type="default"/>
          <w:footerReference r:id="rId5" w:type="default"/>
          <w:pgSz w:w="11906" w:h="16838"/>
          <w:pgMar w:top="1417" w:right="1474" w:bottom="1417" w:left="1587" w:header="851" w:footer="992" w:gutter="0"/>
          <w:cols w:space="720" w:num="1"/>
          <w:docGrid w:type="lines" w:linePitch="312" w:charSpace="0"/>
        </w:sectPr>
      </w:pPr>
      <w:bookmarkStart w:id="0" w:name="_Hlk212199627"/>
      <w:r>
        <w:rPr>
          <w:rFonts w:ascii="Times New Roman" w:hAnsi="Times New Roman" w:eastAsia="楷体_GB2312" w:cs="Times New Roman"/>
          <w:spacing w:val="-10"/>
          <w:sz w:val="36"/>
          <w:szCs w:val="36"/>
        </w:rPr>
        <w:t>2026</w:t>
      </w:r>
      <w:r>
        <w:rPr>
          <w:rFonts w:hint="eastAsia" w:ascii="Times New Roman" w:hAnsi="Times New Roman" w:eastAsia="楷体_GB2312" w:cs="Times New Roman"/>
          <w:spacing w:val="-10"/>
          <w:sz w:val="36"/>
          <w:szCs w:val="36"/>
        </w:rPr>
        <w:t>年</w:t>
      </w:r>
      <w:r>
        <w:rPr>
          <w:rFonts w:hint="eastAsia" w:ascii="Times New Roman" w:hAnsi="Times New Roman" w:eastAsia="楷体_GB2312" w:cs="Times New Roman"/>
          <w:spacing w:val="-10"/>
          <w:sz w:val="36"/>
          <w:szCs w:val="36"/>
          <w:lang w:val="en-US" w:eastAsia="zh-CN"/>
        </w:rPr>
        <w:t>9</w:t>
      </w:r>
      <w:r>
        <w:rPr>
          <w:rFonts w:hint="eastAsia" w:ascii="Times New Roman" w:hAnsi="Times New Roman" w:eastAsia="楷体_GB2312" w:cs="Times New Roman"/>
          <w:spacing w:val="-10"/>
          <w:sz w:val="36"/>
          <w:szCs w:val="36"/>
        </w:rPr>
        <w:t>月</w:t>
      </w:r>
      <w:bookmarkEnd w:id="0"/>
    </w:p>
    <w:p w14:paraId="74B8F349">
      <w:pPr>
        <w:spacing w:after="156" w:afterLines="50" w:line="560" w:lineRule="exact"/>
        <w:jc w:val="center"/>
        <w:rPr>
          <w:rFonts w:ascii="Times New Roman" w:hAnsi="Times New Roman" w:eastAsia="黑体" w:cs="Times New Roman"/>
          <w:sz w:val="36"/>
          <w:szCs w:val="36"/>
        </w:rPr>
      </w:pPr>
      <w:r>
        <w:rPr>
          <w:rFonts w:hint="eastAsia" w:ascii="Times New Roman" w:hAnsi="Times New Roman" w:eastAsia="黑体" w:cs="Times New Roman"/>
          <w:sz w:val="36"/>
          <w:szCs w:val="36"/>
        </w:rPr>
        <w:t>序</w:t>
      </w:r>
      <w:r>
        <w:rPr>
          <w:rFonts w:ascii="Times New Roman" w:hAnsi="Times New Roman" w:eastAsia="黑体" w:cs="Times New Roman"/>
          <w:sz w:val="36"/>
          <w:szCs w:val="36"/>
        </w:rPr>
        <w:t xml:space="preserve">  </w:t>
      </w:r>
      <w:r>
        <w:rPr>
          <w:rFonts w:hint="eastAsia" w:ascii="Times New Roman" w:hAnsi="Times New Roman" w:eastAsia="黑体" w:cs="Times New Roman"/>
          <w:sz w:val="36"/>
          <w:szCs w:val="36"/>
        </w:rPr>
        <w:t>言</w:t>
      </w:r>
    </w:p>
    <w:p w14:paraId="765A200B">
      <w:pPr>
        <w:spacing w:line="560" w:lineRule="exact"/>
        <w:jc w:val="center"/>
        <w:rPr>
          <w:rFonts w:ascii="仿宋_GB2312" w:hAnsi="Times New Roman" w:eastAsia="仿宋_GB2312" w:cs="Times New Roman"/>
          <w:sz w:val="32"/>
          <w:szCs w:val="32"/>
        </w:rPr>
      </w:pPr>
    </w:p>
    <w:p w14:paraId="7A8C2ED1">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“十五五”</w:t>
      </w:r>
      <w:r>
        <w:rPr>
          <w:rFonts w:ascii="仿宋_GB2312" w:hAnsi="Times New Roman" w:eastAsia="仿宋_GB2312" w:cs="Times New Roman"/>
          <w:sz w:val="32"/>
          <w:szCs w:val="32"/>
        </w:rPr>
        <w:t>时期是基本实现社会主义现代化夯实基础、全面发力的关键时期，</w:t>
      </w:r>
      <w:r>
        <w:rPr>
          <w:rFonts w:hint="eastAsia" w:ascii="仿宋_GB2312" w:hAnsi="Times New Roman" w:eastAsia="仿宋_GB2312" w:cs="Times New Roman"/>
          <w:sz w:val="32"/>
          <w:szCs w:val="32"/>
        </w:rPr>
        <w:t>是美丽北京建设承前启后、</w:t>
      </w:r>
      <w:r>
        <w:rPr>
          <w:rFonts w:ascii="仿宋_GB2312" w:hAnsi="Times New Roman" w:eastAsia="仿宋_GB2312" w:cs="Times New Roman"/>
          <w:sz w:val="32"/>
          <w:szCs w:val="32"/>
        </w:rPr>
        <w:t>实现生态环境根本好转的关键时期</w:t>
      </w:r>
      <w:r>
        <w:rPr>
          <w:rFonts w:hint="eastAsia" w:ascii="仿宋_GB2312" w:hAnsi="Times New Roman" w:eastAsia="仿宋_GB2312" w:cs="Times New Roman"/>
          <w:sz w:val="32"/>
          <w:szCs w:val="32"/>
        </w:rPr>
        <w:t>，也是朝阳区全面推进美丽城市建设、打造具有国际影响力的中国式现代化强</w:t>
      </w:r>
      <w:r>
        <w:rPr>
          <w:rFonts w:ascii="仿宋_GB2312" w:hAnsi="Times New Roman" w:eastAsia="仿宋_GB2312" w:cs="Times New Roman"/>
          <w:sz w:val="32"/>
          <w:szCs w:val="32"/>
        </w:rPr>
        <w:t>区的重要五年</w:t>
      </w:r>
      <w:r>
        <w:rPr>
          <w:rFonts w:hint="eastAsia" w:ascii="仿宋_GB2312" w:hAnsi="Times New Roman" w:eastAsia="仿宋_GB2312" w:cs="Times New Roman"/>
          <w:sz w:val="32"/>
          <w:szCs w:val="32"/>
        </w:rPr>
        <w:t>。朝阳区作为超大城市中心城区和高密度、高流量、多元化的人口大区，也是首都功能的重要承载区和国际交往的重要窗口，“十五五”时期，围绕提升“五区”功能、建好“五宜”朝阳要求，以“美丽朝阳”建设为引领，持续深入推进污染防治攻坚和生态系统优化，打造美丽城市建设示范标杆，形成一批美丽朝阳建设标志性成果，为可持续发展的超大城市生态环境治理提供“朝阳样板”。</w:t>
      </w:r>
    </w:p>
    <w:p w14:paraId="6EED0C9F">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本规划衔接《中华人民共和国生态环境法典》及《美丽中国建设“十五五”规划》《北京城市总体规划</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2016</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-2035</w:t>
      </w:r>
      <w:r>
        <w:rPr>
          <w:rFonts w:hint="eastAsia" w:ascii="Times New Roman" w:hAnsi="Times New Roman" w:eastAsia="仿宋_GB2312" w:cs="Times New Roman"/>
          <w:sz w:val="32"/>
          <w:szCs w:val="32"/>
        </w:rPr>
        <w:t>年）》《北京市国民经济和社会发展第十五个五年规划纲要》《“十五五”时期美丽北京建设规划》《朝阳分区规划（国土空间规划）（</w:t>
      </w:r>
      <w:r>
        <w:rPr>
          <w:rFonts w:ascii="Times New Roman" w:hAnsi="Times New Roman" w:eastAsia="仿宋_GB2312" w:cs="Times New Roman"/>
          <w:sz w:val="32"/>
          <w:szCs w:val="32"/>
        </w:rPr>
        <w:t>2017</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-2035</w:t>
      </w:r>
      <w:r>
        <w:rPr>
          <w:rFonts w:hint="eastAsia" w:ascii="Times New Roman" w:hAnsi="Times New Roman" w:eastAsia="仿宋_GB2312" w:cs="Times New Roman"/>
          <w:sz w:val="32"/>
          <w:szCs w:val="32"/>
        </w:rPr>
        <w:t>年）》</w:t>
      </w:r>
      <w:r>
        <w:rPr>
          <w:rFonts w:hint="eastAsia" w:ascii="仿宋_GB2312" w:hAnsi="Times New Roman" w:eastAsia="仿宋_GB2312" w:cs="Times New Roman"/>
          <w:sz w:val="32"/>
          <w:szCs w:val="32"/>
        </w:rPr>
        <w:t>和《北京市朝阳区国民经济和社会发展第十五个五年规划纲要》等文件要求，明确“十五五”时期美丽朝阳建设目标，提出推动全区生态环境质量全面改善的主要任务和重大项目，是未来五年朝阳区开展生态环境保护工作的行动纲领。</w:t>
      </w:r>
    </w:p>
    <w:p w14:paraId="170A23FA">
      <w:pPr>
        <w:spacing w:line="560" w:lineRule="exact"/>
        <w:rPr>
          <w:rFonts w:ascii="Times New Roman" w:hAnsi="Times New Roman" w:eastAsia="黑体" w:cs="Times New Roman"/>
          <w:sz w:val="36"/>
          <w:szCs w:val="36"/>
        </w:rPr>
      </w:pPr>
    </w:p>
    <w:p w14:paraId="7B12FD2B">
      <w:pPr>
        <w:spacing w:line="560" w:lineRule="exact"/>
        <w:rPr>
          <w:rFonts w:ascii="Times New Roman" w:hAnsi="Times New Roman" w:eastAsia="黑体" w:cs="Times New Roman"/>
          <w:sz w:val="36"/>
          <w:szCs w:val="36"/>
        </w:rPr>
        <w:sectPr>
          <w:footerReference r:id="rId6" w:type="default"/>
          <w:pgSz w:w="11906" w:h="16838"/>
          <w:pgMar w:top="1417" w:right="1474" w:bottom="1417" w:left="1587" w:header="851" w:footer="992" w:gutter="0"/>
          <w:cols w:space="720" w:num="1"/>
          <w:docGrid w:type="lines" w:linePitch="312" w:charSpace="0"/>
        </w:sectPr>
      </w:pPr>
    </w:p>
    <w:p w14:paraId="2287422D">
      <w:pPr>
        <w:spacing w:after="156" w:afterLines="50" w:line="560" w:lineRule="exact"/>
        <w:jc w:val="center"/>
        <w:rPr>
          <w:rFonts w:ascii="Times New Roman" w:hAnsi="Times New Roman" w:eastAsia="方正小标宋简体" w:cs="Times New Roman"/>
          <w:kern w:val="0"/>
          <w:sz w:val="44"/>
          <w:szCs w:val="44"/>
          <w:lang w:val="zh-CN"/>
        </w:rPr>
      </w:pPr>
      <w:r>
        <w:rPr>
          <w:rFonts w:hint="eastAsia" w:ascii="Times New Roman" w:hAnsi="Times New Roman" w:eastAsia="方正小标宋简体" w:cs="Times New Roman"/>
          <w:kern w:val="0"/>
          <w:sz w:val="44"/>
          <w:szCs w:val="44"/>
          <w:lang w:val="zh-CN"/>
        </w:rPr>
        <w:t>目</w:t>
      </w:r>
      <w:r>
        <w:rPr>
          <w:rFonts w:ascii="Times New Roman" w:hAnsi="Times New Roman" w:eastAsia="方正小标宋简体" w:cs="Times New Roman"/>
          <w:kern w:val="0"/>
          <w:sz w:val="44"/>
          <w:szCs w:val="44"/>
          <w:lang w:val="zh-CN"/>
        </w:rPr>
        <w:t xml:space="preserve">  </w:t>
      </w:r>
      <w:r>
        <w:rPr>
          <w:rFonts w:hint="eastAsia" w:ascii="Times New Roman" w:hAnsi="Times New Roman" w:eastAsia="方正小标宋简体" w:cs="Times New Roman"/>
          <w:kern w:val="0"/>
          <w:sz w:val="44"/>
          <w:szCs w:val="44"/>
          <w:lang w:val="zh-CN"/>
        </w:rPr>
        <w:t>录</w:t>
      </w:r>
    </w:p>
    <w:p w14:paraId="3A026D06">
      <w:pPr>
        <w:spacing w:line="560" w:lineRule="exact"/>
        <w:jc w:val="center"/>
        <w:rPr>
          <w:rFonts w:ascii="Times New Roman" w:hAnsi="Times New Roman" w:eastAsia="仿宋_GB2312" w:cs="Times New Roman"/>
          <w:sz w:val="32"/>
        </w:rPr>
      </w:pPr>
    </w:p>
    <w:p w14:paraId="0A1D4D42">
      <w:pPr>
        <w:pStyle w:val="12"/>
        <w:rPr>
          <w:rFonts w:ascii="Times New Roman" w:hAnsi="Times New Roman"/>
        </w:rPr>
      </w:pPr>
      <w:r>
        <w:rPr>
          <w:rFonts w:hint="eastAsia" w:ascii="Times New Roman" w:hAnsi="Times New Roman" w:eastAsia="楷体_GB2312" w:cs="Times New Roman"/>
        </w:rPr>
        <w:fldChar w:fldCharType="begin"/>
      </w:r>
      <w:r>
        <w:rPr>
          <w:rFonts w:ascii="Times New Roman" w:hAnsi="Times New Roman" w:eastAsia="楷体_GB2312" w:cs="Times New Roman"/>
        </w:rPr>
        <w:instrText xml:space="preserve"> TOC \o "1-2" \h \z \u </w:instrText>
      </w:r>
      <w:r>
        <w:rPr>
          <w:rFonts w:hint="eastAsia" w:ascii="Times New Roman" w:hAnsi="Times New Roman" w:eastAsia="楷体_GB2312" w:cs="Times New Roman"/>
        </w:rPr>
        <w:fldChar w:fldCharType="separate"/>
      </w:r>
      <w:r>
        <w:fldChar w:fldCharType="begin"/>
      </w:r>
      <w:r>
        <w:instrText xml:space="preserve"> HYPERLINK \l "_Toc233040965" </w:instrText>
      </w:r>
      <w:r>
        <w:fldChar w:fldCharType="separate"/>
      </w:r>
      <w:r>
        <w:rPr>
          <w:rStyle w:val="21"/>
          <w:rFonts w:hint="eastAsia" w:ascii="Times New Roman" w:hAnsi="Times New Roman"/>
          <w:color w:val="auto"/>
        </w:rPr>
        <w:t>一、规划背景</w:t>
      </w:r>
      <w:r>
        <w:rPr>
          <w:rFonts w:hint="eastAsia" w:ascii="Times New Roman" w:hAnsi="Times New Roman"/>
        </w:rPr>
        <w:tab/>
      </w:r>
      <w:r>
        <w:rPr>
          <w:rFonts w:hint="eastAsia" w:ascii="Times New Roman" w:hAnsi="Times New Roman"/>
        </w:rPr>
        <w:fldChar w:fldCharType="begin"/>
      </w:r>
      <w:r>
        <w:rPr>
          <w:rFonts w:hint="eastAsia" w:ascii="Times New Roman" w:hAnsi="Times New Roman"/>
        </w:rPr>
        <w:instrText xml:space="preserve"> PAGEREF _Toc233040965 \h </w:instrText>
      </w:r>
      <w:r>
        <w:rPr>
          <w:rFonts w:hint="eastAsia" w:ascii="Times New Roman" w:hAnsi="Times New Roman"/>
        </w:rPr>
        <w:fldChar w:fldCharType="separate"/>
      </w:r>
      <w:r>
        <w:rPr>
          <w:rFonts w:hint="eastAsia" w:ascii="Times New Roman" w:hAnsi="Times New Roman"/>
        </w:rPr>
        <w:t>5</w:t>
      </w:r>
      <w:r>
        <w:rPr>
          <w:rFonts w:hint="eastAsia" w:ascii="Times New Roman" w:hAnsi="Times New Roman"/>
        </w:rPr>
        <w:fldChar w:fldCharType="end"/>
      </w:r>
      <w:r>
        <w:rPr>
          <w:rFonts w:hint="eastAsia" w:ascii="Times New Roman" w:hAnsi="Times New Roman"/>
        </w:rPr>
        <w:fldChar w:fldCharType="end"/>
      </w:r>
    </w:p>
    <w:p w14:paraId="21299ACB">
      <w:pPr>
        <w:pStyle w:val="14"/>
        <w:tabs>
          <w:tab w:val="right" w:leader="dot" w:pos="8835"/>
        </w:tabs>
        <w:rPr>
          <w:rFonts w:ascii="Times New Roman" w:hAnsi="Times New Roman" w:eastAsia="楷体_GB2312"/>
          <w:sz w:val="32"/>
          <w:szCs w:val="32"/>
        </w:rPr>
      </w:pPr>
      <w:r>
        <w:fldChar w:fldCharType="begin"/>
      </w:r>
      <w:r>
        <w:instrText xml:space="preserve"> HYPERLINK \l "_Toc233040966" </w:instrText>
      </w:r>
      <w:r>
        <w:fldChar w:fldCharType="separate"/>
      </w:r>
      <w:r>
        <w:rPr>
          <w:rStyle w:val="21"/>
          <w:rFonts w:hint="eastAsia" w:ascii="Times New Roman" w:hAnsi="Times New Roman" w:eastAsia="楷体_GB2312"/>
          <w:color w:val="auto"/>
          <w:sz w:val="32"/>
          <w:szCs w:val="32"/>
        </w:rPr>
        <w:t>（一）生态文明建设取得新成就</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_Toc233040966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5</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542431F7">
      <w:pPr>
        <w:pStyle w:val="14"/>
        <w:tabs>
          <w:tab w:val="right" w:leader="dot" w:pos="8835"/>
        </w:tabs>
        <w:rPr>
          <w:rFonts w:ascii="Times New Roman" w:hAnsi="Times New Roman" w:eastAsia="楷体_GB2312"/>
          <w:sz w:val="32"/>
          <w:szCs w:val="32"/>
        </w:rPr>
      </w:pPr>
      <w:r>
        <w:fldChar w:fldCharType="begin"/>
      </w:r>
      <w:r>
        <w:instrText xml:space="preserve"> HYPERLINK \l "_Toc233040967" </w:instrText>
      </w:r>
      <w:r>
        <w:fldChar w:fldCharType="separate"/>
      </w:r>
      <w:r>
        <w:rPr>
          <w:rStyle w:val="21"/>
          <w:rFonts w:hint="eastAsia" w:ascii="Times New Roman" w:hAnsi="Times New Roman" w:eastAsia="楷体_GB2312"/>
          <w:color w:val="auto"/>
          <w:sz w:val="32"/>
          <w:szCs w:val="32"/>
        </w:rPr>
        <w:t>（二）生态环境保护迈入新征程</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_Toc233040967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7</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0B9DB0DE">
      <w:pPr>
        <w:pStyle w:val="14"/>
        <w:tabs>
          <w:tab w:val="right" w:leader="dot" w:pos="8835"/>
        </w:tabs>
        <w:rPr>
          <w:rFonts w:ascii="Times New Roman" w:hAnsi="Times New Roman" w:eastAsia="楷体_GB2312"/>
          <w:sz w:val="32"/>
          <w:szCs w:val="32"/>
        </w:rPr>
      </w:pPr>
      <w:r>
        <w:fldChar w:fldCharType="begin"/>
      </w:r>
      <w:r>
        <w:instrText xml:space="preserve"> HYPERLINK \l "_Toc233040968" </w:instrText>
      </w:r>
      <w:r>
        <w:fldChar w:fldCharType="separate"/>
      </w:r>
      <w:r>
        <w:rPr>
          <w:rStyle w:val="21"/>
          <w:rFonts w:hint="eastAsia" w:ascii="Times New Roman" w:hAnsi="Times New Roman" w:eastAsia="楷体_GB2312"/>
          <w:color w:val="auto"/>
          <w:sz w:val="32"/>
          <w:szCs w:val="32"/>
        </w:rPr>
        <w:t>（三）美丽朝阳建设面临新挑战</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_Toc233040968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8</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B96E9D9">
      <w:pPr>
        <w:pStyle w:val="12"/>
        <w:rPr>
          <w:rStyle w:val="21"/>
          <w:rFonts w:ascii="Times New Roman" w:hAnsi="Times New Roman"/>
          <w:color w:val="auto"/>
        </w:rPr>
      </w:pPr>
      <w:r>
        <w:fldChar w:fldCharType="begin"/>
      </w:r>
      <w:r>
        <w:instrText xml:space="preserve"> HYPERLINK \l "_Toc233040969" </w:instrText>
      </w:r>
      <w:r>
        <w:fldChar w:fldCharType="separate"/>
      </w:r>
      <w:r>
        <w:rPr>
          <w:rStyle w:val="21"/>
          <w:rFonts w:hint="eastAsia" w:ascii="Times New Roman" w:hAnsi="Times New Roman"/>
          <w:color w:val="auto"/>
        </w:rPr>
        <w:t>二、总体要求</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_Toc233040969 \h </w:instrText>
      </w:r>
      <w:r>
        <w:rPr>
          <w:rStyle w:val="21"/>
          <w:rFonts w:hint="eastAsia" w:ascii="Times New Roman" w:hAnsi="Times New Roman"/>
          <w:color w:val="auto"/>
        </w:rPr>
        <w:fldChar w:fldCharType="separate"/>
      </w:r>
      <w:r>
        <w:rPr>
          <w:rStyle w:val="21"/>
          <w:rFonts w:hint="eastAsia" w:ascii="Times New Roman" w:hAnsi="Times New Roman"/>
          <w:color w:val="auto"/>
        </w:rPr>
        <w:t>11</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27960253">
      <w:pPr>
        <w:pStyle w:val="14"/>
        <w:tabs>
          <w:tab w:val="right" w:leader="dot" w:pos="8835"/>
        </w:tabs>
        <w:rPr>
          <w:rFonts w:ascii="Times New Roman" w:hAnsi="Times New Roman" w:eastAsia="楷体_GB2312"/>
          <w:sz w:val="32"/>
          <w:szCs w:val="32"/>
        </w:rPr>
      </w:pPr>
      <w:r>
        <w:fldChar w:fldCharType="begin"/>
      </w:r>
      <w:r>
        <w:instrText xml:space="preserve"> HYPERLINK \l "_Toc233040970" </w:instrText>
      </w:r>
      <w:r>
        <w:fldChar w:fldCharType="separate"/>
      </w:r>
      <w:r>
        <w:rPr>
          <w:rStyle w:val="21"/>
          <w:rFonts w:hint="eastAsia" w:ascii="Times New Roman" w:hAnsi="Times New Roman" w:eastAsia="楷体_GB2312"/>
          <w:color w:val="auto"/>
          <w:sz w:val="32"/>
          <w:szCs w:val="32"/>
        </w:rPr>
        <w:t>（一）指导思想</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_Toc233040970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11</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40E3F17C">
      <w:pPr>
        <w:pStyle w:val="14"/>
        <w:tabs>
          <w:tab w:val="right" w:leader="dot" w:pos="8835"/>
        </w:tabs>
        <w:rPr>
          <w:rFonts w:ascii="Times New Roman" w:hAnsi="Times New Roman" w:eastAsia="楷体_GB2312"/>
          <w:sz w:val="32"/>
          <w:szCs w:val="32"/>
        </w:rPr>
      </w:pPr>
      <w:r>
        <w:fldChar w:fldCharType="begin"/>
      </w:r>
      <w:r>
        <w:instrText xml:space="preserve"> HYPERLINK \l "_Toc233040971" </w:instrText>
      </w:r>
      <w:r>
        <w:fldChar w:fldCharType="separate"/>
      </w:r>
      <w:r>
        <w:rPr>
          <w:rStyle w:val="21"/>
          <w:rFonts w:hint="eastAsia" w:ascii="Times New Roman" w:hAnsi="Times New Roman" w:eastAsia="楷体_GB2312"/>
          <w:color w:val="auto"/>
          <w:sz w:val="32"/>
          <w:szCs w:val="32"/>
        </w:rPr>
        <w:t>（二）基本原则</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_Toc233040971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11</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03B3F8E5">
      <w:pPr>
        <w:pStyle w:val="14"/>
        <w:tabs>
          <w:tab w:val="right" w:leader="dot" w:pos="8835"/>
        </w:tabs>
        <w:rPr>
          <w:rFonts w:ascii="Times New Roman" w:hAnsi="Times New Roman" w:eastAsia="楷体_GB2312"/>
          <w:sz w:val="32"/>
          <w:szCs w:val="32"/>
        </w:rPr>
      </w:pPr>
      <w:r>
        <w:fldChar w:fldCharType="begin"/>
      </w:r>
      <w:r>
        <w:instrText xml:space="preserve"> HYPERLINK \l "_Toc233040972" </w:instrText>
      </w:r>
      <w:r>
        <w:fldChar w:fldCharType="separate"/>
      </w:r>
      <w:r>
        <w:rPr>
          <w:rStyle w:val="21"/>
          <w:rFonts w:hint="eastAsia" w:ascii="Times New Roman" w:hAnsi="Times New Roman" w:eastAsia="楷体_GB2312"/>
          <w:color w:val="auto"/>
          <w:sz w:val="32"/>
          <w:szCs w:val="32"/>
        </w:rPr>
        <w:t>（三）规划目标</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_Toc233040972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12</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2A600A50">
      <w:pPr>
        <w:pStyle w:val="12"/>
        <w:rPr>
          <w:rStyle w:val="21"/>
          <w:rFonts w:ascii="Times New Roman" w:hAnsi="Times New Roman"/>
          <w:color w:val="auto"/>
        </w:rPr>
      </w:pPr>
      <w:r>
        <w:fldChar w:fldCharType="begin"/>
      </w:r>
      <w:r>
        <w:instrText xml:space="preserve"> HYPERLINK \l "_Toc233040973" </w:instrText>
      </w:r>
      <w:r>
        <w:fldChar w:fldCharType="separate"/>
      </w:r>
      <w:r>
        <w:rPr>
          <w:rStyle w:val="21"/>
          <w:rFonts w:hint="eastAsia" w:ascii="Times New Roman" w:hAnsi="Times New Roman"/>
          <w:color w:val="auto"/>
        </w:rPr>
        <w:t>三、全面建设美丽朝阳，打造美丽城市标杆</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_Toc233040973 \h </w:instrText>
      </w:r>
      <w:r>
        <w:rPr>
          <w:rStyle w:val="21"/>
          <w:rFonts w:hint="eastAsia" w:ascii="Times New Roman" w:hAnsi="Times New Roman"/>
          <w:color w:val="auto"/>
        </w:rPr>
        <w:fldChar w:fldCharType="separate"/>
      </w:r>
      <w:r>
        <w:rPr>
          <w:rStyle w:val="21"/>
          <w:rFonts w:hint="eastAsia" w:ascii="Times New Roman" w:hAnsi="Times New Roman"/>
          <w:color w:val="auto"/>
        </w:rPr>
        <w:t>14</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41785D7A">
      <w:pPr>
        <w:pStyle w:val="14"/>
        <w:tabs>
          <w:tab w:val="right" w:leader="dot" w:pos="8835"/>
        </w:tabs>
        <w:rPr>
          <w:rFonts w:ascii="Times New Roman" w:hAnsi="Times New Roman" w:eastAsia="楷体_GB2312"/>
          <w:sz w:val="32"/>
          <w:szCs w:val="32"/>
        </w:rPr>
      </w:pPr>
      <w:r>
        <w:fldChar w:fldCharType="begin"/>
      </w:r>
      <w:r>
        <w:instrText xml:space="preserve"> HYPERLINK \l "_Toc233040974" </w:instrText>
      </w:r>
      <w:r>
        <w:fldChar w:fldCharType="separate"/>
      </w:r>
      <w:r>
        <w:rPr>
          <w:rStyle w:val="21"/>
          <w:rFonts w:hint="eastAsia" w:ascii="Times New Roman" w:hAnsi="Times New Roman" w:eastAsia="楷体_GB2312"/>
          <w:color w:val="auto"/>
          <w:sz w:val="32"/>
          <w:szCs w:val="32"/>
        </w:rPr>
        <w:t>（一）打造美丽城市建设“朝阳样板”</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_Toc233040974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14</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41A6F6EC">
      <w:pPr>
        <w:pStyle w:val="14"/>
        <w:tabs>
          <w:tab w:val="right" w:leader="dot" w:pos="8835"/>
        </w:tabs>
        <w:rPr>
          <w:rFonts w:ascii="Times New Roman" w:hAnsi="Times New Roman" w:eastAsia="楷体_GB2312"/>
          <w:sz w:val="32"/>
          <w:szCs w:val="32"/>
        </w:rPr>
      </w:pPr>
      <w:r>
        <w:fldChar w:fldCharType="begin"/>
      </w:r>
      <w:r>
        <w:instrText xml:space="preserve"> HYPERLINK \l "_Toc233040975" </w:instrText>
      </w:r>
      <w:r>
        <w:fldChar w:fldCharType="separate"/>
      </w:r>
      <w:r>
        <w:rPr>
          <w:rStyle w:val="21"/>
          <w:rFonts w:hint="eastAsia" w:ascii="Times New Roman" w:hAnsi="Times New Roman" w:eastAsia="楷体_GB2312"/>
          <w:color w:val="auto"/>
          <w:sz w:val="32"/>
          <w:szCs w:val="32"/>
        </w:rPr>
        <w:t>（二）全面推进美丽系列建设行动</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_Toc233040975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14</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D5BA143">
      <w:pPr>
        <w:pStyle w:val="14"/>
        <w:tabs>
          <w:tab w:val="right" w:leader="dot" w:pos="8835"/>
        </w:tabs>
        <w:rPr>
          <w:rFonts w:ascii="Times New Roman" w:hAnsi="Times New Roman" w:eastAsia="楷体_GB2312"/>
          <w:sz w:val="32"/>
          <w:szCs w:val="32"/>
        </w:rPr>
      </w:pPr>
      <w:r>
        <w:fldChar w:fldCharType="begin"/>
      </w:r>
      <w:r>
        <w:instrText xml:space="preserve"> HYPERLINK \l "_Toc233040976" </w:instrText>
      </w:r>
      <w:r>
        <w:fldChar w:fldCharType="separate"/>
      </w:r>
      <w:r>
        <w:rPr>
          <w:rStyle w:val="21"/>
          <w:rFonts w:hint="eastAsia" w:ascii="Times New Roman" w:hAnsi="Times New Roman" w:eastAsia="楷体_GB2312"/>
          <w:color w:val="auto"/>
          <w:sz w:val="32"/>
          <w:szCs w:val="32"/>
        </w:rPr>
        <w:t>（三）以督察整改护航美丽朝阳建设</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_Toc233040976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16</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F4665E5">
      <w:pPr>
        <w:pStyle w:val="12"/>
        <w:rPr>
          <w:rStyle w:val="21"/>
          <w:rFonts w:ascii="Times New Roman" w:hAnsi="Times New Roman"/>
          <w:color w:val="auto"/>
        </w:rPr>
      </w:pPr>
      <w:r>
        <w:fldChar w:fldCharType="begin"/>
      </w:r>
      <w:r>
        <w:instrText xml:space="preserve"> HYPERLINK \l "_Toc233040977" </w:instrText>
      </w:r>
      <w:r>
        <w:fldChar w:fldCharType="separate"/>
      </w:r>
      <w:r>
        <w:rPr>
          <w:rStyle w:val="21"/>
          <w:rFonts w:hint="eastAsia" w:ascii="Times New Roman" w:hAnsi="Times New Roman"/>
          <w:color w:val="auto"/>
        </w:rPr>
        <w:t>四、推动绿色低碳发展，协同推进减污降碳</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_Toc233040977 \h </w:instrText>
      </w:r>
      <w:r>
        <w:rPr>
          <w:rStyle w:val="21"/>
          <w:rFonts w:hint="eastAsia" w:ascii="Times New Roman" w:hAnsi="Times New Roman"/>
          <w:color w:val="auto"/>
        </w:rPr>
        <w:fldChar w:fldCharType="separate"/>
      </w:r>
      <w:r>
        <w:rPr>
          <w:rStyle w:val="21"/>
          <w:rFonts w:hint="eastAsia" w:ascii="Times New Roman" w:hAnsi="Times New Roman"/>
          <w:color w:val="auto"/>
        </w:rPr>
        <w:t>17</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4AC00B3C">
      <w:pPr>
        <w:pStyle w:val="14"/>
        <w:tabs>
          <w:tab w:val="right" w:leader="dot" w:pos="8835"/>
        </w:tabs>
        <w:rPr>
          <w:rFonts w:ascii="Times New Roman" w:hAnsi="Times New Roman" w:eastAsia="楷体_GB2312"/>
          <w:sz w:val="32"/>
          <w:szCs w:val="32"/>
        </w:rPr>
      </w:pPr>
      <w:r>
        <w:fldChar w:fldCharType="begin"/>
      </w:r>
      <w:r>
        <w:instrText xml:space="preserve"> HYPERLINK \l "_Toc233040978" </w:instrText>
      </w:r>
      <w:r>
        <w:fldChar w:fldCharType="separate"/>
      </w:r>
      <w:r>
        <w:rPr>
          <w:rStyle w:val="21"/>
          <w:rFonts w:hint="eastAsia" w:ascii="Times New Roman" w:hAnsi="Times New Roman" w:eastAsia="楷体_GB2312"/>
          <w:color w:val="auto"/>
          <w:sz w:val="32"/>
          <w:szCs w:val="32"/>
        </w:rPr>
        <w:t>（一）全面推动能源结构绿色转型</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_Toc233040978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17</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447BDF2E">
      <w:pPr>
        <w:pStyle w:val="14"/>
        <w:tabs>
          <w:tab w:val="right" w:leader="dot" w:pos="8835"/>
        </w:tabs>
        <w:rPr>
          <w:rFonts w:ascii="Times New Roman" w:hAnsi="Times New Roman" w:eastAsia="楷体_GB2312"/>
          <w:sz w:val="32"/>
          <w:szCs w:val="32"/>
        </w:rPr>
      </w:pPr>
      <w:r>
        <w:fldChar w:fldCharType="begin"/>
      </w:r>
      <w:r>
        <w:instrText xml:space="preserve"> HYPERLINK \l "_Toc233040979" </w:instrText>
      </w:r>
      <w:r>
        <w:fldChar w:fldCharType="separate"/>
      </w:r>
      <w:r>
        <w:rPr>
          <w:rStyle w:val="21"/>
          <w:rFonts w:hint="eastAsia" w:ascii="Times New Roman" w:hAnsi="Times New Roman" w:eastAsia="楷体_GB2312"/>
          <w:color w:val="auto"/>
          <w:sz w:val="32"/>
          <w:szCs w:val="32"/>
        </w:rPr>
        <w:t>（二）持续深化产业结构升级降碳</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_Toc233040979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18</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5F2DAE24">
      <w:pPr>
        <w:pStyle w:val="14"/>
        <w:tabs>
          <w:tab w:val="right" w:leader="dot" w:pos="8835"/>
        </w:tabs>
        <w:rPr>
          <w:rFonts w:ascii="Times New Roman" w:hAnsi="Times New Roman" w:eastAsia="楷体_GB2312"/>
          <w:sz w:val="32"/>
          <w:szCs w:val="32"/>
        </w:rPr>
      </w:pPr>
      <w:r>
        <w:fldChar w:fldCharType="begin"/>
      </w:r>
      <w:r>
        <w:instrText xml:space="preserve"> HYPERLINK \l "_Toc233040980" </w:instrText>
      </w:r>
      <w:r>
        <w:fldChar w:fldCharType="separate"/>
      </w:r>
      <w:r>
        <w:rPr>
          <w:rStyle w:val="21"/>
          <w:rFonts w:hint="eastAsia" w:ascii="Times New Roman" w:hAnsi="Times New Roman" w:eastAsia="楷体_GB2312"/>
          <w:color w:val="auto"/>
          <w:sz w:val="32"/>
          <w:szCs w:val="32"/>
        </w:rPr>
        <w:t>（三）稳步推进重点领域低碳转型</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_Toc233040980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19</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67E9163">
      <w:pPr>
        <w:pStyle w:val="14"/>
        <w:tabs>
          <w:tab w:val="right" w:leader="dot" w:pos="8835"/>
        </w:tabs>
        <w:rPr>
          <w:rFonts w:ascii="Times New Roman" w:hAnsi="Times New Roman" w:eastAsia="楷体_GB2312"/>
          <w:sz w:val="32"/>
          <w:szCs w:val="32"/>
        </w:rPr>
      </w:pPr>
      <w:r>
        <w:fldChar w:fldCharType="begin"/>
      </w:r>
      <w:r>
        <w:instrText xml:space="preserve"> HYPERLINK \l "_Toc233040981" </w:instrText>
      </w:r>
      <w:r>
        <w:fldChar w:fldCharType="separate"/>
      </w:r>
      <w:r>
        <w:rPr>
          <w:rStyle w:val="21"/>
          <w:rFonts w:hint="eastAsia" w:ascii="Times New Roman" w:hAnsi="Times New Roman" w:eastAsia="楷体_GB2312"/>
          <w:color w:val="auto"/>
          <w:sz w:val="32"/>
          <w:szCs w:val="32"/>
        </w:rPr>
        <w:t>（四）加快完善应对气候变化机制</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_Toc233040981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21</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09C7BE5">
      <w:pPr>
        <w:pStyle w:val="12"/>
        <w:rPr>
          <w:rStyle w:val="21"/>
          <w:rFonts w:ascii="Times New Roman" w:hAnsi="Times New Roman"/>
          <w:color w:val="auto"/>
        </w:rPr>
      </w:pPr>
      <w:r>
        <w:fldChar w:fldCharType="begin"/>
      </w:r>
      <w:r>
        <w:instrText xml:space="preserve"> HYPERLINK \l "_Toc233040982" </w:instrText>
      </w:r>
      <w:r>
        <w:fldChar w:fldCharType="separate"/>
      </w:r>
      <w:r>
        <w:rPr>
          <w:rStyle w:val="21"/>
          <w:rFonts w:hint="eastAsia" w:ascii="Times New Roman" w:hAnsi="Times New Roman"/>
          <w:color w:val="auto"/>
        </w:rPr>
        <w:t>五、推动产业事业融合，打造环保产业集群</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_Toc233040982 \h </w:instrText>
      </w:r>
      <w:r>
        <w:rPr>
          <w:rStyle w:val="21"/>
          <w:rFonts w:hint="eastAsia" w:ascii="Times New Roman" w:hAnsi="Times New Roman"/>
          <w:color w:val="auto"/>
        </w:rPr>
        <w:fldChar w:fldCharType="separate"/>
      </w:r>
      <w:r>
        <w:rPr>
          <w:rStyle w:val="21"/>
          <w:rFonts w:hint="eastAsia" w:ascii="Times New Roman" w:hAnsi="Times New Roman"/>
          <w:color w:val="auto"/>
        </w:rPr>
        <w:t>23</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3E4A06FD">
      <w:pPr>
        <w:pStyle w:val="14"/>
        <w:tabs>
          <w:tab w:val="right" w:leader="dot" w:pos="8835"/>
        </w:tabs>
        <w:rPr>
          <w:rFonts w:ascii="Times New Roman" w:hAnsi="Times New Roman" w:eastAsia="楷体_GB2312"/>
          <w:sz w:val="32"/>
          <w:szCs w:val="32"/>
        </w:rPr>
      </w:pPr>
      <w:r>
        <w:fldChar w:fldCharType="begin"/>
      </w:r>
      <w:r>
        <w:instrText xml:space="preserve"> HYPERLINK \l "_Toc233040983" </w:instrText>
      </w:r>
      <w:r>
        <w:fldChar w:fldCharType="separate"/>
      </w:r>
      <w:r>
        <w:rPr>
          <w:rStyle w:val="21"/>
          <w:rFonts w:hint="eastAsia" w:ascii="Times New Roman" w:hAnsi="Times New Roman" w:eastAsia="楷体_GB2312"/>
          <w:color w:val="auto"/>
          <w:sz w:val="32"/>
          <w:szCs w:val="32"/>
        </w:rPr>
        <w:t>（一）大力发展绿色环保产业</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_Toc233040983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23</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8FAE90F">
      <w:pPr>
        <w:pStyle w:val="14"/>
        <w:tabs>
          <w:tab w:val="right" w:leader="dot" w:pos="8835"/>
        </w:tabs>
        <w:rPr>
          <w:rFonts w:ascii="Times New Roman" w:hAnsi="Times New Roman" w:eastAsia="楷体_GB2312"/>
          <w:sz w:val="32"/>
          <w:szCs w:val="32"/>
        </w:rPr>
      </w:pPr>
      <w:r>
        <w:fldChar w:fldCharType="begin"/>
      </w:r>
      <w:r>
        <w:instrText xml:space="preserve"> HYPERLINK \l "_Toc233040984" </w:instrText>
      </w:r>
      <w:r>
        <w:fldChar w:fldCharType="separate"/>
      </w:r>
      <w:r>
        <w:rPr>
          <w:rStyle w:val="21"/>
          <w:rFonts w:hint="eastAsia" w:ascii="Times New Roman" w:hAnsi="Times New Roman" w:eastAsia="楷体_GB2312"/>
          <w:color w:val="auto"/>
          <w:sz w:val="32"/>
          <w:szCs w:val="32"/>
        </w:rPr>
        <w:t>（二）推进“科技百园”建设行动</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_Toc233040984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24</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0CCBB36D">
      <w:pPr>
        <w:pStyle w:val="14"/>
        <w:tabs>
          <w:tab w:val="right" w:leader="dot" w:pos="8835"/>
        </w:tabs>
        <w:rPr>
          <w:rFonts w:ascii="Times New Roman" w:hAnsi="Times New Roman" w:eastAsia="楷体_GB2312"/>
          <w:sz w:val="32"/>
          <w:szCs w:val="32"/>
        </w:rPr>
      </w:pPr>
      <w:r>
        <w:fldChar w:fldCharType="begin"/>
      </w:r>
      <w:r>
        <w:instrText xml:space="preserve"> HYPERLINK \l "_Toc233040985" </w:instrText>
      </w:r>
      <w:r>
        <w:fldChar w:fldCharType="separate"/>
      </w:r>
      <w:r>
        <w:rPr>
          <w:rStyle w:val="21"/>
          <w:rFonts w:hint="eastAsia" w:ascii="Times New Roman" w:hAnsi="Times New Roman" w:eastAsia="楷体_GB2312"/>
          <w:color w:val="auto"/>
          <w:sz w:val="32"/>
          <w:szCs w:val="32"/>
        </w:rPr>
        <w:t>（三）深化绿色发展国际化合作</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_Toc233040985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25</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DAF214E">
      <w:pPr>
        <w:pStyle w:val="12"/>
        <w:rPr>
          <w:rStyle w:val="21"/>
          <w:rFonts w:ascii="Times New Roman" w:hAnsi="Times New Roman"/>
          <w:color w:val="auto"/>
        </w:rPr>
      </w:pPr>
      <w:r>
        <w:fldChar w:fldCharType="begin"/>
      </w:r>
      <w:r>
        <w:instrText xml:space="preserve"> HYPERLINK \l "_Toc233040986" </w:instrText>
      </w:r>
      <w:r>
        <w:fldChar w:fldCharType="separate"/>
      </w:r>
      <w:r>
        <w:rPr>
          <w:rStyle w:val="21"/>
          <w:rFonts w:hint="eastAsia" w:ascii="Times New Roman" w:hAnsi="Times New Roman"/>
          <w:color w:val="auto"/>
        </w:rPr>
        <w:t>六、持续深入污染防治，全面改善环境质量</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_Toc233040986 \h </w:instrText>
      </w:r>
      <w:r>
        <w:rPr>
          <w:rStyle w:val="21"/>
          <w:rFonts w:hint="eastAsia" w:ascii="Times New Roman" w:hAnsi="Times New Roman"/>
          <w:color w:val="auto"/>
        </w:rPr>
        <w:fldChar w:fldCharType="separate"/>
      </w:r>
      <w:r>
        <w:rPr>
          <w:rStyle w:val="21"/>
          <w:rFonts w:hint="eastAsia" w:ascii="Times New Roman" w:hAnsi="Times New Roman"/>
          <w:color w:val="auto"/>
        </w:rPr>
        <w:t>26</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429D9CD4">
      <w:pPr>
        <w:pStyle w:val="14"/>
        <w:tabs>
          <w:tab w:val="right" w:leader="dot" w:pos="8835"/>
        </w:tabs>
        <w:rPr>
          <w:rFonts w:ascii="Times New Roman" w:hAnsi="Times New Roman" w:eastAsia="楷体_GB2312"/>
          <w:sz w:val="32"/>
          <w:szCs w:val="32"/>
        </w:rPr>
      </w:pPr>
      <w:r>
        <w:fldChar w:fldCharType="begin"/>
      </w:r>
      <w:r>
        <w:instrText xml:space="preserve"> HYPERLINK \l "_Toc233040987" </w:instrText>
      </w:r>
      <w:r>
        <w:fldChar w:fldCharType="separate"/>
      </w:r>
      <w:r>
        <w:rPr>
          <w:rStyle w:val="21"/>
          <w:rFonts w:hint="eastAsia" w:ascii="Times New Roman" w:hAnsi="Times New Roman" w:eastAsia="楷体_GB2312"/>
          <w:color w:val="auto"/>
          <w:sz w:val="32"/>
          <w:szCs w:val="32"/>
        </w:rPr>
        <w:t>（一）深化“0.1微克”攻坚</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_Toc233040987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26</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39655A5">
      <w:pPr>
        <w:pStyle w:val="14"/>
        <w:tabs>
          <w:tab w:val="right" w:leader="dot" w:pos="8835"/>
        </w:tabs>
        <w:rPr>
          <w:rFonts w:ascii="Times New Roman" w:hAnsi="Times New Roman" w:eastAsia="楷体_GB2312"/>
          <w:sz w:val="32"/>
          <w:szCs w:val="32"/>
        </w:rPr>
      </w:pPr>
      <w:r>
        <w:fldChar w:fldCharType="begin"/>
      </w:r>
      <w:r>
        <w:instrText xml:space="preserve"> HYPERLINK \l "_Toc233040988" </w:instrText>
      </w:r>
      <w:r>
        <w:fldChar w:fldCharType="separate"/>
      </w:r>
      <w:r>
        <w:rPr>
          <w:rStyle w:val="21"/>
          <w:rFonts w:hint="eastAsia" w:ascii="Times New Roman" w:hAnsi="Times New Roman" w:eastAsia="楷体_GB2312"/>
          <w:color w:val="auto"/>
          <w:sz w:val="32"/>
          <w:szCs w:val="32"/>
        </w:rPr>
        <w:t>（二）倾力营造“碧水”空间</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_Toc233040988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28</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2960729C">
      <w:pPr>
        <w:pStyle w:val="14"/>
        <w:tabs>
          <w:tab w:val="right" w:leader="dot" w:pos="8835"/>
        </w:tabs>
        <w:rPr>
          <w:rFonts w:ascii="Times New Roman" w:hAnsi="Times New Roman" w:eastAsia="楷体_GB2312"/>
          <w:sz w:val="32"/>
          <w:szCs w:val="32"/>
        </w:rPr>
      </w:pPr>
      <w:r>
        <w:fldChar w:fldCharType="begin"/>
      </w:r>
      <w:r>
        <w:instrText xml:space="preserve"> HYPERLINK \l "_Toc233040989" </w:instrText>
      </w:r>
      <w:r>
        <w:fldChar w:fldCharType="separate"/>
      </w:r>
      <w:r>
        <w:rPr>
          <w:rStyle w:val="21"/>
          <w:rFonts w:hint="eastAsia" w:ascii="Times New Roman" w:hAnsi="Times New Roman" w:eastAsia="楷体_GB2312"/>
          <w:color w:val="auto"/>
          <w:sz w:val="32"/>
          <w:szCs w:val="32"/>
        </w:rPr>
        <w:t>（三）奋力保护“净土”家园</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_Toc233040989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31</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4199213">
      <w:pPr>
        <w:pStyle w:val="14"/>
        <w:tabs>
          <w:tab w:val="right" w:leader="dot" w:pos="8835"/>
        </w:tabs>
        <w:rPr>
          <w:rFonts w:ascii="Times New Roman" w:hAnsi="Times New Roman" w:eastAsia="楷体_GB2312"/>
          <w:sz w:val="32"/>
          <w:szCs w:val="32"/>
        </w:rPr>
      </w:pPr>
      <w:r>
        <w:fldChar w:fldCharType="begin"/>
      </w:r>
      <w:r>
        <w:instrText xml:space="preserve"> HYPERLINK \l "_Toc233040990" </w:instrText>
      </w:r>
      <w:r>
        <w:fldChar w:fldCharType="separate"/>
      </w:r>
      <w:r>
        <w:rPr>
          <w:rStyle w:val="21"/>
          <w:rFonts w:hint="eastAsia" w:ascii="Times New Roman" w:hAnsi="Times New Roman" w:eastAsia="楷体_GB2312"/>
          <w:color w:val="auto"/>
          <w:sz w:val="32"/>
          <w:szCs w:val="32"/>
        </w:rPr>
        <w:t>（四）着力打造“宁静”城区</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_Toc233040990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32</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1405E714">
      <w:pPr>
        <w:pStyle w:val="12"/>
        <w:rPr>
          <w:rStyle w:val="21"/>
          <w:rFonts w:ascii="Times New Roman" w:hAnsi="Times New Roman"/>
          <w:color w:val="auto"/>
        </w:rPr>
      </w:pPr>
      <w:r>
        <w:fldChar w:fldCharType="begin"/>
      </w:r>
      <w:r>
        <w:instrText xml:space="preserve"> HYPERLINK \l "_Toc233040991" </w:instrText>
      </w:r>
      <w:r>
        <w:fldChar w:fldCharType="separate"/>
      </w:r>
      <w:r>
        <w:rPr>
          <w:rStyle w:val="21"/>
          <w:rFonts w:hint="eastAsia" w:ascii="Times New Roman" w:hAnsi="Times New Roman"/>
          <w:color w:val="auto"/>
        </w:rPr>
        <w:t>七、聚焦城市生态宜居，推进生态系统优化</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_Toc233040991 \h </w:instrText>
      </w:r>
      <w:r>
        <w:rPr>
          <w:rStyle w:val="21"/>
          <w:rFonts w:hint="eastAsia" w:ascii="Times New Roman" w:hAnsi="Times New Roman"/>
          <w:color w:val="auto"/>
        </w:rPr>
        <w:fldChar w:fldCharType="separate"/>
      </w:r>
      <w:r>
        <w:rPr>
          <w:rStyle w:val="21"/>
          <w:rFonts w:hint="eastAsia" w:ascii="Times New Roman" w:hAnsi="Times New Roman"/>
          <w:color w:val="auto"/>
        </w:rPr>
        <w:t>35</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417EADA0">
      <w:pPr>
        <w:pStyle w:val="14"/>
        <w:tabs>
          <w:tab w:val="right" w:leader="dot" w:pos="8835"/>
        </w:tabs>
        <w:rPr>
          <w:rFonts w:ascii="Times New Roman" w:hAnsi="Times New Roman" w:eastAsia="楷体_GB2312"/>
          <w:sz w:val="32"/>
          <w:szCs w:val="32"/>
        </w:rPr>
      </w:pPr>
      <w:r>
        <w:fldChar w:fldCharType="begin"/>
      </w:r>
      <w:r>
        <w:instrText xml:space="preserve"> HYPERLINK \l "_Toc233040992" </w:instrText>
      </w:r>
      <w:r>
        <w:fldChar w:fldCharType="separate"/>
      </w:r>
      <w:r>
        <w:rPr>
          <w:rStyle w:val="21"/>
          <w:rFonts w:hint="eastAsia" w:ascii="Times New Roman" w:hAnsi="Times New Roman" w:eastAsia="楷体_GB2312"/>
          <w:color w:val="auto"/>
          <w:sz w:val="32"/>
          <w:szCs w:val="32"/>
        </w:rPr>
        <w:t>（一）实施生态空间全域管控</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_Toc233040992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35</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3D7B847">
      <w:pPr>
        <w:pStyle w:val="14"/>
        <w:tabs>
          <w:tab w:val="right" w:leader="dot" w:pos="8835"/>
        </w:tabs>
        <w:rPr>
          <w:rFonts w:ascii="Times New Roman" w:hAnsi="Times New Roman" w:eastAsia="楷体_GB2312"/>
          <w:sz w:val="32"/>
          <w:szCs w:val="32"/>
        </w:rPr>
      </w:pPr>
      <w:r>
        <w:fldChar w:fldCharType="begin"/>
      </w:r>
      <w:r>
        <w:instrText xml:space="preserve"> HYPERLINK \l "_Toc233040993" </w:instrText>
      </w:r>
      <w:r>
        <w:fldChar w:fldCharType="separate"/>
      </w:r>
      <w:r>
        <w:rPr>
          <w:rStyle w:val="21"/>
          <w:rFonts w:hint="eastAsia" w:ascii="Times New Roman" w:hAnsi="Times New Roman" w:eastAsia="楷体_GB2312"/>
          <w:color w:val="auto"/>
          <w:sz w:val="32"/>
          <w:szCs w:val="32"/>
        </w:rPr>
        <w:t>（二）统筹推进生态保护修复</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_Toc233040993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36</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5C55DDF">
      <w:pPr>
        <w:pStyle w:val="14"/>
        <w:tabs>
          <w:tab w:val="right" w:leader="dot" w:pos="8835"/>
        </w:tabs>
        <w:rPr>
          <w:rFonts w:ascii="Times New Roman" w:hAnsi="Times New Roman" w:eastAsia="楷体_GB2312"/>
          <w:sz w:val="32"/>
          <w:szCs w:val="32"/>
        </w:rPr>
      </w:pPr>
      <w:r>
        <w:fldChar w:fldCharType="begin"/>
      </w:r>
      <w:r>
        <w:instrText xml:space="preserve"> HYPERLINK \l "_Toc233040994" </w:instrText>
      </w:r>
      <w:r>
        <w:fldChar w:fldCharType="separate"/>
      </w:r>
      <w:r>
        <w:rPr>
          <w:rStyle w:val="21"/>
          <w:rFonts w:hint="eastAsia" w:ascii="Times New Roman" w:hAnsi="Times New Roman" w:eastAsia="楷体_GB2312"/>
          <w:color w:val="auto"/>
          <w:sz w:val="32"/>
          <w:szCs w:val="32"/>
        </w:rPr>
        <w:t>（三）建设生物多样性友好城区</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_Toc233040994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37</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2FAF2B4D">
      <w:pPr>
        <w:pStyle w:val="14"/>
        <w:tabs>
          <w:tab w:val="right" w:leader="dot" w:pos="8835"/>
        </w:tabs>
        <w:rPr>
          <w:rFonts w:ascii="Times New Roman" w:hAnsi="Times New Roman" w:eastAsia="楷体_GB2312"/>
          <w:sz w:val="32"/>
          <w:szCs w:val="32"/>
        </w:rPr>
      </w:pPr>
      <w:r>
        <w:fldChar w:fldCharType="begin"/>
      </w:r>
      <w:r>
        <w:instrText xml:space="preserve"> HYPERLINK \l "_Toc233040995" </w:instrText>
      </w:r>
      <w:r>
        <w:fldChar w:fldCharType="separate"/>
      </w:r>
      <w:r>
        <w:rPr>
          <w:rStyle w:val="21"/>
          <w:rFonts w:hint="eastAsia" w:ascii="Times New Roman" w:hAnsi="Times New Roman" w:eastAsia="楷体_GB2312"/>
          <w:color w:val="auto"/>
          <w:sz w:val="32"/>
          <w:szCs w:val="32"/>
        </w:rPr>
        <w:t>（四）推动生态产品价值实现</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_Toc233040995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38</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6E1CE30A">
      <w:pPr>
        <w:pStyle w:val="12"/>
        <w:rPr>
          <w:rStyle w:val="21"/>
          <w:rFonts w:ascii="Times New Roman" w:hAnsi="Times New Roman"/>
          <w:color w:val="auto"/>
        </w:rPr>
      </w:pPr>
      <w:r>
        <w:fldChar w:fldCharType="begin"/>
      </w:r>
      <w:r>
        <w:instrText xml:space="preserve"> HYPERLINK \l "_Toc233040996" </w:instrText>
      </w:r>
      <w:r>
        <w:fldChar w:fldCharType="separate"/>
      </w:r>
      <w:r>
        <w:rPr>
          <w:rStyle w:val="21"/>
          <w:rFonts w:hint="eastAsia" w:ascii="Times New Roman" w:hAnsi="Times New Roman"/>
          <w:color w:val="auto"/>
        </w:rPr>
        <w:t>八、强化环境风险防控，坚守生态安全底线</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_Toc233040996 \h </w:instrText>
      </w:r>
      <w:r>
        <w:rPr>
          <w:rStyle w:val="21"/>
          <w:rFonts w:hint="eastAsia" w:ascii="Times New Roman" w:hAnsi="Times New Roman"/>
          <w:color w:val="auto"/>
        </w:rPr>
        <w:fldChar w:fldCharType="separate"/>
      </w:r>
      <w:r>
        <w:rPr>
          <w:rStyle w:val="21"/>
          <w:rFonts w:hint="eastAsia" w:ascii="Times New Roman" w:hAnsi="Times New Roman"/>
          <w:color w:val="auto"/>
        </w:rPr>
        <w:t>40</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653EEE11">
      <w:pPr>
        <w:pStyle w:val="14"/>
        <w:tabs>
          <w:tab w:val="right" w:leader="dot" w:pos="8835"/>
        </w:tabs>
        <w:rPr>
          <w:rFonts w:ascii="Times New Roman" w:hAnsi="Times New Roman" w:eastAsia="楷体_GB2312"/>
          <w:sz w:val="32"/>
          <w:szCs w:val="32"/>
        </w:rPr>
      </w:pPr>
      <w:r>
        <w:fldChar w:fldCharType="begin"/>
      </w:r>
      <w:r>
        <w:instrText xml:space="preserve"> HYPERLINK \l "_Toc233040997" </w:instrText>
      </w:r>
      <w:r>
        <w:fldChar w:fldCharType="separate"/>
      </w:r>
      <w:r>
        <w:rPr>
          <w:rStyle w:val="21"/>
          <w:rFonts w:hint="eastAsia" w:ascii="Times New Roman" w:hAnsi="Times New Roman" w:eastAsia="楷体_GB2312"/>
          <w:color w:val="auto"/>
          <w:sz w:val="32"/>
          <w:szCs w:val="32"/>
        </w:rPr>
        <w:t>（一）打造“无废城市”建设样板</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_Toc233040997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40</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A3FF0B2">
      <w:pPr>
        <w:pStyle w:val="14"/>
        <w:tabs>
          <w:tab w:val="right" w:leader="dot" w:pos="8835"/>
        </w:tabs>
        <w:rPr>
          <w:rFonts w:ascii="Times New Roman" w:hAnsi="Times New Roman" w:eastAsia="楷体_GB2312"/>
          <w:sz w:val="32"/>
          <w:szCs w:val="32"/>
        </w:rPr>
      </w:pPr>
      <w:r>
        <w:fldChar w:fldCharType="begin"/>
      </w:r>
      <w:r>
        <w:instrText xml:space="preserve"> HYPERLINK \l "_Toc233040998" </w:instrText>
      </w:r>
      <w:r>
        <w:fldChar w:fldCharType="separate"/>
      </w:r>
      <w:r>
        <w:rPr>
          <w:rStyle w:val="21"/>
          <w:rFonts w:hint="eastAsia" w:ascii="Times New Roman" w:hAnsi="Times New Roman" w:eastAsia="楷体_GB2312"/>
          <w:color w:val="auto"/>
          <w:sz w:val="32"/>
          <w:szCs w:val="32"/>
        </w:rPr>
        <w:t>（二）加强新污染物与环境安全管理</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_Toc233040998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41</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4201B36E">
      <w:pPr>
        <w:pStyle w:val="14"/>
        <w:tabs>
          <w:tab w:val="right" w:leader="dot" w:pos="8835"/>
        </w:tabs>
        <w:rPr>
          <w:rFonts w:ascii="Times New Roman" w:hAnsi="Times New Roman" w:eastAsia="楷体_GB2312"/>
          <w:sz w:val="32"/>
          <w:szCs w:val="32"/>
        </w:rPr>
      </w:pPr>
      <w:r>
        <w:fldChar w:fldCharType="begin"/>
      </w:r>
      <w:r>
        <w:instrText xml:space="preserve"> HYPERLINK \l "_Toc233040999" </w:instrText>
      </w:r>
      <w:r>
        <w:fldChar w:fldCharType="separate"/>
      </w:r>
      <w:r>
        <w:rPr>
          <w:rStyle w:val="21"/>
          <w:rFonts w:hint="eastAsia" w:ascii="Times New Roman" w:hAnsi="Times New Roman" w:eastAsia="楷体_GB2312"/>
          <w:color w:val="auto"/>
          <w:sz w:val="32"/>
          <w:szCs w:val="32"/>
        </w:rPr>
        <w:t>（三）强化重大设施环境风险防范</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_Toc233040999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42</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564D69D6">
      <w:pPr>
        <w:pStyle w:val="14"/>
        <w:tabs>
          <w:tab w:val="right" w:leader="dot" w:pos="8835"/>
        </w:tabs>
        <w:rPr>
          <w:rFonts w:ascii="Times New Roman" w:hAnsi="Times New Roman" w:eastAsia="楷体_GB2312"/>
          <w:sz w:val="32"/>
          <w:szCs w:val="32"/>
        </w:rPr>
      </w:pPr>
      <w:r>
        <w:fldChar w:fldCharType="begin"/>
      </w:r>
      <w:r>
        <w:instrText xml:space="preserve"> HYPERLINK \l "_Toc233041000" </w:instrText>
      </w:r>
      <w:r>
        <w:fldChar w:fldCharType="separate"/>
      </w:r>
      <w:r>
        <w:rPr>
          <w:rStyle w:val="21"/>
          <w:rFonts w:hint="eastAsia" w:ascii="Times New Roman" w:hAnsi="Times New Roman" w:eastAsia="楷体_GB2312"/>
          <w:color w:val="auto"/>
          <w:sz w:val="32"/>
          <w:szCs w:val="32"/>
        </w:rPr>
        <w:t>（四）提升城市适应气候变化水平</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_Toc233041000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43</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72E21FA4">
      <w:pPr>
        <w:pStyle w:val="12"/>
        <w:rPr>
          <w:rStyle w:val="21"/>
          <w:rFonts w:ascii="Times New Roman" w:hAnsi="Times New Roman"/>
          <w:color w:val="auto"/>
        </w:rPr>
      </w:pPr>
      <w:r>
        <w:fldChar w:fldCharType="begin"/>
      </w:r>
      <w:r>
        <w:instrText xml:space="preserve"> HYPERLINK \l "_Toc233041001" </w:instrText>
      </w:r>
      <w:r>
        <w:fldChar w:fldCharType="separate"/>
      </w:r>
      <w:r>
        <w:rPr>
          <w:rStyle w:val="21"/>
          <w:rFonts w:hint="eastAsia" w:ascii="Times New Roman" w:hAnsi="Times New Roman"/>
          <w:color w:val="auto"/>
        </w:rPr>
        <w:t>九、创新数字智慧监管，提升治理能力现代化</w:t>
      </w:r>
      <w:r>
        <w:rPr>
          <w:rStyle w:val="21"/>
          <w:rFonts w:hint="eastAsia" w:ascii="Times New Roman" w:hAnsi="Times New Roman"/>
          <w:color w:val="auto"/>
        </w:rPr>
        <w:tab/>
      </w:r>
      <w:r>
        <w:rPr>
          <w:rStyle w:val="21"/>
          <w:rFonts w:hint="eastAsia" w:ascii="Times New Roman" w:hAnsi="Times New Roman"/>
          <w:color w:val="auto"/>
        </w:rPr>
        <w:fldChar w:fldCharType="begin"/>
      </w:r>
      <w:r>
        <w:rPr>
          <w:rStyle w:val="21"/>
          <w:rFonts w:hint="eastAsia" w:ascii="Times New Roman" w:hAnsi="Times New Roman"/>
          <w:color w:val="auto"/>
        </w:rPr>
        <w:instrText xml:space="preserve"> PAGEREF _Toc233041001 \h </w:instrText>
      </w:r>
      <w:r>
        <w:rPr>
          <w:rStyle w:val="21"/>
          <w:rFonts w:hint="eastAsia" w:ascii="Times New Roman" w:hAnsi="Times New Roman"/>
          <w:color w:val="auto"/>
        </w:rPr>
        <w:fldChar w:fldCharType="separate"/>
      </w:r>
      <w:r>
        <w:rPr>
          <w:rStyle w:val="21"/>
          <w:rFonts w:hint="eastAsia" w:ascii="Times New Roman" w:hAnsi="Times New Roman"/>
          <w:color w:val="auto"/>
        </w:rPr>
        <w:t>45</w:t>
      </w:r>
      <w:r>
        <w:rPr>
          <w:rStyle w:val="21"/>
          <w:rFonts w:hint="eastAsia" w:ascii="Times New Roman" w:hAnsi="Times New Roman"/>
          <w:color w:val="auto"/>
        </w:rPr>
        <w:fldChar w:fldCharType="end"/>
      </w:r>
      <w:r>
        <w:rPr>
          <w:rStyle w:val="21"/>
          <w:rFonts w:hint="eastAsia" w:ascii="Times New Roman" w:hAnsi="Times New Roman"/>
          <w:color w:val="auto"/>
        </w:rPr>
        <w:fldChar w:fldCharType="end"/>
      </w:r>
    </w:p>
    <w:p w14:paraId="67E4BBCE">
      <w:pPr>
        <w:pStyle w:val="14"/>
        <w:tabs>
          <w:tab w:val="right" w:leader="dot" w:pos="8835"/>
        </w:tabs>
        <w:rPr>
          <w:rFonts w:ascii="Times New Roman" w:hAnsi="Times New Roman" w:eastAsia="楷体_GB2312"/>
          <w:sz w:val="32"/>
          <w:szCs w:val="32"/>
        </w:rPr>
      </w:pPr>
      <w:r>
        <w:fldChar w:fldCharType="begin"/>
      </w:r>
      <w:r>
        <w:instrText xml:space="preserve"> HYPERLINK \l "_Toc233041002" </w:instrText>
      </w:r>
      <w:r>
        <w:fldChar w:fldCharType="separate"/>
      </w:r>
      <w:r>
        <w:rPr>
          <w:rStyle w:val="21"/>
          <w:rFonts w:hint="eastAsia" w:ascii="Times New Roman" w:hAnsi="Times New Roman" w:eastAsia="楷体_GB2312"/>
          <w:color w:val="auto"/>
          <w:sz w:val="32"/>
          <w:szCs w:val="32"/>
        </w:rPr>
        <w:t>（一）健全环境治理责任体系</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_Toc233041002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45</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4D05B6F6">
      <w:pPr>
        <w:pStyle w:val="14"/>
        <w:tabs>
          <w:tab w:val="right" w:leader="dot" w:pos="8835"/>
        </w:tabs>
        <w:rPr>
          <w:rFonts w:ascii="Times New Roman" w:hAnsi="Times New Roman" w:eastAsia="楷体_GB2312"/>
          <w:sz w:val="32"/>
          <w:szCs w:val="32"/>
        </w:rPr>
      </w:pPr>
      <w:r>
        <w:fldChar w:fldCharType="begin"/>
      </w:r>
      <w:r>
        <w:instrText xml:space="preserve"> HYPERLINK \l "_Toc233041003" </w:instrText>
      </w:r>
      <w:r>
        <w:fldChar w:fldCharType="separate"/>
      </w:r>
      <w:r>
        <w:rPr>
          <w:rStyle w:val="21"/>
          <w:rFonts w:hint="eastAsia" w:ascii="Times New Roman" w:hAnsi="Times New Roman" w:eastAsia="楷体_GB2312"/>
          <w:color w:val="auto"/>
          <w:sz w:val="32"/>
          <w:szCs w:val="32"/>
        </w:rPr>
        <w:t>（二）完善生态环境制度体系</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_Toc233041003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46</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6F48CF22">
      <w:pPr>
        <w:pStyle w:val="14"/>
        <w:tabs>
          <w:tab w:val="right" w:leader="dot" w:pos="8835"/>
        </w:tabs>
        <w:rPr>
          <w:rFonts w:ascii="Times New Roman" w:hAnsi="Times New Roman" w:eastAsia="楷体_GB2312"/>
          <w:sz w:val="32"/>
          <w:szCs w:val="32"/>
        </w:rPr>
      </w:pPr>
      <w:r>
        <w:fldChar w:fldCharType="begin"/>
      </w:r>
      <w:r>
        <w:instrText xml:space="preserve"> HYPERLINK \l "_Toc233041004" </w:instrText>
      </w:r>
      <w:r>
        <w:fldChar w:fldCharType="separate"/>
      </w:r>
      <w:r>
        <w:rPr>
          <w:rStyle w:val="21"/>
          <w:rFonts w:hint="eastAsia" w:ascii="Times New Roman" w:hAnsi="Times New Roman" w:eastAsia="楷体_GB2312"/>
          <w:color w:val="auto"/>
          <w:sz w:val="32"/>
          <w:szCs w:val="32"/>
        </w:rPr>
        <w:t>（三）深化实施“三监”联动机制</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_Toc233041004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47</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573F4E66">
      <w:pPr>
        <w:pStyle w:val="14"/>
        <w:tabs>
          <w:tab w:val="right" w:leader="dot" w:pos="8835"/>
        </w:tabs>
        <w:rPr>
          <w:rFonts w:ascii="Times New Roman" w:hAnsi="Times New Roman" w:eastAsia="楷体_GB2312"/>
          <w:sz w:val="32"/>
          <w:szCs w:val="32"/>
        </w:rPr>
      </w:pPr>
      <w:r>
        <w:fldChar w:fldCharType="begin"/>
      </w:r>
      <w:r>
        <w:instrText xml:space="preserve"> HYPERLINK \l "_Toc233041005" </w:instrText>
      </w:r>
      <w:r>
        <w:fldChar w:fldCharType="separate"/>
      </w:r>
      <w:r>
        <w:rPr>
          <w:rStyle w:val="21"/>
          <w:rFonts w:hint="eastAsia" w:ascii="Times New Roman" w:hAnsi="Times New Roman" w:eastAsia="楷体_GB2312"/>
          <w:color w:val="auto"/>
          <w:sz w:val="32"/>
          <w:szCs w:val="32"/>
        </w:rPr>
        <w:t>（四）探索环境治理“数智”转型</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_Toc233041005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48</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p>
    <w:p w14:paraId="32AF936B">
      <w:pPr>
        <w:pStyle w:val="14"/>
        <w:tabs>
          <w:tab w:val="right" w:leader="dot" w:pos="8835"/>
        </w:tabs>
        <w:rPr>
          <w:rFonts w:ascii="Times New Roman" w:hAnsi="Times New Roman" w:eastAsia="楷体_GB2312" w:cs="Times New Roman"/>
          <w:sz w:val="36"/>
          <w:szCs w:val="36"/>
        </w:rPr>
      </w:pPr>
      <w:r>
        <w:fldChar w:fldCharType="begin"/>
      </w:r>
      <w:r>
        <w:instrText xml:space="preserve"> HYPERLINK \l "_Toc233041006" </w:instrText>
      </w:r>
      <w:r>
        <w:fldChar w:fldCharType="separate"/>
      </w:r>
      <w:r>
        <w:rPr>
          <w:rStyle w:val="21"/>
          <w:rFonts w:hint="eastAsia" w:ascii="Times New Roman" w:hAnsi="Times New Roman" w:eastAsia="楷体_GB2312"/>
          <w:color w:val="auto"/>
          <w:sz w:val="32"/>
          <w:szCs w:val="32"/>
        </w:rPr>
        <w:t>（五）健全规划支撑保障机制</w:t>
      </w:r>
      <w:r>
        <w:rPr>
          <w:rFonts w:hint="eastAsia" w:ascii="Times New Roman" w:hAnsi="Times New Roman" w:eastAsia="楷体_GB2312"/>
          <w:sz w:val="32"/>
          <w:szCs w:val="32"/>
        </w:rPr>
        <w:tab/>
      </w:r>
      <w:r>
        <w:rPr>
          <w:rFonts w:hint="eastAsia" w:ascii="Times New Roman" w:hAnsi="Times New Roman" w:eastAsia="楷体_GB2312"/>
          <w:sz w:val="32"/>
          <w:szCs w:val="32"/>
        </w:rPr>
        <w:fldChar w:fldCharType="begin"/>
      </w:r>
      <w:r>
        <w:rPr>
          <w:rFonts w:hint="eastAsia" w:ascii="Times New Roman" w:hAnsi="Times New Roman" w:eastAsia="楷体_GB2312"/>
          <w:sz w:val="32"/>
          <w:szCs w:val="32"/>
        </w:rPr>
        <w:instrText xml:space="preserve"> PAGEREF _Toc233041006 \h </w:instrText>
      </w:r>
      <w:r>
        <w:rPr>
          <w:rFonts w:hint="eastAsia" w:ascii="Times New Roman" w:hAnsi="Times New Roman" w:eastAsia="楷体_GB2312"/>
          <w:sz w:val="32"/>
          <w:szCs w:val="32"/>
        </w:rPr>
        <w:fldChar w:fldCharType="separate"/>
      </w:r>
      <w:r>
        <w:rPr>
          <w:rFonts w:hint="eastAsia" w:ascii="Times New Roman" w:hAnsi="Times New Roman" w:eastAsia="楷体_GB2312"/>
          <w:sz w:val="32"/>
          <w:szCs w:val="32"/>
        </w:rPr>
        <w:t>49</w:t>
      </w:r>
      <w:r>
        <w:rPr>
          <w:rFonts w:hint="eastAsia" w:ascii="Times New Roman" w:hAnsi="Times New Roman" w:eastAsia="楷体_GB2312"/>
          <w:sz w:val="32"/>
          <w:szCs w:val="32"/>
        </w:rPr>
        <w:fldChar w:fldCharType="end"/>
      </w:r>
      <w:r>
        <w:rPr>
          <w:rFonts w:hint="eastAsia" w:ascii="Times New Roman" w:hAnsi="Times New Roman" w:eastAsia="楷体_GB2312"/>
          <w:sz w:val="32"/>
          <w:szCs w:val="32"/>
        </w:rPr>
        <w:fldChar w:fldCharType="end"/>
      </w:r>
      <w:r>
        <w:rPr>
          <w:rFonts w:hint="eastAsia" w:ascii="Times New Roman" w:hAnsi="Times New Roman" w:eastAsia="楷体_GB2312" w:cs="Times New Roman"/>
          <w:sz w:val="32"/>
          <w:szCs w:val="32"/>
        </w:rPr>
        <w:fldChar w:fldCharType="end"/>
      </w:r>
    </w:p>
    <w:p w14:paraId="14B74D16">
      <w:pPr>
        <w:spacing w:line="560" w:lineRule="exact"/>
        <w:rPr>
          <w:rFonts w:ascii="Times New Roman" w:hAnsi="Times New Roman" w:eastAsia="楷体_GB2312" w:cs="Times New Roman"/>
          <w:sz w:val="36"/>
          <w:szCs w:val="36"/>
        </w:rPr>
        <w:sectPr>
          <w:footerReference r:id="rId7" w:type="default"/>
          <w:pgSz w:w="11906" w:h="16838"/>
          <w:pgMar w:top="1417" w:right="1474" w:bottom="1417" w:left="1587" w:header="851" w:footer="992" w:gutter="0"/>
          <w:cols w:space="720" w:num="1"/>
          <w:docGrid w:type="lines" w:linePitch="312" w:charSpace="0"/>
        </w:sectPr>
      </w:pPr>
    </w:p>
    <w:p w14:paraId="5714F6F8">
      <w:pPr>
        <w:pStyle w:val="3"/>
      </w:pPr>
      <w:bookmarkStart w:id="1" w:name="_Toc201598870"/>
      <w:bookmarkStart w:id="2" w:name="_Toc208827856"/>
      <w:bookmarkStart w:id="3" w:name="_Toc233040965"/>
      <w:r>
        <w:rPr>
          <w:rFonts w:hint="eastAsia"/>
        </w:rPr>
        <w:t>一、</w:t>
      </w:r>
      <w:bookmarkEnd w:id="1"/>
      <w:r>
        <w:rPr>
          <w:rFonts w:hint="eastAsia"/>
        </w:rPr>
        <w:t>规划背景</w:t>
      </w:r>
      <w:bookmarkEnd w:id="2"/>
      <w:bookmarkEnd w:id="3"/>
    </w:p>
    <w:p w14:paraId="5A5367DA">
      <w:pPr>
        <w:pStyle w:val="4"/>
      </w:pPr>
      <w:bookmarkStart w:id="4" w:name="_Toc233040966"/>
      <w:bookmarkStart w:id="5" w:name="_Toc208827857"/>
      <w:bookmarkStart w:id="6" w:name="_Toc201598871"/>
      <w:r>
        <w:rPr>
          <w:rFonts w:hint="eastAsia"/>
        </w:rPr>
        <w:t>（一）生态文明建设取得新成就</w:t>
      </w:r>
      <w:bookmarkEnd w:id="4"/>
      <w:bookmarkEnd w:id="5"/>
      <w:bookmarkEnd w:id="6"/>
    </w:p>
    <w:p w14:paraId="4CC3F547">
      <w:pPr>
        <w:adjustRightInd w:val="0"/>
        <w:snapToGrid w:val="0"/>
        <w:spacing w:line="560" w:lineRule="exact"/>
        <w:ind w:firstLine="640" w:firstLineChars="200"/>
        <w:rPr>
          <w:rFonts w:ascii="仿宋_GB2312" w:hAnsi="Times" w:eastAsia="仿宋_GB2312" w:cs="Times New Roman"/>
          <w:sz w:val="28"/>
          <w:szCs w:val="22"/>
        </w:rPr>
      </w:pPr>
      <w:bookmarkStart w:id="7" w:name="_Hlk204781795"/>
      <w:r>
        <w:rPr>
          <w:rFonts w:hint="eastAsia" w:ascii="仿宋_GB2312" w:hAnsi="Times" w:eastAsia="仿宋_GB2312" w:cs="Times New Roman"/>
          <w:sz w:val="32"/>
        </w:rPr>
        <w:t>“十四五”以来，朝阳区深入落实“大尺度绿化看朝阳”，坚持生态优先、绿色发展，全区生态环境质量持续改善，绿色低碳发展水平持续提升，在全市率先制定实施推动美丽朝阳建设的实施方案，成功创建国家生态文明建设示范区，获评全球首个“新飒飒</w:t>
      </w:r>
      <w:r>
        <w:rPr>
          <w:rFonts w:hint="eastAsia" w:ascii="微软雅黑" w:hAnsi="微软雅黑" w:eastAsia="微软雅黑" w:cs="微软雅黑"/>
          <w:sz w:val="32"/>
        </w:rPr>
        <w:t>·</w:t>
      </w:r>
      <w:r>
        <w:rPr>
          <w:rFonts w:hint="eastAsia" w:ascii="仿宋_GB2312" w:hAnsi="仿宋_GB2312" w:eastAsia="仿宋_GB2312" w:cs="仿宋_GB2312"/>
          <w:sz w:val="32"/>
        </w:rPr>
        <w:t>全球更绿智慧城市”</w:t>
      </w:r>
      <w:r>
        <w:rPr>
          <w:rFonts w:hint="eastAsia" w:ascii="仿宋_GB2312" w:hAnsi="Times" w:eastAsia="仿宋_GB2312" w:cs="Times New Roman"/>
          <w:sz w:val="32"/>
        </w:rPr>
        <w:t>，崔各庄乡获评全市首个乡级全国“两山”实践创新基地，生态文明建设扎实推进。</w:t>
      </w:r>
    </w:p>
    <w:bookmarkEnd w:id="7"/>
    <w:p w14:paraId="14A591E4">
      <w:pPr>
        <w:tabs>
          <w:tab w:val="left" w:pos="567"/>
        </w:tabs>
        <w:adjustRightInd w:val="0"/>
        <w:snapToGrid w:val="0"/>
        <w:spacing w:line="560" w:lineRule="exact"/>
        <w:ind w:firstLine="640" w:firstLineChars="200"/>
        <w:rPr>
          <w:rFonts w:ascii="Times New Roman" w:hAnsi="Times New Roman" w:eastAsia="仿宋_GB2312" w:cs="Times New Roman"/>
          <w:sz w:val="32"/>
        </w:rPr>
      </w:pPr>
      <w:bookmarkStart w:id="8" w:name="OLE_LINK21"/>
      <w:r>
        <w:rPr>
          <w:rFonts w:hint="eastAsia" w:ascii="Times New Roman" w:hAnsi="Times New Roman" w:eastAsia="仿宋_GB2312" w:cs="Times New Roman"/>
          <w:sz w:val="32"/>
        </w:rPr>
        <w:t>绿色低碳转型稳步发展。获批国家首批减污降碳协同创新城市试点，朝阳循环经济产业园入选首批园区试点，朝阳区成为全国唯一“双试点”区域。积极稳妥推进碳达峰碳中和，“十四五”以来，全区碳排放总量达到</w:t>
      </w:r>
      <w:r>
        <w:rPr>
          <w:rFonts w:ascii="Times New Roman" w:hAnsi="Times New Roman" w:eastAsia="仿宋_GB2312" w:cs="Times New Roman"/>
          <w:sz w:val="32"/>
        </w:rPr>
        <w:t>1560</w:t>
      </w:r>
      <w:r>
        <w:rPr>
          <w:rFonts w:hint="eastAsia" w:ascii="Times New Roman" w:hAnsi="Times New Roman" w:eastAsia="仿宋_GB2312" w:cs="Times New Roman"/>
          <w:sz w:val="32"/>
        </w:rPr>
        <w:t>万吨控制要求，碳排放强度较</w:t>
      </w:r>
      <w:r>
        <w:rPr>
          <w:rFonts w:ascii="Times New Roman" w:hAnsi="Times New Roman" w:eastAsia="仿宋_GB2312" w:cs="Times New Roman"/>
          <w:sz w:val="32"/>
        </w:rPr>
        <w:t>2020</w:t>
      </w:r>
      <w:r>
        <w:rPr>
          <w:rFonts w:hint="eastAsia" w:ascii="Times New Roman" w:hAnsi="Times New Roman" w:eastAsia="仿宋_GB2312" w:cs="Times New Roman"/>
          <w:sz w:val="32"/>
        </w:rPr>
        <w:t>年累计下降</w:t>
      </w:r>
      <w:r>
        <w:rPr>
          <w:rFonts w:ascii="Times New Roman" w:hAnsi="Times New Roman" w:eastAsia="仿宋_GB2312" w:cs="Times New Roman"/>
          <w:sz w:val="32"/>
        </w:rPr>
        <w:t>21%</w:t>
      </w:r>
      <w:r>
        <w:rPr>
          <w:rFonts w:hint="eastAsia" w:ascii="Times New Roman" w:hAnsi="Times New Roman" w:eastAsia="仿宋_GB2312" w:cs="Times New Roman"/>
          <w:sz w:val="32"/>
        </w:rPr>
        <w:t>。能源结构加快转型，用电大户、区属国企、重点产业园区、既有绿电交易主体主动消纳绿电，</w:t>
      </w:r>
      <w:bookmarkStart w:id="9" w:name="OLE_LINK8"/>
      <w:r>
        <w:rPr>
          <w:rFonts w:hint="eastAsia" w:ascii="Times New Roman" w:hAnsi="Times New Roman" w:eastAsia="仿宋_GB2312" w:cs="Times New Roman"/>
          <w:sz w:val="32"/>
        </w:rPr>
        <w:t>绿电消费量占全市五分之一</w:t>
      </w:r>
      <w:bookmarkEnd w:id="9"/>
      <w:r>
        <w:rPr>
          <w:rFonts w:hint="eastAsia" w:ascii="Times New Roman" w:hAnsi="Times New Roman" w:eastAsia="仿宋_GB2312" w:cs="Times New Roman"/>
          <w:sz w:val="32"/>
        </w:rPr>
        <w:t>，非化石能源占能源消费总量比重达</w:t>
      </w:r>
      <w:r>
        <w:rPr>
          <w:rFonts w:ascii="Times New Roman" w:hAnsi="Times New Roman" w:eastAsia="仿宋_GB2312" w:cs="Times New Roman"/>
          <w:sz w:val="32"/>
        </w:rPr>
        <w:t>19%</w:t>
      </w:r>
      <w:r>
        <w:rPr>
          <w:rFonts w:hint="eastAsia" w:ascii="Times New Roman" w:hAnsi="Times New Roman" w:eastAsia="仿宋_GB2312" w:cs="Times New Roman"/>
          <w:sz w:val="32"/>
        </w:rPr>
        <w:t>以上。“</w:t>
      </w:r>
      <w:r>
        <w:rPr>
          <w:rFonts w:ascii="Times New Roman" w:hAnsi="Times New Roman" w:eastAsia="仿宋_GB2312" w:cs="Times New Roman"/>
          <w:sz w:val="32"/>
        </w:rPr>
        <w:t>3+X</w:t>
      </w:r>
      <w:r>
        <w:rPr>
          <w:rFonts w:hint="eastAsia" w:ascii="Times New Roman" w:hAnsi="Times New Roman" w:eastAsia="仿宋_GB2312" w:cs="Times New Roman"/>
          <w:sz w:val="32"/>
        </w:rPr>
        <w:t>”产业创新体系加快构建，</w:t>
      </w:r>
      <w:r>
        <w:rPr>
          <w:rFonts w:hint="eastAsia" w:ascii="Times New Roman" w:hAnsi="Times New Roman" w:eastAsia="仿宋_GB2312" w:cs="Times New Roman"/>
          <w:sz w:val="32"/>
          <w:szCs w:val="32"/>
        </w:rPr>
        <w:t>科技含量高、资源消耗低、环境污染少的高精尖产业结构体系基本形成。绿色建筑加快推广，</w:t>
      </w:r>
      <w:r>
        <w:rPr>
          <w:rFonts w:hint="eastAsia" w:ascii="Times New Roman" w:hAnsi="Times New Roman" w:eastAsia="仿宋_GB2312" w:cs="Times New Roman"/>
          <w:sz w:val="32"/>
        </w:rPr>
        <w:t>“十四五”期间新建绿色建筑</w:t>
      </w:r>
      <w:r>
        <w:rPr>
          <w:rFonts w:ascii="Times New Roman" w:hAnsi="Times New Roman" w:eastAsia="仿宋_GB2312" w:cs="Times New Roman"/>
          <w:sz w:val="32"/>
        </w:rPr>
        <w:t>69</w:t>
      </w:r>
      <w:r>
        <w:rPr>
          <w:rFonts w:hint="eastAsia" w:ascii="Times New Roman" w:hAnsi="Times New Roman" w:eastAsia="仿宋_GB2312" w:cs="Times New Roman"/>
          <w:sz w:val="32"/>
        </w:rPr>
        <w:t>万平方米，完成</w:t>
      </w:r>
      <w:r>
        <w:rPr>
          <w:rFonts w:ascii="Times New Roman" w:hAnsi="Times New Roman" w:eastAsia="仿宋_GB2312" w:cs="Times New Roman"/>
          <w:sz w:val="32"/>
        </w:rPr>
        <w:t>700</w:t>
      </w:r>
      <w:r>
        <w:rPr>
          <w:rFonts w:hint="eastAsia" w:ascii="Times New Roman" w:hAnsi="Times New Roman" w:eastAsia="仿宋_GB2312" w:cs="Times New Roman"/>
          <w:sz w:val="32"/>
        </w:rPr>
        <w:t>多万平方米公共建筑节能绿色化改造，全区绿建认证项目约占全市</w:t>
      </w:r>
      <w:r>
        <w:rPr>
          <w:rFonts w:ascii="Times New Roman" w:hAnsi="Times New Roman" w:eastAsia="仿宋_GB2312" w:cs="Times New Roman"/>
          <w:sz w:val="32"/>
        </w:rPr>
        <w:t>1/4</w:t>
      </w:r>
      <w:r>
        <w:rPr>
          <w:rFonts w:hint="eastAsia" w:ascii="Times New Roman" w:hAnsi="Times New Roman" w:eastAsia="仿宋_GB2312" w:cs="Times New Roman"/>
          <w:sz w:val="32"/>
        </w:rPr>
        <w:t>，居全市首位。</w:t>
      </w:r>
    </w:p>
    <w:p w14:paraId="2EDA9D4A">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生态环境质量稳中向好。</w:t>
      </w:r>
      <w:r>
        <w:rPr>
          <w:rFonts w:hint="eastAsia" w:ascii="仿宋_GB2312" w:hAnsi="Times New Roman" w:eastAsia="仿宋_GB2312" w:cs="Times New Roman"/>
          <w:sz w:val="32"/>
        </w:rPr>
        <w:t>“</w:t>
      </w:r>
      <w:r>
        <w:rPr>
          <w:rFonts w:hint="eastAsia" w:ascii="Times New Roman" w:hAnsi="Times New Roman" w:eastAsia="仿宋_GB2312" w:cs="Times New Roman"/>
          <w:sz w:val="32"/>
        </w:rPr>
        <w:t>十四五</w:t>
      </w:r>
      <w:r>
        <w:rPr>
          <w:rFonts w:hint="eastAsia" w:ascii="仿宋_GB2312" w:hAnsi="Times New Roman" w:eastAsia="仿宋_GB2312" w:cs="Times New Roman"/>
          <w:sz w:val="32"/>
        </w:rPr>
        <w:t>”</w:t>
      </w:r>
      <w:r>
        <w:rPr>
          <w:rFonts w:hint="eastAsia" w:ascii="Times New Roman" w:hAnsi="Times New Roman" w:eastAsia="仿宋_GB2312" w:cs="Times New Roman"/>
          <w:sz w:val="32"/>
        </w:rPr>
        <w:t>以来，全区空气质量显著改善，</w:t>
      </w:r>
      <w:bookmarkStart w:id="10" w:name="OLE_LINK1"/>
      <w:bookmarkStart w:id="11" w:name="OLE_LINK2"/>
      <w:r>
        <w:rPr>
          <w:rFonts w:ascii="Times New Roman" w:hAnsi="Times New Roman" w:eastAsia="仿宋_GB2312" w:cs="Times New Roman"/>
          <w:sz w:val="32"/>
        </w:rPr>
        <w:t>PM</w:t>
      </w:r>
      <w:r>
        <w:rPr>
          <w:rFonts w:ascii="Times New Roman" w:hAnsi="Times New Roman" w:eastAsia="仿宋_GB2312" w:cs="Times New Roman"/>
          <w:sz w:val="32"/>
          <w:vertAlign w:val="subscript"/>
        </w:rPr>
        <w:t>2.5</w:t>
      </w:r>
      <w:bookmarkEnd w:id="10"/>
      <w:bookmarkEnd w:id="11"/>
      <w:r>
        <w:rPr>
          <w:rFonts w:hint="eastAsia" w:ascii="Times New Roman" w:hAnsi="Times New Roman" w:eastAsia="仿宋_GB2312" w:cs="Times New Roman"/>
          <w:sz w:val="32"/>
        </w:rPr>
        <w:t>、</w:t>
      </w:r>
      <w:r>
        <w:rPr>
          <w:rFonts w:ascii="Times New Roman" w:hAnsi="Times New Roman" w:eastAsia="仿宋_GB2312" w:cs="Times New Roman"/>
          <w:sz w:val="32"/>
        </w:rPr>
        <w:t>PM</w:t>
      </w:r>
      <w:r>
        <w:rPr>
          <w:rFonts w:ascii="Times New Roman" w:hAnsi="Times New Roman" w:eastAsia="仿宋_GB2312" w:cs="Times New Roman"/>
          <w:sz w:val="32"/>
          <w:vertAlign w:val="subscript"/>
        </w:rPr>
        <w:t>10</w:t>
      </w:r>
      <w:r>
        <w:rPr>
          <w:rFonts w:hint="eastAsia" w:ascii="Times New Roman" w:hAnsi="Times New Roman" w:eastAsia="仿宋_GB2312" w:cs="Times New Roman"/>
          <w:sz w:val="32"/>
        </w:rPr>
        <w:t>、</w:t>
      </w:r>
      <w:r>
        <w:rPr>
          <w:rFonts w:ascii="Times New Roman" w:hAnsi="Times New Roman" w:eastAsia="仿宋_GB2312" w:cs="Times New Roman"/>
          <w:sz w:val="32"/>
        </w:rPr>
        <w:t>NO</w:t>
      </w:r>
      <w:r>
        <w:rPr>
          <w:rFonts w:ascii="Times New Roman" w:hAnsi="Times New Roman" w:eastAsia="仿宋_GB2312" w:cs="Times New Roman"/>
          <w:sz w:val="32"/>
          <w:vertAlign w:val="subscript"/>
        </w:rPr>
        <w:t>2</w:t>
      </w:r>
      <w:r>
        <w:rPr>
          <w:rFonts w:hint="eastAsia" w:ascii="Times New Roman" w:hAnsi="Times New Roman" w:eastAsia="仿宋_GB2312" w:cs="Times New Roman"/>
          <w:sz w:val="32"/>
        </w:rPr>
        <w:t>、</w:t>
      </w:r>
      <w:r>
        <w:rPr>
          <w:rFonts w:ascii="Times New Roman" w:hAnsi="Times New Roman" w:eastAsia="仿宋_GB2312" w:cs="Times New Roman"/>
          <w:sz w:val="32"/>
        </w:rPr>
        <w:t>SO</w:t>
      </w:r>
      <w:r>
        <w:rPr>
          <w:rFonts w:ascii="Times New Roman" w:hAnsi="Times New Roman" w:eastAsia="仿宋_GB2312" w:cs="Times New Roman"/>
          <w:sz w:val="32"/>
          <w:vertAlign w:val="subscript"/>
        </w:rPr>
        <w:t>2</w:t>
      </w:r>
      <w:r>
        <w:rPr>
          <w:rFonts w:hint="eastAsia" w:ascii="Times New Roman" w:hAnsi="Times New Roman" w:eastAsia="仿宋_GB2312" w:cs="Times New Roman"/>
          <w:sz w:val="32"/>
        </w:rPr>
        <w:t>四项主要污染物连续</w:t>
      </w:r>
      <w:r>
        <w:rPr>
          <w:rFonts w:ascii="Times New Roman" w:hAnsi="Times New Roman" w:eastAsia="仿宋_GB2312" w:cs="Times New Roman"/>
          <w:sz w:val="32"/>
        </w:rPr>
        <w:t>4</w:t>
      </w:r>
      <w:r>
        <w:rPr>
          <w:rFonts w:hint="eastAsia" w:ascii="Times New Roman" w:hAnsi="Times New Roman" w:eastAsia="仿宋_GB2312" w:cs="Times New Roman"/>
          <w:sz w:val="32"/>
        </w:rPr>
        <w:t>年稳定达到国家二级标准。</w:t>
      </w:r>
      <w:r>
        <w:rPr>
          <w:rFonts w:ascii="Times New Roman" w:hAnsi="Times New Roman" w:eastAsia="仿宋_GB2312" w:cs="Times New Roman"/>
          <w:sz w:val="32"/>
        </w:rPr>
        <w:t>2025</w:t>
      </w:r>
      <w:r>
        <w:rPr>
          <w:rFonts w:hint="eastAsia" w:ascii="Times New Roman" w:hAnsi="Times New Roman" w:eastAsia="仿宋_GB2312" w:cs="Times New Roman"/>
          <w:sz w:val="32"/>
        </w:rPr>
        <w:t>年，</w:t>
      </w:r>
      <w:r>
        <w:rPr>
          <w:rFonts w:ascii="Times New Roman" w:hAnsi="Times New Roman" w:eastAsia="仿宋_GB2312" w:cs="Times New Roman"/>
          <w:sz w:val="32"/>
        </w:rPr>
        <w:t>PM</w:t>
      </w:r>
      <w:r>
        <w:rPr>
          <w:rFonts w:ascii="Times New Roman" w:hAnsi="Times New Roman" w:eastAsia="仿宋_GB2312" w:cs="Times New Roman"/>
          <w:sz w:val="32"/>
          <w:vertAlign w:val="subscript"/>
        </w:rPr>
        <w:t>2.5</w:t>
      </w:r>
      <w:r>
        <w:rPr>
          <w:rFonts w:hint="eastAsia" w:ascii="Times New Roman" w:hAnsi="Times New Roman" w:eastAsia="仿宋_GB2312" w:cs="Times New Roman"/>
          <w:sz w:val="32"/>
        </w:rPr>
        <w:t>年均浓度较</w:t>
      </w:r>
      <w:r>
        <w:rPr>
          <w:rFonts w:ascii="Times New Roman" w:hAnsi="Times New Roman" w:eastAsia="仿宋_GB2312" w:cs="Times New Roman"/>
          <w:sz w:val="32"/>
        </w:rPr>
        <w:t>2020</w:t>
      </w:r>
      <w:r>
        <w:rPr>
          <w:rFonts w:hint="eastAsia" w:ascii="Times New Roman" w:hAnsi="Times New Roman" w:eastAsia="仿宋_GB2312" w:cs="Times New Roman"/>
          <w:sz w:val="32"/>
        </w:rPr>
        <w:t>年下降</w:t>
      </w:r>
      <w:r>
        <w:rPr>
          <w:rFonts w:ascii="Times New Roman" w:hAnsi="Times New Roman" w:eastAsia="仿宋_GB2312" w:cs="Times New Roman"/>
          <w:sz w:val="32"/>
        </w:rPr>
        <w:t>28.9%</w:t>
      </w:r>
      <w:r>
        <w:rPr>
          <w:rFonts w:hint="eastAsia" w:ascii="Times New Roman" w:hAnsi="Times New Roman" w:eastAsia="仿宋_GB2312" w:cs="Times New Roman"/>
          <w:sz w:val="32"/>
        </w:rPr>
        <w:t>，降至</w:t>
      </w:r>
      <w:r>
        <w:rPr>
          <w:rFonts w:ascii="Times New Roman" w:hAnsi="Times New Roman" w:eastAsia="仿宋_GB2312" w:cs="Times New Roman"/>
          <w:sz w:val="32"/>
        </w:rPr>
        <w:t>27.8</w:t>
      </w:r>
      <w:r>
        <w:rPr>
          <w:rFonts w:hint="eastAsia" w:ascii="Times New Roman" w:hAnsi="Times New Roman" w:eastAsia="仿宋_GB2312" w:cs="Times New Roman"/>
          <w:sz w:val="32"/>
        </w:rPr>
        <w:t>微克</w:t>
      </w:r>
      <w:r>
        <w:rPr>
          <w:rFonts w:ascii="Times New Roman" w:hAnsi="Times New Roman" w:eastAsia="仿宋_GB2312" w:cs="Times New Roman"/>
          <w:sz w:val="32"/>
        </w:rPr>
        <w:t>/</w:t>
      </w:r>
      <w:r>
        <w:rPr>
          <w:rFonts w:hint="eastAsia" w:ascii="Times New Roman" w:hAnsi="Times New Roman" w:eastAsia="仿宋_GB2312" w:cs="Times New Roman"/>
          <w:sz w:val="32"/>
        </w:rPr>
        <w:t>立方米；优良天数提升至</w:t>
      </w:r>
      <w:r>
        <w:rPr>
          <w:rFonts w:ascii="Times New Roman" w:hAnsi="Times New Roman" w:eastAsia="仿宋_GB2312" w:cs="Times New Roman"/>
          <w:sz w:val="32"/>
        </w:rPr>
        <w:t>308</w:t>
      </w:r>
      <w:r>
        <w:rPr>
          <w:rFonts w:hint="eastAsia" w:ascii="Times New Roman" w:hAnsi="Times New Roman" w:eastAsia="仿宋_GB2312" w:cs="Times New Roman"/>
          <w:sz w:val="32"/>
        </w:rPr>
        <w:t>天，创下有监测以来优良天数最多纪录。</w:t>
      </w:r>
      <w:bookmarkStart w:id="12" w:name="OLE_LINK48"/>
      <w:r>
        <w:rPr>
          <w:rFonts w:hint="eastAsia" w:ascii="Times New Roman" w:hAnsi="Times New Roman" w:eastAsia="仿宋_GB2312" w:cs="Times New Roman"/>
          <w:sz w:val="32"/>
        </w:rPr>
        <w:t>全区水生态环境质量稳中向好，</w:t>
      </w:r>
      <w:r>
        <w:rPr>
          <w:rFonts w:ascii="Times New Roman" w:hAnsi="Times New Roman" w:eastAsia="仿宋_GB2312" w:cs="Times New Roman"/>
          <w:sz w:val="32"/>
        </w:rPr>
        <w:t>8</w:t>
      </w:r>
      <w:r>
        <w:rPr>
          <w:rFonts w:hint="eastAsia" w:ascii="Times New Roman" w:hAnsi="Times New Roman" w:eastAsia="仿宋_GB2312" w:cs="Times New Roman"/>
          <w:sz w:val="32"/>
        </w:rPr>
        <w:t>个国家和市级考核断面水质优</w:t>
      </w:r>
      <w:r>
        <w:rPr>
          <w:rFonts w:ascii="Times New Roman" w:hAnsi="Times New Roman" w:eastAsia="仿宋_GB2312" w:cs="Times New Roman"/>
          <w:sz w:val="32"/>
        </w:rPr>
        <w:t>III</w:t>
      </w:r>
      <w:r>
        <w:rPr>
          <w:rFonts w:hint="eastAsia" w:ascii="Times New Roman" w:hAnsi="Times New Roman" w:eastAsia="仿宋_GB2312" w:cs="Times New Roman"/>
          <w:sz w:val="32"/>
        </w:rPr>
        <w:t>比例连续两年保持</w:t>
      </w:r>
      <w:r>
        <w:rPr>
          <w:rFonts w:ascii="Times New Roman" w:hAnsi="Times New Roman" w:eastAsia="仿宋_GB2312" w:cs="Times New Roman"/>
          <w:sz w:val="32"/>
        </w:rPr>
        <w:t>100%</w:t>
      </w:r>
      <w:r>
        <w:rPr>
          <w:rFonts w:hint="eastAsia" w:ascii="Times New Roman" w:hAnsi="Times New Roman" w:eastAsia="仿宋_GB2312" w:cs="Times New Roman"/>
          <w:sz w:val="32"/>
        </w:rPr>
        <w:t>，实现历史最好成绩；</w:t>
      </w:r>
      <w:r>
        <w:rPr>
          <w:rFonts w:ascii="Times New Roman" w:hAnsi="Times New Roman" w:eastAsia="仿宋_GB2312" w:cs="Times New Roman"/>
          <w:sz w:val="32"/>
        </w:rPr>
        <w:t>5</w:t>
      </w:r>
      <w:r>
        <w:rPr>
          <w:rFonts w:hint="eastAsia" w:ascii="Times New Roman" w:hAnsi="Times New Roman" w:eastAsia="仿宋_GB2312" w:cs="Times New Roman"/>
          <w:sz w:val="32"/>
        </w:rPr>
        <w:t>个国市控地下水区域点位和饮用水水质总体保持稳定，</w:t>
      </w:r>
      <w:bookmarkStart w:id="13" w:name="_Hlk215047165"/>
      <w:r>
        <w:rPr>
          <w:rFonts w:hint="eastAsia" w:ascii="Times New Roman" w:hAnsi="Times New Roman" w:eastAsia="仿宋_GB2312" w:cs="Times New Roman"/>
          <w:sz w:val="32"/>
        </w:rPr>
        <w:t>地下水位连续回升</w:t>
      </w:r>
      <w:bookmarkEnd w:id="13"/>
      <w:r>
        <w:rPr>
          <w:rFonts w:hint="eastAsia" w:ascii="Times New Roman" w:hAnsi="Times New Roman" w:eastAsia="仿宋_GB2312" w:cs="Times New Roman"/>
          <w:sz w:val="32"/>
        </w:rPr>
        <w:t>。</w:t>
      </w:r>
      <w:bookmarkEnd w:id="12"/>
      <w:bookmarkStart w:id="14" w:name="OLE_LINK49"/>
      <w:r>
        <w:rPr>
          <w:rFonts w:hint="eastAsia" w:ascii="Times New Roman" w:hAnsi="Times New Roman" w:eastAsia="仿宋_GB2312" w:cs="Times New Roman"/>
          <w:sz w:val="32"/>
        </w:rPr>
        <w:t>土壤环境保持优良，全区受污染耕地安全利用率、重点建设用地安全利用率均保持</w:t>
      </w:r>
      <w:r>
        <w:rPr>
          <w:rFonts w:ascii="Times New Roman" w:hAnsi="Times New Roman" w:eastAsia="仿宋_GB2312" w:cs="Times New Roman"/>
          <w:sz w:val="32"/>
        </w:rPr>
        <w:t>100%</w:t>
      </w:r>
      <w:r>
        <w:rPr>
          <w:rFonts w:hint="eastAsia" w:ascii="Times New Roman" w:hAnsi="Times New Roman" w:eastAsia="仿宋_GB2312" w:cs="Times New Roman"/>
          <w:sz w:val="32"/>
        </w:rPr>
        <w:t>。</w:t>
      </w:r>
      <w:bookmarkEnd w:id="14"/>
      <w:r>
        <w:rPr>
          <w:rFonts w:hint="eastAsia" w:ascii="Times New Roman" w:hAnsi="Times New Roman" w:eastAsia="仿宋_GB2312" w:cs="Times New Roman"/>
          <w:sz w:val="32"/>
        </w:rPr>
        <w:t>声环境质量总体向好，区域环境噪声和道路交通噪声实现双降。</w:t>
      </w:r>
    </w:p>
    <w:p w14:paraId="13D0E1F9">
      <w:pPr>
        <w:tabs>
          <w:tab w:val="left" w:pos="567"/>
        </w:tabs>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rPr>
        <w:t>环境污染防治工作成效显著。创新开启街乡大气标准化治理，加密大气污染防治工作调度，街乡空气质量治理取得实效。</w:t>
      </w:r>
      <w:bookmarkStart w:id="15" w:name="_Hlk204680207"/>
      <w:r>
        <w:rPr>
          <w:rFonts w:hint="eastAsia" w:ascii="Times New Roman" w:hAnsi="Times New Roman" w:eastAsia="仿宋_GB2312" w:cs="Times New Roman"/>
          <w:sz w:val="32"/>
        </w:rPr>
        <w:t>在全市首创“一微克示范街区”基层共建品牌，确定麦子店蓝色港湾、三里屯太古里、小关惠新街区、亚运村北投奥园</w:t>
      </w:r>
      <w:r>
        <w:rPr>
          <w:rFonts w:ascii="Times New Roman" w:hAnsi="Times New Roman" w:eastAsia="仿宋_GB2312" w:cs="Times New Roman"/>
          <w:sz w:val="32"/>
        </w:rPr>
        <w:t>1314</w:t>
      </w:r>
      <w:r>
        <w:rPr>
          <w:rFonts w:hint="eastAsia" w:ascii="Times New Roman" w:hAnsi="Times New Roman" w:eastAsia="仿宋_GB2312" w:cs="Times New Roman"/>
          <w:sz w:val="32"/>
        </w:rPr>
        <w:t>为首批示范街区。</w:t>
      </w:r>
      <w:bookmarkEnd w:id="15"/>
      <w:r>
        <w:rPr>
          <w:rFonts w:hint="eastAsia" w:ascii="仿宋_GB2312" w:hAnsi="Times New Roman" w:eastAsia="仿宋_GB2312" w:cs="Times New Roman"/>
          <w:sz w:val="32"/>
        </w:rPr>
        <w:t>开展“清管”“清河”、流域“点穴”等专项执法</w:t>
      </w:r>
      <w:r>
        <w:rPr>
          <w:rFonts w:hint="eastAsia" w:ascii="Times New Roman" w:hAnsi="Times New Roman" w:eastAsia="仿宋_GB2312" w:cs="Times New Roman"/>
          <w:sz w:val="32"/>
        </w:rPr>
        <w:t>，完成</w:t>
      </w:r>
      <w:r>
        <w:rPr>
          <w:rFonts w:ascii="Times New Roman" w:hAnsi="Times New Roman" w:eastAsia="仿宋_GB2312" w:cs="Times New Roman"/>
          <w:sz w:val="32"/>
        </w:rPr>
        <w:t>157</w:t>
      </w:r>
      <w:r>
        <w:rPr>
          <w:rFonts w:hint="eastAsia" w:ascii="Times New Roman" w:hAnsi="Times New Roman" w:eastAsia="仿宋_GB2312" w:cs="Times New Roman"/>
          <w:sz w:val="32"/>
        </w:rPr>
        <w:t>处</w:t>
      </w:r>
      <w:bookmarkStart w:id="16" w:name="OLE_LINK3"/>
      <w:r>
        <w:rPr>
          <w:rFonts w:hint="eastAsia" w:ascii="Times New Roman" w:hAnsi="Times New Roman" w:eastAsia="仿宋_GB2312" w:cs="Times New Roman"/>
          <w:sz w:val="32"/>
        </w:rPr>
        <w:t>混接错接点位整治</w:t>
      </w:r>
      <w:bookmarkEnd w:id="16"/>
      <w:r>
        <w:rPr>
          <w:rFonts w:hint="eastAsia" w:ascii="Times New Roman" w:hAnsi="Times New Roman" w:eastAsia="仿宋_GB2312" w:cs="Times New Roman"/>
          <w:sz w:val="32"/>
        </w:rPr>
        <w:t>。全区一半以上的水系实现连通，萧太后河等</w:t>
      </w:r>
      <w:r>
        <w:rPr>
          <w:rFonts w:ascii="Times New Roman" w:hAnsi="Times New Roman" w:eastAsia="仿宋_GB2312" w:cs="Times New Roman"/>
          <w:sz w:val="32"/>
        </w:rPr>
        <w:t>7</w:t>
      </w:r>
      <w:r>
        <w:rPr>
          <w:rFonts w:hint="eastAsia" w:ascii="Times New Roman" w:hAnsi="Times New Roman" w:eastAsia="仿宋_GB2312" w:cs="Times New Roman"/>
          <w:sz w:val="32"/>
        </w:rPr>
        <w:t>条河湖获评市级优美河湖。谋划建设“两河一带”世界级滨水经济带，亮马河国际风情水岸获得国内外奖项</w:t>
      </w:r>
      <w:r>
        <w:rPr>
          <w:rFonts w:ascii="Times New Roman" w:hAnsi="Times New Roman" w:eastAsia="仿宋_GB2312" w:cs="Times New Roman"/>
          <w:sz w:val="32"/>
        </w:rPr>
        <w:t>30</w:t>
      </w:r>
      <w:r>
        <w:rPr>
          <w:rFonts w:hint="eastAsia" w:ascii="Times New Roman" w:hAnsi="Times New Roman" w:eastAsia="仿宋_GB2312" w:cs="Times New Roman"/>
          <w:sz w:val="32"/>
        </w:rPr>
        <w:t>项。</w:t>
      </w:r>
      <w:bookmarkStart w:id="17" w:name="OLE_LINK47"/>
      <w:r>
        <w:rPr>
          <w:rFonts w:hint="eastAsia" w:ascii="Times New Roman" w:hAnsi="Times New Roman" w:eastAsia="仿宋_GB2312" w:cs="Times New Roman"/>
          <w:sz w:val="32"/>
          <w:szCs w:val="32"/>
        </w:rPr>
        <w:t>实施土壤污染防治“一册式服务、立体式监管、动态化管理”，搭建全流程管理体系，在全市率先开展利用老旧厂房试点土壤环境质量调查与评估</w:t>
      </w:r>
      <w:bookmarkEnd w:id="17"/>
      <w:r>
        <w:rPr>
          <w:rFonts w:hint="eastAsia" w:ascii="Times New Roman" w:hAnsi="Times New Roman" w:eastAsia="仿宋_GB2312" w:cs="Times New Roman"/>
          <w:sz w:val="32"/>
          <w:szCs w:val="32"/>
        </w:rPr>
        <w:t>。实施噪声污染防治三年行动，打响“静音”保卫战，推动解决工业、建筑施工、交通和社会生活等群众关注的噪声重点难点问题，</w:t>
      </w:r>
      <w:bookmarkStart w:id="18" w:name="OLE_LINK44"/>
      <w:r>
        <w:rPr>
          <w:rFonts w:hint="eastAsia" w:ascii="Times New Roman" w:hAnsi="Times New Roman" w:eastAsia="仿宋_GB2312" w:cs="Times New Roman"/>
          <w:sz w:val="32"/>
          <w:szCs w:val="32"/>
        </w:rPr>
        <w:t>作为全国试点城市完成全域</w:t>
      </w:r>
      <w:r>
        <w:rPr>
          <w:rFonts w:ascii="Times New Roman" w:hAnsi="Times New Roman" w:eastAsia="仿宋_GB2312" w:cs="Times New Roman"/>
          <w:sz w:val="32"/>
          <w:szCs w:val="32"/>
        </w:rPr>
        <w:t>368</w:t>
      </w:r>
      <w:r>
        <w:rPr>
          <w:rFonts w:hint="eastAsia" w:ascii="Times New Roman" w:hAnsi="Times New Roman" w:eastAsia="仿宋_GB2312" w:cs="Times New Roman"/>
          <w:sz w:val="32"/>
          <w:szCs w:val="32"/>
        </w:rPr>
        <w:t>块噪声敏感建筑物集中建筑物区域划定，在麦子店街道打造全市首个“宁静街区”</w:t>
      </w:r>
      <w:bookmarkEnd w:id="18"/>
      <w:r>
        <w:rPr>
          <w:rFonts w:hint="eastAsia" w:ascii="Times New Roman" w:hAnsi="Times New Roman" w:eastAsia="仿宋_GB2312" w:cs="Times New Roman"/>
          <w:sz w:val="32"/>
          <w:szCs w:val="32"/>
        </w:rPr>
        <w:t>。</w:t>
      </w:r>
    </w:p>
    <w:p w14:paraId="4F79C8E0">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城市生态底色更加靓丽秀美。</w:t>
      </w:r>
      <w:bookmarkStart w:id="19" w:name="OLE_LINK33"/>
      <w:r>
        <w:rPr>
          <w:rFonts w:hint="eastAsia" w:ascii="Times New Roman" w:hAnsi="Times New Roman" w:eastAsia="仿宋_GB2312" w:cs="Times New Roman"/>
          <w:sz w:val="32"/>
        </w:rPr>
        <w:t>完成国家森林城市创建，在全市率先探索公园开放新模式，全区北京市公园名录中</w:t>
      </w:r>
      <w:r>
        <w:rPr>
          <w:rFonts w:ascii="Times New Roman" w:hAnsi="Times New Roman" w:eastAsia="仿宋_GB2312" w:cs="Times New Roman"/>
          <w:sz w:val="32"/>
        </w:rPr>
        <w:t>80%</w:t>
      </w:r>
      <w:r>
        <w:rPr>
          <w:rFonts w:hint="eastAsia" w:ascii="Times New Roman" w:hAnsi="Times New Roman" w:eastAsia="仿宋_GB2312" w:cs="Times New Roman"/>
          <w:sz w:val="32"/>
        </w:rPr>
        <w:t>的公园已无界开放，“两环六楔、五河十园、多廊交织”</w:t>
      </w:r>
      <w:r>
        <w:rPr>
          <w:rFonts w:ascii="Times New Roman" w:hAnsi="Times New Roman" w:eastAsia="等线" w:cs="Times New Roman"/>
          <w:sz w:val="32"/>
          <w:vertAlign w:val="superscript"/>
        </w:rPr>
        <w:footnoteReference w:id="0"/>
      </w:r>
      <w:r>
        <w:rPr>
          <w:rFonts w:hint="eastAsia" w:ascii="Times New Roman" w:hAnsi="Times New Roman" w:eastAsia="仿宋_GB2312" w:cs="Times New Roman"/>
          <w:sz w:val="32"/>
        </w:rPr>
        <w:t>的核心绿色空间格局逐步形成</w:t>
      </w:r>
      <w:bookmarkEnd w:id="19"/>
      <w:r>
        <w:rPr>
          <w:rFonts w:hint="eastAsia" w:ascii="Times New Roman" w:hAnsi="Times New Roman" w:eastAsia="仿宋_GB2312" w:cs="Times New Roman"/>
          <w:sz w:val="32"/>
        </w:rPr>
        <w:t>，</w:t>
      </w:r>
      <w:bookmarkStart w:id="20" w:name="OLE_LINK34"/>
      <w:r>
        <w:rPr>
          <w:rFonts w:hint="eastAsia" w:ascii="Times New Roman" w:hAnsi="Times New Roman" w:eastAsia="仿宋_GB2312" w:cs="Times New Roman"/>
          <w:sz w:val="32"/>
        </w:rPr>
        <w:t>城市绿</w:t>
      </w:r>
      <w:r>
        <w:rPr>
          <w:rFonts w:ascii="Times New Roman" w:hAnsi="Times New Roman" w:eastAsia="仿宋_GB2312" w:cs="Times New Roman"/>
          <w:sz w:val="32"/>
        </w:rPr>
        <w:t>地面积、公园绿地面积均居全市第一</w:t>
      </w:r>
      <w:bookmarkEnd w:id="20"/>
      <w:r>
        <w:rPr>
          <w:rFonts w:hint="eastAsia" w:ascii="Times New Roman" w:hAnsi="Times New Roman" w:eastAsia="仿宋_GB2312" w:cs="Times New Roman"/>
          <w:sz w:val="32"/>
        </w:rPr>
        <w:t>。</w:t>
      </w:r>
      <w:bookmarkStart w:id="21" w:name="OLE_LINK40"/>
      <w:r>
        <w:rPr>
          <w:rFonts w:hint="eastAsia" w:ascii="Times New Roman" w:hAnsi="Times New Roman" w:eastAsia="仿宋_GB2312" w:cs="Times New Roman"/>
          <w:sz w:val="32"/>
        </w:rPr>
        <w:t>在中心城区率先印发生物多样性保护中长期规划，首次完成朝阳区全域和“六园两河”重点区域生物多样性调查，记录物种近</w:t>
      </w:r>
      <w:r>
        <w:rPr>
          <w:rFonts w:ascii="Times New Roman" w:hAnsi="Times New Roman" w:eastAsia="仿宋_GB2312" w:cs="Times New Roman"/>
          <w:sz w:val="32"/>
        </w:rPr>
        <w:t>2000</w:t>
      </w:r>
      <w:r>
        <w:rPr>
          <w:rFonts w:hint="eastAsia" w:ascii="Times New Roman" w:hAnsi="Times New Roman" w:eastAsia="仿宋_GB2312" w:cs="Times New Roman"/>
          <w:sz w:val="32"/>
        </w:rPr>
        <w:t>种</w:t>
      </w:r>
      <w:bookmarkEnd w:id="21"/>
      <w:r>
        <w:rPr>
          <w:rFonts w:hint="eastAsia" w:ascii="Times New Roman" w:hAnsi="Times New Roman" w:eastAsia="仿宋_GB2312" w:cs="Times New Roman"/>
          <w:sz w:val="32"/>
        </w:rPr>
        <w:t>，发现中国新记录种</w:t>
      </w:r>
      <w:r>
        <w:rPr>
          <w:rFonts w:ascii="Times New Roman" w:hAnsi="Times New Roman" w:eastAsia="仿宋_GB2312" w:cs="Times New Roman"/>
          <w:sz w:val="32"/>
        </w:rPr>
        <w:t>2</w:t>
      </w:r>
      <w:r>
        <w:rPr>
          <w:rFonts w:hint="eastAsia" w:ascii="Times New Roman" w:hAnsi="Times New Roman" w:eastAsia="仿宋_GB2312" w:cs="Times New Roman"/>
          <w:sz w:val="32"/>
        </w:rPr>
        <w:t>种、北京新记录种</w:t>
      </w:r>
      <w:r>
        <w:rPr>
          <w:rFonts w:ascii="Times New Roman" w:hAnsi="Times New Roman" w:eastAsia="仿宋_GB2312" w:cs="Times New Roman"/>
          <w:sz w:val="32"/>
        </w:rPr>
        <w:t>4</w:t>
      </w:r>
      <w:r>
        <w:rPr>
          <w:rFonts w:hint="eastAsia" w:ascii="Times New Roman" w:hAnsi="Times New Roman" w:eastAsia="仿宋_GB2312" w:cs="Times New Roman"/>
          <w:sz w:val="32"/>
        </w:rPr>
        <w:t>种，生物多样性本底资源丰富。奥林匹克森林公园“人与自然和谐共生”智慧生态监测平台建成，打造了集科研、保护、科普与公众参与于一体的城市生物多样性保护国家样板。</w:t>
      </w:r>
    </w:p>
    <w:p w14:paraId="0E1C14CA">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现代环境治理体系和能力大幅提升。</w:t>
      </w:r>
      <w:bookmarkStart w:id="22" w:name="OLE_LINK17"/>
      <w:r>
        <w:rPr>
          <w:rFonts w:hint="eastAsia" w:ascii="Times New Roman" w:hAnsi="Times New Roman" w:eastAsia="仿宋_GB2312" w:cs="Times New Roman"/>
          <w:sz w:val="32"/>
        </w:rPr>
        <w:t>印发现代环境治理体系年度任务措施清单</w:t>
      </w:r>
      <w:bookmarkEnd w:id="22"/>
      <w:r>
        <w:rPr>
          <w:rFonts w:hint="eastAsia" w:ascii="Times New Roman" w:hAnsi="Times New Roman" w:eastAsia="仿宋_GB2312" w:cs="Times New Roman"/>
          <w:sz w:val="32"/>
        </w:rPr>
        <w:t>，形成导向清晰、决策可续、执行有力、激励有效、多元参与、良性互动的“大环保格局”。建设“生态大脑”大数据平台，优化生态环境分区管控数智应用平台，上线“智感哨卫”系统，不断探索差异化监管、科技执法新模式。在全市</w:t>
      </w:r>
      <w:bookmarkStart w:id="23" w:name="OLE_LINK18"/>
      <w:r>
        <w:rPr>
          <w:rFonts w:hint="eastAsia" w:ascii="Times New Roman" w:hAnsi="Times New Roman" w:eastAsia="仿宋_GB2312" w:cs="Times New Roman"/>
          <w:sz w:val="32"/>
        </w:rPr>
        <w:t>率先建成覆盖</w:t>
      </w:r>
      <w:r>
        <w:rPr>
          <w:rFonts w:ascii="Times New Roman" w:hAnsi="Times New Roman" w:eastAsia="仿宋_GB2312" w:cs="Times New Roman"/>
          <w:sz w:val="32"/>
        </w:rPr>
        <w:t>1500</w:t>
      </w:r>
      <w:r>
        <w:rPr>
          <w:rFonts w:hint="eastAsia" w:ascii="Times New Roman" w:hAnsi="Times New Roman" w:eastAsia="仿宋_GB2312" w:cs="Times New Roman"/>
          <w:sz w:val="32"/>
        </w:rPr>
        <w:t>家餐饮企业的餐饮业在线监控平台</w:t>
      </w:r>
      <w:bookmarkEnd w:id="23"/>
      <w:r>
        <w:rPr>
          <w:rFonts w:hint="eastAsia" w:ascii="Times New Roman" w:hAnsi="Times New Roman" w:eastAsia="仿宋_GB2312" w:cs="Times New Roman"/>
          <w:sz w:val="32"/>
        </w:rPr>
        <w:t>，在全区全覆盖的</w:t>
      </w:r>
      <w:r>
        <w:rPr>
          <w:rFonts w:ascii="Times New Roman" w:hAnsi="Times New Roman" w:eastAsia="仿宋_GB2312" w:cs="Times New Roman"/>
          <w:sz w:val="32"/>
        </w:rPr>
        <w:t>VOCs</w:t>
      </w:r>
      <w:r>
        <w:rPr>
          <w:rFonts w:hint="eastAsia" w:ascii="Times New Roman" w:hAnsi="Times New Roman" w:eastAsia="仿宋_GB2312" w:cs="Times New Roman"/>
          <w:sz w:val="32"/>
        </w:rPr>
        <w:t>、</w:t>
      </w:r>
      <w:r>
        <w:rPr>
          <w:rFonts w:ascii="Times New Roman" w:hAnsi="Times New Roman" w:eastAsia="仿宋_GB2312" w:cs="Times New Roman"/>
          <w:sz w:val="32"/>
        </w:rPr>
        <w:t>PM</w:t>
      </w:r>
      <w:r>
        <w:rPr>
          <w:rFonts w:ascii="Times New Roman" w:hAnsi="Times New Roman" w:eastAsia="仿宋_GB2312" w:cs="Times New Roman"/>
          <w:sz w:val="32"/>
          <w:vertAlign w:val="subscript"/>
        </w:rPr>
        <w:t>2.5</w:t>
      </w:r>
      <w:r>
        <w:rPr>
          <w:rFonts w:hint="eastAsia" w:ascii="Times New Roman" w:hAnsi="Times New Roman" w:eastAsia="仿宋_GB2312" w:cs="Times New Roman"/>
          <w:sz w:val="32"/>
        </w:rPr>
        <w:t>和</w:t>
      </w:r>
      <w:r>
        <w:rPr>
          <w:rFonts w:ascii="Times New Roman" w:hAnsi="Times New Roman" w:eastAsia="仿宋_GB2312" w:cs="Times New Roman"/>
          <w:sz w:val="32"/>
        </w:rPr>
        <w:t>TSP</w:t>
      </w:r>
      <w:r>
        <w:rPr>
          <w:rFonts w:hint="eastAsia" w:ascii="Times New Roman" w:hAnsi="Times New Roman" w:eastAsia="仿宋_GB2312" w:cs="Times New Roman"/>
          <w:sz w:val="32"/>
        </w:rPr>
        <w:t>监测子站基础上，</w:t>
      </w:r>
      <w:bookmarkStart w:id="24" w:name="OLE_LINK19"/>
      <w:r>
        <w:rPr>
          <w:rFonts w:hint="eastAsia" w:ascii="Times New Roman" w:hAnsi="Times New Roman" w:eastAsia="仿宋_GB2312" w:cs="Times New Roman"/>
          <w:sz w:val="32"/>
        </w:rPr>
        <w:t>新建各街乡降尘和道路尘负荷监测点</w:t>
      </w:r>
      <w:bookmarkEnd w:id="24"/>
      <w:r>
        <w:rPr>
          <w:rFonts w:hint="eastAsia" w:ascii="Times New Roman" w:hAnsi="Times New Roman" w:eastAsia="仿宋_GB2312" w:cs="Times New Roman"/>
          <w:sz w:val="32"/>
        </w:rPr>
        <w:t>，完善全区污染物监测网络，全面推进生态环境地下水监测特色站建设，不断完善监测体系建设。严格落实“三级环保管家”制度，打造“五方”共商共治治理模式，持续提升接诉即办工作水平。</w:t>
      </w:r>
      <w:bookmarkStart w:id="25" w:name="OLE_LINK20"/>
      <w:r>
        <w:rPr>
          <w:rFonts w:hint="eastAsia" w:ascii="Times New Roman" w:hAnsi="Times New Roman" w:eastAsia="仿宋_GB2312" w:cs="Times New Roman"/>
          <w:sz w:val="32"/>
        </w:rPr>
        <w:t>出台《北京市朝阳区促进环境社会治理（</w:t>
      </w:r>
      <w:r>
        <w:rPr>
          <w:rFonts w:ascii="Times New Roman" w:hAnsi="Times New Roman" w:eastAsia="仿宋_GB2312" w:cs="Times New Roman"/>
          <w:sz w:val="32"/>
        </w:rPr>
        <w:t>ESG</w:t>
      </w:r>
      <w:r>
        <w:rPr>
          <w:rFonts w:hint="eastAsia" w:ascii="Times New Roman" w:hAnsi="Times New Roman" w:eastAsia="仿宋_GB2312" w:cs="Times New Roman"/>
          <w:sz w:val="32"/>
        </w:rPr>
        <w:t>）体系高质量发展实施方案（</w:t>
      </w:r>
      <w:r>
        <w:rPr>
          <w:rFonts w:ascii="Times New Roman" w:hAnsi="Times New Roman" w:eastAsia="仿宋_GB2312" w:cs="Times New Roman"/>
          <w:sz w:val="32"/>
        </w:rPr>
        <w:t>2024-2027</w:t>
      </w:r>
      <w:r>
        <w:rPr>
          <w:rFonts w:hint="eastAsia" w:ascii="Times New Roman" w:hAnsi="Times New Roman" w:eastAsia="仿宋_GB2312" w:cs="Times New Roman"/>
          <w:sz w:val="32"/>
        </w:rPr>
        <w:t>年）》，加速构建特色化</w:t>
      </w:r>
      <w:r>
        <w:rPr>
          <w:rFonts w:ascii="Times New Roman" w:hAnsi="Times New Roman" w:eastAsia="仿宋_GB2312" w:cs="Times New Roman"/>
          <w:sz w:val="32"/>
        </w:rPr>
        <w:t>ESG</w:t>
      </w:r>
      <w:r>
        <w:rPr>
          <w:rFonts w:hint="eastAsia" w:ascii="Times New Roman" w:hAnsi="Times New Roman" w:eastAsia="仿宋_GB2312" w:cs="Times New Roman"/>
          <w:sz w:val="32"/>
        </w:rPr>
        <w:t>高质量发展体系。</w:t>
      </w:r>
    </w:p>
    <w:bookmarkEnd w:id="8"/>
    <w:bookmarkEnd w:id="25"/>
    <w:p w14:paraId="665653EF">
      <w:pPr>
        <w:pStyle w:val="4"/>
      </w:pPr>
      <w:bookmarkStart w:id="26" w:name="_Toc233040967"/>
      <w:bookmarkStart w:id="27" w:name="_Toc208827858"/>
      <w:bookmarkStart w:id="28" w:name="_Toc201598872"/>
      <w:r>
        <w:rPr>
          <w:rFonts w:hint="eastAsia"/>
        </w:rPr>
        <w:t>（二）生态环境保护迈入新征程</w:t>
      </w:r>
      <w:bookmarkEnd w:id="26"/>
      <w:bookmarkEnd w:id="27"/>
    </w:p>
    <w:p w14:paraId="18DEEDC4">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29" w:name="_Hlk212216608"/>
      <w:r>
        <w:rPr>
          <w:rFonts w:hint="eastAsia" w:ascii="Times New Roman" w:hAnsi="Times New Roman" w:eastAsia="仿宋_GB2312" w:cs="仿宋_GB2312"/>
          <w:sz w:val="32"/>
        </w:rPr>
        <w:t>“十五五”时期是基本实现社会主义现代化夯实基础、</w:t>
      </w:r>
      <w:r>
        <w:rPr>
          <w:rFonts w:ascii="Times New Roman" w:hAnsi="Times New Roman" w:eastAsia="仿宋_GB2312" w:cs="仿宋_GB2312"/>
          <w:sz w:val="32"/>
        </w:rPr>
        <w:t>全面发力的关键时期，是美丽北京建设承前启后、实现生态环境根本好转的关键时期，也是朝阳区全面推进美丽城市建设、打造具有国际影响力的中国式现代化强区的重要五年。</w:t>
      </w:r>
      <w:r>
        <w:rPr>
          <w:rFonts w:hint="eastAsia" w:ascii="Times New Roman" w:hAnsi="Times New Roman" w:eastAsia="仿宋_GB2312" w:cs="仿宋_GB2312"/>
          <w:sz w:val="32"/>
        </w:rPr>
        <w:t>中共中央</w:t>
      </w:r>
      <w:r>
        <w:rPr>
          <w:rFonts w:ascii="Times New Roman" w:hAnsi="Times New Roman" w:eastAsia="仿宋_GB2312" w:cs="仿宋_GB2312"/>
          <w:sz w:val="32"/>
        </w:rPr>
        <w:t xml:space="preserve"> </w:t>
      </w:r>
      <w:r>
        <w:rPr>
          <w:rFonts w:hint="eastAsia" w:ascii="Times New Roman" w:hAnsi="Times New Roman" w:eastAsia="仿宋_GB2312" w:cs="仿宋_GB2312"/>
          <w:sz w:val="32"/>
        </w:rPr>
        <w:t>国务院印发《关于全面推进美丽中国建设的意见》《关于推动城市高质量发展的意见》，中共北京市委</w:t>
      </w:r>
      <w:r>
        <w:rPr>
          <w:rFonts w:ascii="Times New Roman" w:hAnsi="Times New Roman" w:eastAsia="仿宋_GB2312" w:cs="仿宋_GB2312"/>
          <w:sz w:val="32"/>
        </w:rPr>
        <w:t xml:space="preserve"> </w:t>
      </w:r>
      <w:r>
        <w:rPr>
          <w:rFonts w:hint="eastAsia" w:ascii="Times New Roman" w:hAnsi="Times New Roman" w:eastAsia="仿宋_GB2312" w:cs="仿宋_GB2312"/>
          <w:sz w:val="32"/>
        </w:rPr>
        <w:t>北京市人民政府印发《关于全面建设美丽北京加快推进人与自然和谐共生的现代化的实施意见》，为“十五五”时期推进美丽朝阳建设、全面改善生态环境质量提供了坚实的政策支持和战略指导。朝阳区作为超大城市中心城区和高密度、高流量、多元化的人口大区，也是首都功能的重要承载区和国际交往的重要窗口，生态环境质量好坏和生态文明建设水平高低至关重要。</w:t>
      </w:r>
    </w:p>
    <w:p w14:paraId="3B5427EF">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30" w:name="_Hlk231543731"/>
      <w:r>
        <w:rPr>
          <w:rFonts w:hint="eastAsia" w:ascii="Times New Roman" w:hAnsi="Times New Roman" w:eastAsia="仿宋_GB2312" w:cs="仿宋_GB2312"/>
          <w:sz w:val="32"/>
        </w:rPr>
        <w:t>当前以低碳发展为特征的新增长路径成为世界经济发展的重要方向，全国绿色低碳转型加速、能源结构优化、新能源产业崛起等趋势为环境质量改善创造了条件，机动车新能源替代预计将大幅减少污染物排放，重点行业碳排放梯次达峰也将缓解环境压力。京津冀协同发展、科技强国、网络强国、数字中国等系列重大国家战略深入实施，中央赋予北京形成国际科技创新中心的战略使命，为朝阳在更高起点推进高质量发展创造了良好环境。叠加“北部提升、东部跨越、南部崛起”的整体战略布局，朝阳区作为展示国家和首都绿色发展成就的门户，以新发展理念引领提升首都高水平对外开放窗口区、新质生产力融合发展示范区、国际消费中心城市主承载区、首都文化创新引领区、超大城市现代化治理典范区的“五区”功能，具有广泛的国际影响力和竞争力，生态环境保护工作将迎来全面跃升的历史新机遇。</w:t>
      </w:r>
    </w:p>
    <w:bookmarkEnd w:id="29"/>
    <w:bookmarkEnd w:id="30"/>
    <w:p w14:paraId="268CCA5A">
      <w:pPr>
        <w:pStyle w:val="4"/>
      </w:pPr>
      <w:bookmarkStart w:id="31" w:name="_Toc233040968"/>
      <w:bookmarkStart w:id="32" w:name="_Toc208827859"/>
      <w:r>
        <w:rPr>
          <w:rFonts w:hint="eastAsia"/>
        </w:rPr>
        <w:t>（三）</w:t>
      </w:r>
      <w:bookmarkEnd w:id="28"/>
      <w:r>
        <w:rPr>
          <w:rFonts w:hint="eastAsia"/>
        </w:rPr>
        <w:t>美丽朝阳建设面临新挑战</w:t>
      </w:r>
      <w:bookmarkEnd w:id="31"/>
      <w:bookmarkEnd w:id="32"/>
    </w:p>
    <w:p w14:paraId="023B9FF6">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33" w:name="_Hlk212216087"/>
      <w:r>
        <w:rPr>
          <w:rFonts w:hint="eastAsia" w:ascii="Times New Roman" w:hAnsi="Times New Roman" w:eastAsia="仿宋_GB2312" w:cs="仿宋_GB2312"/>
          <w:sz w:val="32"/>
        </w:rPr>
        <w:t>“十五五”是美丽朝阳建设的关键时期，尽管“十四五”时期全区生态环境持续改善，但生态环境保护结构性、根源性、趋势性压力总体上尚未得到根本缓解，全区生态环境保护工作仍处于压力叠加、负重前行阶段。</w:t>
      </w:r>
    </w:p>
    <w:p w14:paraId="44745BDC">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34" w:name="_Hlk204679977"/>
      <w:bookmarkStart w:id="35" w:name="OLE_LINK15"/>
      <w:r>
        <w:rPr>
          <w:rFonts w:hint="eastAsia" w:ascii="Times New Roman" w:hAnsi="Times New Roman" w:eastAsia="仿宋_GB2312" w:cs="仿宋_GB2312"/>
          <w:sz w:val="32"/>
        </w:rPr>
        <w:t>重点行业企业绿色低碳发展依然任重道远</w:t>
      </w:r>
      <w:bookmarkEnd w:id="34"/>
      <w:r>
        <w:rPr>
          <w:rFonts w:hint="eastAsia" w:ascii="Times New Roman" w:hAnsi="Times New Roman" w:eastAsia="仿宋_GB2312" w:cs="仿宋_GB2312"/>
          <w:sz w:val="32"/>
        </w:rPr>
        <w:t>。朝阳区作为北京市人口第一大区、全市经济发展的核心功能区，承担着推动全市经济持续发展、改善居民生活质量、承接核心区人口的重要职责，</w:t>
      </w:r>
      <w:bookmarkStart w:id="36" w:name="OLE_LINK38"/>
      <w:bookmarkStart w:id="37" w:name="OLE_LINK45"/>
      <w:bookmarkStart w:id="38" w:name="OLE_LINK37"/>
      <w:r>
        <w:rPr>
          <w:rFonts w:hint="eastAsia" w:ascii="Times New Roman" w:hAnsi="Times New Roman" w:eastAsia="仿宋_GB2312" w:cs="仿宋_GB2312"/>
          <w:sz w:val="32"/>
        </w:rPr>
        <w:t>全区重点碳排放单位占全市</w:t>
      </w:r>
      <w:r>
        <w:rPr>
          <w:rFonts w:ascii="Times New Roman" w:hAnsi="Times New Roman" w:eastAsia="仿宋_GB2312" w:cs="仿宋_GB2312"/>
          <w:sz w:val="32"/>
        </w:rPr>
        <w:t>1/6</w:t>
      </w:r>
      <w:r>
        <w:rPr>
          <w:rFonts w:hint="eastAsia" w:ascii="Times New Roman" w:hAnsi="Times New Roman" w:eastAsia="仿宋_GB2312" w:cs="仿宋_GB2312"/>
          <w:sz w:val="32"/>
        </w:rPr>
        <w:t>，特别是区内</w:t>
      </w:r>
      <w:r>
        <w:rPr>
          <w:rFonts w:ascii="Times New Roman" w:hAnsi="Times New Roman" w:eastAsia="仿宋_GB2312" w:cs="仿宋_GB2312"/>
          <w:sz w:val="32"/>
        </w:rPr>
        <w:t>5</w:t>
      </w:r>
      <w:r>
        <w:rPr>
          <w:rFonts w:hint="eastAsia" w:ascii="Times New Roman" w:hAnsi="Times New Roman" w:eastAsia="仿宋_GB2312" w:cs="仿宋_GB2312"/>
          <w:sz w:val="32"/>
        </w:rPr>
        <w:t>家热电联产企业和</w:t>
      </w:r>
      <w:r>
        <w:rPr>
          <w:rFonts w:ascii="Times New Roman" w:hAnsi="Times New Roman" w:eastAsia="仿宋_GB2312" w:cs="仿宋_GB2312"/>
          <w:sz w:val="32"/>
        </w:rPr>
        <w:t>7</w:t>
      </w:r>
      <w:r>
        <w:rPr>
          <w:rFonts w:hint="eastAsia" w:ascii="Times New Roman" w:hAnsi="Times New Roman" w:eastAsia="仿宋_GB2312" w:cs="仿宋_GB2312"/>
          <w:sz w:val="32"/>
        </w:rPr>
        <w:t>家再生水厂承担了相当份额的中心城区基础保障功能，碳减排面临较大的存量压力</w:t>
      </w:r>
      <w:bookmarkEnd w:id="36"/>
      <w:bookmarkEnd w:id="37"/>
      <w:bookmarkEnd w:id="38"/>
      <w:r>
        <w:rPr>
          <w:rFonts w:hint="eastAsia" w:ascii="Times New Roman" w:hAnsi="Times New Roman" w:eastAsia="仿宋_GB2312" w:cs="仿宋_GB2312"/>
          <w:sz w:val="32"/>
        </w:rPr>
        <w:t>。全区经过多年的制造业疏解与节能改造，已形成以第三产业为主的产业结构，能耗强度已达到较高水平，通过产业结构调整能够带来的节能降耗空间十分有限。在重点行业企业绿色绩效升级方面，受企业经济条件和部分政策限制，未能充分挖掘现有企业潜力，进一步通过提级创绿减排还有很大空间。</w:t>
      </w:r>
    </w:p>
    <w:p w14:paraId="3EF4E94E">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39" w:name="_Hlk204682942"/>
      <w:r>
        <w:rPr>
          <w:rFonts w:hint="eastAsia" w:ascii="Times New Roman" w:hAnsi="Times New Roman" w:eastAsia="仿宋_GB2312" w:cs="仿宋_GB2312"/>
          <w:sz w:val="32"/>
        </w:rPr>
        <w:t>生态环境质量距离美丽朝阳建设要求仍有差距</w:t>
      </w:r>
      <w:bookmarkEnd w:id="39"/>
      <w:r>
        <w:rPr>
          <w:rFonts w:hint="eastAsia" w:ascii="Times New Roman" w:hAnsi="Times New Roman" w:eastAsia="仿宋_GB2312" w:cs="仿宋_GB2312"/>
          <w:sz w:val="32"/>
        </w:rPr>
        <w:t>。</w:t>
      </w:r>
      <w:bookmarkStart w:id="40" w:name="OLE_LINK22"/>
      <w:r>
        <w:rPr>
          <w:rFonts w:hint="eastAsia" w:ascii="Times New Roman" w:hAnsi="Times New Roman" w:eastAsia="仿宋_GB2312" w:cs="仿宋_GB2312"/>
          <w:sz w:val="32"/>
        </w:rPr>
        <w:t>空气质量持续改善面临压力，主要大气污染物协同减排难度大。</w:t>
      </w:r>
      <w:bookmarkEnd w:id="40"/>
      <w:bookmarkStart w:id="41" w:name="OLE_LINK23"/>
      <w:r>
        <w:rPr>
          <w:rFonts w:hint="eastAsia" w:ascii="Times New Roman" w:hAnsi="Times New Roman" w:eastAsia="仿宋_GB2312" w:cs="Times New Roman"/>
          <w:sz w:val="32"/>
        </w:rPr>
        <w:t>水环境质量持续改善空间不大，雨污混接、错接等现象导致汛期河道水质波动，主要河道生态补水循环水网系统尚未健全。</w:t>
      </w:r>
      <w:bookmarkEnd w:id="41"/>
      <w:r>
        <w:rPr>
          <w:rFonts w:hint="eastAsia" w:ascii="Times New Roman" w:hAnsi="Times New Roman" w:eastAsia="仿宋_GB2312" w:cs="Times New Roman"/>
          <w:sz w:val="32"/>
        </w:rPr>
        <w:t>水生生物量和生境存在短板，水生态考核评价对水生态健康提出更高要求。</w:t>
      </w:r>
      <w:bookmarkStart w:id="42" w:name="OLE_LINK25"/>
      <w:r>
        <w:rPr>
          <w:rFonts w:hint="eastAsia" w:ascii="Times New Roman" w:hAnsi="Times New Roman" w:eastAsia="仿宋_GB2312" w:cs="Times New Roman"/>
          <w:sz w:val="32"/>
        </w:rPr>
        <w:t>噪声污染类投诉多年占据环境投诉总量前位，新污染物风险防范系统亟待构建。</w:t>
      </w:r>
      <w:bookmarkEnd w:id="42"/>
    </w:p>
    <w:p w14:paraId="54A732C5">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43" w:name="OLE_LINK16"/>
      <w:r>
        <w:rPr>
          <w:rFonts w:hint="eastAsia" w:ascii="Times New Roman" w:hAnsi="Times New Roman" w:eastAsia="仿宋_GB2312" w:cs="Times New Roman"/>
          <w:sz w:val="32"/>
        </w:rPr>
        <w:t>城市生态品质仍有提升空间</w:t>
      </w:r>
      <w:bookmarkEnd w:id="43"/>
      <w:r>
        <w:rPr>
          <w:rFonts w:hint="eastAsia" w:ascii="Times New Roman" w:hAnsi="Times New Roman" w:eastAsia="仿宋_GB2312" w:cs="仿宋_GB2312"/>
          <w:sz w:val="32"/>
        </w:rPr>
        <w:t>。“留白增绿”任务仍然艰巨，绿地植物呈现出同质性现象。</w:t>
      </w:r>
      <w:bookmarkStart w:id="44" w:name="OLE_LINK27"/>
      <w:r>
        <w:rPr>
          <w:rFonts w:hint="eastAsia" w:ascii="Times New Roman" w:hAnsi="Times New Roman" w:eastAsia="仿宋_GB2312" w:cs="仿宋_GB2312"/>
          <w:sz w:val="32"/>
        </w:rPr>
        <w:t>生态空间碎片化问题亟待解决，林地成带、成网、成片格局未达预期，绿化隔离地区、副中心间休闲绿带以及关键绿楔、绿廊仍有大规模规划绿地待建。</w:t>
      </w:r>
      <w:bookmarkEnd w:id="44"/>
      <w:bookmarkStart w:id="45" w:name="OLE_LINK28"/>
      <w:r>
        <w:rPr>
          <w:rFonts w:hint="eastAsia" w:ascii="Times New Roman" w:hAnsi="Times New Roman" w:eastAsia="仿宋_GB2312" w:cs="仿宋_GB2312"/>
          <w:sz w:val="32"/>
        </w:rPr>
        <w:t>绿地发展不均衡状况需进一步解决，城乡间、南北部差异依然存在。</w:t>
      </w:r>
      <w:bookmarkEnd w:id="45"/>
      <w:bookmarkStart w:id="46" w:name="OLE_LINK29"/>
      <w:r>
        <w:rPr>
          <w:rFonts w:hint="eastAsia" w:ascii="Times New Roman" w:hAnsi="Times New Roman" w:eastAsia="仿宋_GB2312" w:cs="仿宋_GB2312"/>
          <w:sz w:val="32"/>
        </w:rPr>
        <w:t>公园均衡优质供给任务依然艰巨，城市生态品质与效能仍有提升空间。</w:t>
      </w:r>
    </w:p>
    <w:bookmarkEnd w:id="46"/>
    <w:p w14:paraId="2D539CD0">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47" w:name="_Hlk204679960"/>
      <w:r>
        <w:rPr>
          <w:rFonts w:hint="eastAsia" w:ascii="Times New Roman" w:hAnsi="Times New Roman" w:eastAsia="仿宋_GB2312" w:cs="仿宋_GB2312"/>
          <w:sz w:val="32"/>
        </w:rPr>
        <w:t>智慧化与协同化治理水平有待</w:t>
      </w:r>
      <w:bookmarkEnd w:id="47"/>
      <w:r>
        <w:rPr>
          <w:rFonts w:hint="eastAsia" w:ascii="Times New Roman" w:hAnsi="Times New Roman" w:eastAsia="仿宋_GB2312" w:cs="仿宋_GB2312"/>
          <w:sz w:val="32"/>
        </w:rPr>
        <w:t>提高。数字化、智能化是未来经济社会发展的必然趋势，将数字化、智能化技术应用于生态环境保护治理，进一步</w:t>
      </w:r>
      <w:bookmarkStart w:id="48" w:name="OLE_LINK30"/>
      <w:r>
        <w:rPr>
          <w:rFonts w:hint="eastAsia" w:ascii="Times New Roman" w:hAnsi="Times New Roman" w:eastAsia="仿宋_GB2312" w:cs="仿宋_GB2312"/>
          <w:sz w:val="32"/>
        </w:rPr>
        <w:t>优化生态环境监测监管体系，对全区实现源头治理、系统治理、精准治理、智慧治理提出了更高要求</w:t>
      </w:r>
      <w:bookmarkEnd w:id="33"/>
      <w:bookmarkEnd w:id="35"/>
      <w:r>
        <w:rPr>
          <w:rFonts w:hint="eastAsia" w:ascii="Times New Roman" w:hAnsi="Times New Roman" w:eastAsia="仿宋_GB2312" w:cs="仿宋_GB2312"/>
          <w:sz w:val="32"/>
        </w:rPr>
        <w:t>。</w:t>
      </w:r>
      <w:bookmarkEnd w:id="48"/>
      <w:r>
        <w:rPr>
          <w:rFonts w:hint="eastAsia" w:ascii="Times New Roman" w:hAnsi="Times New Roman" w:eastAsia="仿宋_GB2312" w:cs="仿宋_GB2312"/>
          <w:sz w:val="32"/>
        </w:rPr>
        <w:t>但数据标准不统一、共享机制不健全，跨层级、跨领域数据协同与融合应用仍存在不足，智慧化与协同化治理能力有待进一步提升。</w:t>
      </w:r>
    </w:p>
    <w:p w14:paraId="7BB3AAF4">
      <w:pPr>
        <w:tabs>
          <w:tab w:val="left" w:pos="567"/>
        </w:tabs>
        <w:spacing w:line="560" w:lineRule="exact"/>
        <w:ind w:firstLine="640"/>
        <w:rPr>
          <w:rFonts w:ascii="Times New Roman" w:hAnsi="Times New Roman" w:eastAsia="仿宋_GB2312" w:cs="仿宋_GB2312"/>
        </w:rPr>
        <w:sectPr>
          <w:footerReference r:id="rId8" w:type="default"/>
          <w:pgSz w:w="11906" w:h="16838"/>
          <w:pgMar w:top="1417" w:right="1474" w:bottom="1417" w:left="1587" w:header="851" w:footer="992" w:gutter="0"/>
          <w:cols w:space="720" w:num="1"/>
          <w:docGrid w:type="lines" w:linePitch="312" w:charSpace="0"/>
        </w:sectPr>
      </w:pPr>
    </w:p>
    <w:p w14:paraId="36B25936">
      <w:pPr>
        <w:pStyle w:val="3"/>
      </w:pPr>
      <w:bookmarkStart w:id="49" w:name="_Toc201598874"/>
      <w:bookmarkStart w:id="50" w:name="_Toc233040969"/>
      <w:bookmarkStart w:id="51" w:name="_Toc208827860"/>
      <w:r>
        <w:rPr>
          <w:rFonts w:hint="eastAsia"/>
        </w:rPr>
        <w:t>二、</w:t>
      </w:r>
      <w:bookmarkEnd w:id="49"/>
      <w:r>
        <w:rPr>
          <w:rFonts w:hint="eastAsia"/>
        </w:rPr>
        <w:t>总体要求</w:t>
      </w:r>
      <w:bookmarkEnd w:id="50"/>
      <w:bookmarkEnd w:id="51"/>
    </w:p>
    <w:p w14:paraId="73154F25">
      <w:pPr>
        <w:pStyle w:val="4"/>
      </w:pPr>
      <w:bookmarkStart w:id="52" w:name="_Toc208827861"/>
      <w:bookmarkStart w:id="53" w:name="_Toc201598875"/>
      <w:bookmarkStart w:id="54" w:name="_Toc233040970"/>
      <w:r>
        <w:rPr>
          <w:rFonts w:hint="eastAsia"/>
        </w:rPr>
        <w:t>（一）指导思想</w:t>
      </w:r>
      <w:bookmarkEnd w:id="52"/>
      <w:bookmarkEnd w:id="53"/>
      <w:bookmarkEnd w:id="54"/>
    </w:p>
    <w:p w14:paraId="138A392D">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55" w:name="_Hlk212228230"/>
      <w:bookmarkStart w:id="56" w:name="_Hlk231544897"/>
      <w:r>
        <w:rPr>
          <w:rFonts w:hint="eastAsia" w:ascii="Times New Roman" w:hAnsi="Times New Roman" w:eastAsia="仿宋_GB2312" w:cs="仿宋_GB2312"/>
          <w:sz w:val="32"/>
        </w:rPr>
        <w:t>全面贯彻习近平新时代中国特</w:t>
      </w:r>
      <w:r>
        <w:rPr>
          <w:rFonts w:ascii="Times New Roman" w:hAnsi="Times New Roman" w:eastAsia="仿宋_GB2312" w:cs="仿宋_GB2312"/>
          <w:sz w:val="32"/>
        </w:rPr>
        <w:t>色社会主义思想</w:t>
      </w:r>
      <w:r>
        <w:rPr>
          <w:rFonts w:hint="eastAsia" w:ascii="Times New Roman" w:hAnsi="Times New Roman" w:eastAsia="仿宋_GB2312" w:cs="仿宋_GB2312"/>
          <w:sz w:val="32"/>
        </w:rPr>
        <w:t>，深入贯彻党的二十大和二十届历次全会精神，深入贯彻习近平总书记对北京重要讲话精神，全面贯彻中央经济和城市工作会议精神，</w:t>
      </w:r>
      <w:bookmarkEnd w:id="55"/>
      <w:bookmarkStart w:id="57" w:name="_Hlk212229076"/>
      <w:bookmarkStart w:id="58" w:name="_Hlk212228628"/>
      <w:r>
        <w:rPr>
          <w:rFonts w:hint="eastAsia" w:ascii="Times New Roman" w:hAnsi="Times New Roman" w:eastAsia="仿宋_GB2312" w:cs="仿宋_GB2312"/>
          <w:sz w:val="32"/>
        </w:rPr>
        <w:t>紧扣提升“五区”功能、建好“五宜”朝阳目标，围绕“打造美丽城市建设标杆、加速绿色低碳转型发展、全面改善生态环境质量”的工作主线，</w:t>
      </w:r>
      <w:bookmarkEnd w:id="57"/>
      <w:bookmarkStart w:id="59" w:name="OLE_LINK6"/>
      <w:bookmarkStart w:id="60" w:name="_Hlk204692694"/>
      <w:r>
        <w:rPr>
          <w:rFonts w:hint="eastAsia" w:ascii="Times New Roman" w:hAnsi="Times New Roman" w:eastAsia="仿宋_GB2312" w:cs="仿宋_GB2312"/>
          <w:sz w:val="32"/>
        </w:rPr>
        <w:t>以美丽朝阳建设为引领，推动减污降碳协同增效，</w:t>
      </w:r>
      <w:bookmarkEnd w:id="59"/>
      <w:r>
        <w:rPr>
          <w:rFonts w:hint="eastAsia" w:ascii="Times New Roman" w:hAnsi="Times New Roman" w:eastAsia="仿宋_GB2312" w:cs="仿宋_GB2312"/>
          <w:sz w:val="32"/>
        </w:rPr>
        <w:t>持续深入打好污染防治攻坚战，推进固体废弃物与新污染物综合治理，强化城市生态系统保护，守牢生态环境安全底线，探索生态环境治理“数智”转型，</w:t>
      </w:r>
      <w:bookmarkEnd w:id="60"/>
      <w:r>
        <w:rPr>
          <w:rFonts w:hint="eastAsia" w:ascii="Times New Roman" w:hAnsi="Times New Roman" w:eastAsia="仿宋_GB2312" w:cs="仿宋_GB2312"/>
          <w:sz w:val="32"/>
        </w:rPr>
        <w:t>形成一批美丽朝阳建设标志性成果，建设高品质城乡融合美丽朝阳，打造可持续发展的超大城市中心城区美丽建设样板</w:t>
      </w:r>
      <w:bookmarkEnd w:id="58"/>
      <w:r>
        <w:rPr>
          <w:rFonts w:hint="eastAsia" w:ascii="Times New Roman" w:hAnsi="Times New Roman" w:eastAsia="仿宋_GB2312" w:cs="仿宋_GB2312"/>
          <w:sz w:val="32"/>
        </w:rPr>
        <w:t>，确保具有国际影响力的中国式现代化强区建设取得决定性进</w:t>
      </w:r>
      <w:r>
        <w:rPr>
          <w:rFonts w:ascii="Times New Roman" w:hAnsi="Times New Roman" w:eastAsia="仿宋_GB2312" w:cs="仿宋_GB2312"/>
          <w:sz w:val="32"/>
        </w:rPr>
        <w:t>展</w:t>
      </w:r>
      <w:r>
        <w:rPr>
          <w:rFonts w:hint="eastAsia" w:ascii="Times New Roman" w:hAnsi="Times New Roman" w:eastAsia="仿宋_GB2312" w:cs="仿宋_GB2312"/>
          <w:sz w:val="32"/>
        </w:rPr>
        <w:t>。</w:t>
      </w:r>
    </w:p>
    <w:bookmarkEnd w:id="56"/>
    <w:p w14:paraId="38C03B34">
      <w:pPr>
        <w:pStyle w:val="4"/>
      </w:pPr>
      <w:bookmarkStart w:id="61" w:name="_Toc233040971"/>
      <w:bookmarkStart w:id="62" w:name="_Toc201598876"/>
      <w:bookmarkStart w:id="63" w:name="_Toc208827862"/>
      <w:r>
        <w:rPr>
          <w:rFonts w:hint="eastAsia"/>
        </w:rPr>
        <w:t>（二）基本原则</w:t>
      </w:r>
      <w:bookmarkEnd w:id="61"/>
      <w:bookmarkEnd w:id="62"/>
      <w:bookmarkEnd w:id="63"/>
    </w:p>
    <w:p w14:paraId="41AC1B26">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坚持统筹施策，注重协同增效。更加注重综合治理、系统治理、源头治理，聚焦重点区域、重点行业、重要领域和关键环节，推进减污与降碳协同、多污染物协同减排、跨区域协调共治、多部门协作联动等协同增效。</w:t>
      </w:r>
    </w:p>
    <w:p w14:paraId="029A51CE">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坚持美丽引领，深化标杆建设。落实美丽朝阳建设目标任务，以“美丽园区”引领减污降碳协同发展，以“美丽街区”推进大气治理、噪声管控等融合，以“美丽河湖”推动水生态环境修复，以“美丽乡村”助推农村环境整治，实现各美其美、美美与共。</w:t>
      </w:r>
    </w:p>
    <w:p w14:paraId="75410CDF">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坚持数智赋能，强化科技创新。以科技创新引领高质量发展和高水平保护，打造特色数智环保产业集群，以“生态大脑”智能化赋能治理效能提升，推动城市数字化转型与精细化治理，推动跨部门、跨层级、跨地区之间协同。</w:t>
      </w:r>
    </w:p>
    <w:p w14:paraId="5B97BA54">
      <w:pPr>
        <w:pStyle w:val="4"/>
      </w:pPr>
      <w:bookmarkStart w:id="64" w:name="_Toc208827863"/>
      <w:bookmarkStart w:id="65" w:name="_Toc201598877"/>
      <w:bookmarkStart w:id="66" w:name="_Toc233040972"/>
      <w:r>
        <w:rPr>
          <w:rFonts w:hint="eastAsia"/>
        </w:rPr>
        <w:t>（三）规划目标</w:t>
      </w:r>
      <w:bookmarkEnd w:id="64"/>
      <w:bookmarkEnd w:id="65"/>
      <w:bookmarkEnd w:id="66"/>
    </w:p>
    <w:p w14:paraId="66D407E6">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67" w:name="OLE_LINK13"/>
      <w:r>
        <w:rPr>
          <w:rFonts w:hint="eastAsia" w:ascii="Times New Roman" w:hAnsi="Times New Roman" w:eastAsia="仿宋_GB2312" w:cs="仿宋_GB2312"/>
          <w:sz w:val="32"/>
        </w:rPr>
        <w:t>到</w:t>
      </w:r>
      <w:r>
        <w:rPr>
          <w:rFonts w:ascii="Times New Roman" w:hAnsi="Times New Roman" w:eastAsia="仿宋_GB2312" w:cs="仿宋_GB2312"/>
          <w:sz w:val="32"/>
        </w:rPr>
        <w:t>2030</w:t>
      </w:r>
      <w:r>
        <w:rPr>
          <w:rFonts w:hint="eastAsia" w:ascii="Times New Roman" w:hAnsi="Times New Roman" w:eastAsia="仿宋_GB2312" w:cs="仿宋_GB2312"/>
          <w:sz w:val="32"/>
        </w:rPr>
        <w:t>年，绿色转型取得显著成效，生态环境质量全面改善，智慧高效、多元共治的生态环境治理体系基本形成，打造美丽城市建设示范标杆，美丽朝阳建设取得更大成效</w:t>
      </w:r>
      <w:bookmarkEnd w:id="67"/>
      <w:r>
        <w:rPr>
          <w:rFonts w:hint="eastAsia" w:ascii="Times New Roman" w:hAnsi="Times New Roman" w:eastAsia="仿宋_GB2312" w:cs="仿宋_GB2312"/>
          <w:sz w:val="32"/>
        </w:rPr>
        <w:t>，生态环境保护主要目标：</w:t>
      </w:r>
    </w:p>
    <w:p w14:paraId="6F3FE528">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——绿色低碳转型成效明显。到</w:t>
      </w:r>
      <w:r>
        <w:rPr>
          <w:rFonts w:ascii="Times New Roman" w:hAnsi="Times New Roman" w:eastAsia="仿宋_GB2312" w:cs="仿宋_GB2312"/>
          <w:sz w:val="32"/>
        </w:rPr>
        <w:t>2030</w:t>
      </w:r>
      <w:r>
        <w:rPr>
          <w:rFonts w:hint="eastAsia" w:ascii="Times New Roman" w:hAnsi="Times New Roman" w:eastAsia="仿宋_GB2312" w:cs="仿宋_GB2312"/>
          <w:sz w:val="32"/>
        </w:rPr>
        <w:t>年，积极稳妥推进和实现碳达峰，推动单位地区生产总值二氧化碳排放持续下降，非化石能源消费占比持续扩大，绿色转型取得明显成效。</w:t>
      </w:r>
    </w:p>
    <w:p w14:paraId="0147313C">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——环境质量实现全面改善。到</w:t>
      </w:r>
      <w:r>
        <w:rPr>
          <w:rFonts w:ascii="Times New Roman" w:hAnsi="Times New Roman" w:eastAsia="仿宋_GB2312" w:cs="仿宋_GB2312"/>
          <w:sz w:val="32"/>
        </w:rPr>
        <w:t>2030</w:t>
      </w:r>
      <w:r>
        <w:rPr>
          <w:rFonts w:hint="eastAsia" w:ascii="Times New Roman" w:hAnsi="Times New Roman" w:eastAsia="仿宋_GB2312" w:cs="仿宋_GB2312"/>
          <w:sz w:val="32"/>
        </w:rPr>
        <w:t>年，空气质量全面改善，优良水体比例稳中向好，土壤环境质量保持稳定，声环境质量持续改善。</w:t>
      </w:r>
    </w:p>
    <w:p w14:paraId="23388E76">
      <w:pPr>
        <w:tabs>
          <w:tab w:val="left" w:pos="567"/>
        </w:tabs>
        <w:adjustRightInd w:val="0"/>
        <w:snapToGrid w:val="0"/>
        <w:spacing w:line="560" w:lineRule="exact"/>
        <w:ind w:firstLine="640" w:firstLineChars="200"/>
        <w:rPr>
          <w:rFonts w:ascii="Times New Roman" w:hAnsi="Times New Roman" w:eastAsia="仿宋_GB2312" w:cs="仿宋_GB2312"/>
          <w:sz w:val="32"/>
        </w:rPr>
      </w:pPr>
      <w:bookmarkStart w:id="68" w:name="OLE_LINK10"/>
      <w:r>
        <w:rPr>
          <w:rFonts w:hint="eastAsia" w:ascii="Times New Roman" w:hAnsi="Times New Roman" w:eastAsia="仿宋_GB2312" w:cs="仿宋_GB2312"/>
          <w:sz w:val="32"/>
        </w:rPr>
        <w:t>——城市生态品质明显提升。到</w:t>
      </w:r>
      <w:r>
        <w:rPr>
          <w:rFonts w:ascii="Times New Roman" w:hAnsi="Times New Roman" w:eastAsia="仿宋_GB2312" w:cs="仿宋_GB2312"/>
          <w:sz w:val="32"/>
        </w:rPr>
        <w:t>2030</w:t>
      </w:r>
      <w:r>
        <w:rPr>
          <w:rFonts w:hint="eastAsia" w:ascii="Times New Roman" w:hAnsi="Times New Roman" w:eastAsia="仿宋_GB2312" w:cs="仿宋_GB2312"/>
          <w:sz w:val="32"/>
        </w:rPr>
        <w:t>年，严守生态保护红线，自然生态系统连通性稳步提升，生物多样性友好城区建设取得显著成效，生态环境质量指数保持稳定。</w:t>
      </w:r>
      <w:bookmarkEnd w:id="68"/>
    </w:p>
    <w:p w14:paraId="4BBDF92B">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——韧性安全得到有效保障。到</w:t>
      </w:r>
      <w:r>
        <w:rPr>
          <w:rFonts w:ascii="Times New Roman" w:hAnsi="Times New Roman" w:eastAsia="仿宋_GB2312" w:cs="仿宋_GB2312"/>
          <w:sz w:val="32"/>
        </w:rPr>
        <w:t>2030</w:t>
      </w:r>
      <w:r>
        <w:rPr>
          <w:rFonts w:hint="eastAsia" w:ascii="Times New Roman" w:hAnsi="Times New Roman" w:eastAsia="仿宋_GB2312" w:cs="仿宋_GB2312"/>
          <w:sz w:val="32"/>
        </w:rPr>
        <w:t>年，固体废物与化学物质环境风险防控能力明显增强，确保核与辐射安全，环境风险得到有效管控，城市适应气候变化能力明显提升。</w:t>
      </w:r>
    </w:p>
    <w:p w14:paraId="520CC3B8">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展望到</w:t>
      </w:r>
      <w:r>
        <w:rPr>
          <w:rFonts w:ascii="Times New Roman" w:hAnsi="Times New Roman" w:eastAsia="仿宋_GB2312" w:cs="仿宋_GB2312"/>
          <w:sz w:val="32"/>
        </w:rPr>
        <w:t>2035</w:t>
      </w:r>
      <w:r>
        <w:rPr>
          <w:rFonts w:hint="eastAsia" w:ascii="Times New Roman" w:hAnsi="Times New Roman" w:eastAsia="仿宋_GB2312" w:cs="仿宋_GB2312"/>
          <w:sz w:val="32"/>
        </w:rPr>
        <w:t>年，生态环境质量根本好转，碳排放总量显著下降，经济社会发展绿色低碳发展水平持续提升，形成智慧高效、多元共治的生态环境治理体系，美丽朝阳基本建成，为美丽中国建设提供朝阳经验。</w:t>
      </w:r>
    </w:p>
    <w:p w14:paraId="4EBD4AF3">
      <w:pPr>
        <w:pStyle w:val="2"/>
        <w:rPr>
          <w:rFonts w:hint="eastAsia"/>
          <w:color w:val="auto"/>
        </w:rPr>
      </w:pPr>
    </w:p>
    <w:p w14:paraId="4EF135B3">
      <w:pPr>
        <w:jc w:val="center"/>
        <w:rPr>
          <w:rFonts w:hint="eastAsia" w:ascii="黑体" w:hAnsi="黑体" w:eastAsia="黑体" w:cs="Times New Roman"/>
          <w:sz w:val="28"/>
          <w:szCs w:val="28"/>
        </w:rPr>
      </w:pPr>
      <w:r>
        <w:rPr>
          <w:rFonts w:hint="eastAsia" w:ascii="黑体" w:hAnsi="黑体" w:eastAsia="黑体" w:cs="Times New Roman"/>
          <w:sz w:val="28"/>
          <w:szCs w:val="28"/>
        </w:rPr>
        <w:t>“十五五”时期美丽朝阳建设目标</w:t>
      </w:r>
    </w:p>
    <w:tbl>
      <w:tblPr>
        <w:tblStyle w:val="17"/>
        <w:tblW w:w="8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3261"/>
        <w:gridCol w:w="1717"/>
        <w:gridCol w:w="1718"/>
        <w:gridCol w:w="879"/>
      </w:tblGrid>
      <w:tr w14:paraId="1838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38" w:type="dxa"/>
            <w:vAlign w:val="center"/>
          </w:tcPr>
          <w:p w14:paraId="16A603AC">
            <w:pPr>
              <w:topLinePunct/>
              <w:adjustRightInd w:val="0"/>
              <w:snapToGrid w:val="0"/>
              <w:jc w:val="center"/>
              <w:rPr>
                <w:rFonts w:ascii="Times New Roman" w:hAnsi="Times New Roman" w:eastAsia="黑体" w:cs="Times New Roman"/>
                <w:szCs w:val="21"/>
              </w:rPr>
            </w:pPr>
            <w:bookmarkStart w:id="69" w:name="OLE_LINK12"/>
            <w:r>
              <w:rPr>
                <w:rFonts w:ascii="Times New Roman" w:hAnsi="Times New Roman" w:eastAsia="黑体" w:cs="Times New Roman"/>
                <w:szCs w:val="21"/>
              </w:rPr>
              <w:t>序号</w:t>
            </w:r>
          </w:p>
        </w:tc>
        <w:tc>
          <w:tcPr>
            <w:tcW w:w="3261" w:type="dxa"/>
            <w:vAlign w:val="center"/>
          </w:tcPr>
          <w:p w14:paraId="79E7A9AF">
            <w:pPr>
              <w:topLinePunct/>
              <w:adjustRightInd w:val="0"/>
              <w:snapToGrid w:val="0"/>
              <w:jc w:val="center"/>
              <w:rPr>
                <w:rFonts w:ascii="Times New Roman" w:hAnsi="Times New Roman" w:eastAsia="黑体" w:cs="Times New Roman"/>
                <w:szCs w:val="21"/>
              </w:rPr>
            </w:pPr>
            <w:r>
              <w:rPr>
                <w:rFonts w:ascii="Times New Roman" w:hAnsi="Times New Roman" w:eastAsia="黑体" w:cs="Times New Roman"/>
                <w:szCs w:val="21"/>
              </w:rPr>
              <w:t>指标名称</w:t>
            </w:r>
          </w:p>
        </w:tc>
        <w:tc>
          <w:tcPr>
            <w:tcW w:w="1717" w:type="dxa"/>
            <w:vAlign w:val="center"/>
          </w:tcPr>
          <w:p w14:paraId="4765945D">
            <w:pPr>
              <w:topLinePunct/>
              <w:adjustRightInd w:val="0"/>
              <w:snapToGrid w:val="0"/>
              <w:jc w:val="center"/>
              <w:rPr>
                <w:rFonts w:ascii="Times New Roman" w:hAnsi="Times New Roman" w:eastAsia="黑体" w:cs="Times New Roman"/>
                <w:szCs w:val="21"/>
              </w:rPr>
            </w:pPr>
            <w:r>
              <w:rPr>
                <w:rFonts w:ascii="Times New Roman" w:hAnsi="Times New Roman" w:eastAsia="黑体" w:cs="Times New Roman"/>
                <w:szCs w:val="21"/>
              </w:rPr>
              <w:t>2025年</w:t>
            </w:r>
          </w:p>
        </w:tc>
        <w:tc>
          <w:tcPr>
            <w:tcW w:w="1718" w:type="dxa"/>
            <w:vAlign w:val="center"/>
          </w:tcPr>
          <w:p w14:paraId="1EF97BF2">
            <w:pPr>
              <w:topLinePunct/>
              <w:adjustRightInd w:val="0"/>
              <w:snapToGrid w:val="0"/>
              <w:jc w:val="center"/>
              <w:rPr>
                <w:rFonts w:ascii="Times New Roman" w:hAnsi="Times New Roman" w:eastAsia="黑体" w:cs="Times New Roman"/>
                <w:szCs w:val="21"/>
              </w:rPr>
            </w:pPr>
            <w:r>
              <w:rPr>
                <w:rFonts w:ascii="Times New Roman" w:hAnsi="Times New Roman" w:eastAsia="黑体" w:cs="Times New Roman"/>
                <w:szCs w:val="21"/>
              </w:rPr>
              <w:t>2030年</w:t>
            </w:r>
          </w:p>
        </w:tc>
        <w:tc>
          <w:tcPr>
            <w:tcW w:w="879" w:type="dxa"/>
            <w:vAlign w:val="center"/>
          </w:tcPr>
          <w:p w14:paraId="6414A351">
            <w:pPr>
              <w:topLinePunct/>
              <w:adjustRightInd w:val="0"/>
              <w:snapToGrid w:val="0"/>
              <w:jc w:val="center"/>
              <w:rPr>
                <w:rFonts w:ascii="Times New Roman" w:hAnsi="Times New Roman" w:eastAsia="黑体" w:cs="Times New Roman"/>
                <w:szCs w:val="21"/>
              </w:rPr>
            </w:pPr>
            <w:r>
              <w:rPr>
                <w:rFonts w:ascii="Times New Roman" w:hAnsi="Times New Roman" w:eastAsia="黑体" w:cs="Times New Roman"/>
                <w:szCs w:val="21"/>
              </w:rPr>
              <w:t>指标</w:t>
            </w:r>
          </w:p>
          <w:p w14:paraId="06CA414E">
            <w:pPr>
              <w:topLinePunct/>
              <w:adjustRightInd w:val="0"/>
              <w:snapToGrid w:val="0"/>
              <w:jc w:val="center"/>
              <w:rPr>
                <w:rFonts w:ascii="Times New Roman" w:hAnsi="Times New Roman" w:eastAsia="黑体" w:cs="Times New Roman"/>
                <w:szCs w:val="21"/>
              </w:rPr>
            </w:pPr>
            <w:r>
              <w:rPr>
                <w:rFonts w:ascii="Times New Roman" w:hAnsi="Times New Roman" w:eastAsia="黑体" w:cs="Times New Roman"/>
                <w:szCs w:val="21"/>
              </w:rPr>
              <w:t>属性</w:t>
            </w:r>
          </w:p>
        </w:tc>
      </w:tr>
      <w:tr w14:paraId="4795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39C5C33E">
            <w:pPr>
              <w:numPr>
                <w:ilvl w:val="0"/>
                <w:numId w:val="1"/>
              </w:numPr>
              <w:topLinePunct/>
              <w:adjustRightInd w:val="0"/>
              <w:snapToGrid w:val="0"/>
              <w:jc w:val="center"/>
              <w:rPr>
                <w:rFonts w:ascii="Times New Roman" w:hAnsi="Times New Roman" w:eastAsia="仿宋_GB2312" w:cs="Times New Roman"/>
                <w:szCs w:val="21"/>
              </w:rPr>
            </w:pPr>
            <w:bookmarkStart w:id="70" w:name="_Hlk204793725"/>
          </w:p>
        </w:tc>
        <w:tc>
          <w:tcPr>
            <w:tcW w:w="3261" w:type="dxa"/>
            <w:vAlign w:val="center"/>
          </w:tcPr>
          <w:p w14:paraId="72DFE435">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单位地区生产总值二氧化碳排放降幅（</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1242B86C">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24A9C1C1">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1F7ADDA2">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bookmarkEnd w:id="70"/>
      <w:tr w14:paraId="17B5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49638437">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09D40BF9">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非化石能源占能源消费总量比重（</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26DC08B4">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19.02*</w:t>
            </w:r>
          </w:p>
        </w:tc>
        <w:tc>
          <w:tcPr>
            <w:tcW w:w="1718" w:type="dxa"/>
            <w:vAlign w:val="center"/>
          </w:tcPr>
          <w:p w14:paraId="6246B289">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4D3C271B">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1CEB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1AE1A43C">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5D665010">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细颗粒物年均浓度（微克</w:t>
            </w:r>
            <w:r>
              <w:rPr>
                <w:rFonts w:ascii="Times New Roman" w:hAnsi="Times New Roman" w:eastAsia="仿宋_GB2312" w:cs="Times New Roman"/>
                <w:szCs w:val="21"/>
              </w:rPr>
              <w:t>/</w:t>
            </w:r>
            <w:r>
              <w:rPr>
                <w:rFonts w:hint="eastAsia" w:ascii="Times New Roman" w:hAnsi="Times New Roman" w:eastAsia="仿宋_GB2312" w:cs="Times New Roman"/>
                <w:szCs w:val="21"/>
              </w:rPr>
              <w:t>立方米）</w:t>
            </w:r>
          </w:p>
        </w:tc>
        <w:tc>
          <w:tcPr>
            <w:tcW w:w="1717" w:type="dxa"/>
            <w:vAlign w:val="center"/>
          </w:tcPr>
          <w:p w14:paraId="391A4D7B">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27.8</w:t>
            </w:r>
          </w:p>
        </w:tc>
        <w:tc>
          <w:tcPr>
            <w:tcW w:w="1718" w:type="dxa"/>
            <w:vAlign w:val="center"/>
          </w:tcPr>
          <w:p w14:paraId="411B2F17">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4AEA632A">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77C9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05032157">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6422C252">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重污染天数</w:t>
            </w:r>
          </w:p>
        </w:tc>
        <w:tc>
          <w:tcPr>
            <w:tcW w:w="1717" w:type="dxa"/>
            <w:vAlign w:val="center"/>
          </w:tcPr>
          <w:p w14:paraId="2485BB14">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2</w:t>
            </w:r>
          </w:p>
        </w:tc>
        <w:tc>
          <w:tcPr>
            <w:tcW w:w="1718" w:type="dxa"/>
            <w:vAlign w:val="center"/>
          </w:tcPr>
          <w:p w14:paraId="3966A856">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3254BC51">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2EA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7D606627">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63BD549">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空气质量优良天数比例（</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707239BE">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84.4</w:t>
            </w:r>
          </w:p>
        </w:tc>
        <w:tc>
          <w:tcPr>
            <w:tcW w:w="1718" w:type="dxa"/>
            <w:vAlign w:val="center"/>
          </w:tcPr>
          <w:p w14:paraId="691E2156">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43F1CF10">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4A78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00AFF9C1">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A0CFEC8">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优良水体比例（</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5F973C29">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47EBDFDD">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3EF7FB80">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3561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7F2F6A73">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5913B43D">
            <w:pPr>
              <w:topLinePunct/>
              <w:adjustRightInd w:val="0"/>
              <w:snapToGrid w:val="0"/>
              <w:jc w:val="left"/>
              <w:rPr>
                <w:rFonts w:ascii="Times New Roman" w:hAnsi="Times New Roman" w:eastAsia="仿宋_GB2312" w:cs="Times New Roman"/>
                <w:szCs w:val="21"/>
              </w:rPr>
            </w:pPr>
            <w:bookmarkStart w:id="71" w:name="_Hlk231551568"/>
            <w:r>
              <w:rPr>
                <w:rFonts w:hint="eastAsia" w:ascii="Times New Roman" w:hAnsi="Times New Roman" w:eastAsia="仿宋_GB2312" w:cs="Times New Roman"/>
                <w:szCs w:val="21"/>
              </w:rPr>
              <w:t>地下水优良水质比例</w:t>
            </w:r>
            <w:bookmarkEnd w:id="71"/>
            <w:r>
              <w:rPr>
                <w:rFonts w:hint="eastAsia" w:ascii="Times New Roman" w:hAnsi="Times New Roman" w:eastAsia="仿宋_GB2312" w:cs="Times New Roman"/>
                <w:szCs w:val="21"/>
              </w:rPr>
              <w:t>（</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63F668BE">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7F1D2007">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1B62B909">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1743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7276E7C6">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56A69E79">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受污染耕地安全利用率（</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511A786C">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100</w:t>
            </w:r>
          </w:p>
        </w:tc>
        <w:tc>
          <w:tcPr>
            <w:tcW w:w="1718" w:type="dxa"/>
            <w:vAlign w:val="center"/>
          </w:tcPr>
          <w:p w14:paraId="7F8AB9B9">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100</w:t>
            </w:r>
          </w:p>
        </w:tc>
        <w:tc>
          <w:tcPr>
            <w:tcW w:w="879" w:type="dxa"/>
            <w:vAlign w:val="center"/>
          </w:tcPr>
          <w:p w14:paraId="0803DD08">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3335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05782B8E">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6E2BA67F">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重点建设用地安全利用率（</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1B9F5405">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100</w:t>
            </w:r>
          </w:p>
        </w:tc>
        <w:tc>
          <w:tcPr>
            <w:tcW w:w="1718" w:type="dxa"/>
            <w:vAlign w:val="center"/>
          </w:tcPr>
          <w:p w14:paraId="4A66FD49">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100</w:t>
            </w:r>
          </w:p>
        </w:tc>
        <w:tc>
          <w:tcPr>
            <w:tcW w:w="879" w:type="dxa"/>
            <w:vAlign w:val="center"/>
          </w:tcPr>
          <w:p w14:paraId="6C0FBF92">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7B3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1A0CB85D">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5098D51">
            <w:pPr>
              <w:topLinePunct/>
              <w:adjustRightInd w:val="0"/>
              <w:snapToGrid w:val="0"/>
              <w:jc w:val="left"/>
              <w:rPr>
                <w:rFonts w:ascii="Times New Roman" w:hAnsi="Times New Roman" w:eastAsia="仿宋_GB2312" w:cs="Times New Roman"/>
                <w:szCs w:val="21"/>
              </w:rPr>
            </w:pPr>
            <w:bookmarkStart w:id="72" w:name="_Hlk231551583"/>
            <w:r>
              <w:rPr>
                <w:rFonts w:hint="eastAsia" w:ascii="Times New Roman" w:hAnsi="Times New Roman" w:eastAsia="仿宋_GB2312" w:cs="Times New Roman"/>
                <w:szCs w:val="21"/>
              </w:rPr>
              <w:t>声环境功能区夜间达标率</w:t>
            </w:r>
            <w:bookmarkEnd w:id="72"/>
            <w:r>
              <w:rPr>
                <w:rFonts w:hint="eastAsia" w:ascii="Times New Roman" w:hAnsi="Times New Roman" w:eastAsia="仿宋_GB2312" w:cs="Times New Roman"/>
                <w:szCs w:val="21"/>
              </w:rPr>
              <w:t>（</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0A7F4BD9">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508D7B34">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5EBC5CA5">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7203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23C392B0">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20DF3E62">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氮氧化物、挥发性有机物、化学需氧量、总磷重点工程减排量（吨）</w:t>
            </w:r>
          </w:p>
        </w:tc>
        <w:tc>
          <w:tcPr>
            <w:tcW w:w="1717" w:type="dxa"/>
            <w:vAlign w:val="center"/>
          </w:tcPr>
          <w:p w14:paraId="2F690447">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6AD5E6FD">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2B0B77E4">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3D17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7D5306F8">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53F4BB5">
            <w:pPr>
              <w:topLinePunct/>
              <w:adjustRightInd w:val="0"/>
              <w:snapToGrid w:val="0"/>
              <w:jc w:val="left"/>
              <w:rPr>
                <w:rFonts w:ascii="Times New Roman" w:hAnsi="Times New Roman" w:eastAsia="仿宋_GB2312" w:cs="Times New Roman"/>
                <w:szCs w:val="21"/>
              </w:rPr>
            </w:pPr>
            <w:bookmarkStart w:id="73" w:name="_Hlk231550741"/>
            <w:r>
              <w:rPr>
                <w:rFonts w:hint="eastAsia" w:ascii="Times New Roman" w:hAnsi="Times New Roman" w:eastAsia="仿宋_GB2312" w:cs="Times New Roman"/>
                <w:szCs w:val="21"/>
              </w:rPr>
              <w:t>生态保护红线面积</w:t>
            </w:r>
            <w:bookmarkEnd w:id="73"/>
            <w:r>
              <w:rPr>
                <w:rFonts w:hint="eastAsia" w:ascii="Times New Roman" w:hAnsi="Times New Roman" w:eastAsia="仿宋_GB2312" w:cs="Times New Roman"/>
                <w:szCs w:val="21"/>
              </w:rPr>
              <w:t>（平方公里）</w:t>
            </w:r>
          </w:p>
        </w:tc>
        <w:tc>
          <w:tcPr>
            <w:tcW w:w="1717" w:type="dxa"/>
            <w:vAlign w:val="center"/>
          </w:tcPr>
          <w:p w14:paraId="18484316">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3.35</w:t>
            </w:r>
          </w:p>
        </w:tc>
        <w:tc>
          <w:tcPr>
            <w:tcW w:w="1718" w:type="dxa"/>
            <w:vAlign w:val="center"/>
          </w:tcPr>
          <w:p w14:paraId="27425EDD">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3.35</w:t>
            </w:r>
          </w:p>
        </w:tc>
        <w:tc>
          <w:tcPr>
            <w:tcW w:w="879" w:type="dxa"/>
            <w:vAlign w:val="center"/>
          </w:tcPr>
          <w:p w14:paraId="383DFCC8">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5814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4451C2A7">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0FA567FF">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生态环境质量指数（</w:t>
            </w:r>
            <w:r>
              <w:rPr>
                <w:rFonts w:ascii="Times New Roman" w:hAnsi="Times New Roman" w:eastAsia="仿宋_GB2312" w:cs="Times New Roman"/>
                <w:szCs w:val="21"/>
              </w:rPr>
              <w:t>EI</w:t>
            </w:r>
            <w:r>
              <w:rPr>
                <w:rFonts w:hint="eastAsia" w:ascii="Times New Roman" w:hAnsi="Times New Roman" w:eastAsia="仿宋_GB2312" w:cs="Times New Roman"/>
                <w:szCs w:val="21"/>
              </w:rPr>
              <w:t>）</w:t>
            </w:r>
          </w:p>
        </w:tc>
        <w:tc>
          <w:tcPr>
            <w:tcW w:w="1717" w:type="dxa"/>
            <w:vAlign w:val="center"/>
          </w:tcPr>
          <w:p w14:paraId="5793679E">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62.2</w:t>
            </w:r>
          </w:p>
        </w:tc>
        <w:tc>
          <w:tcPr>
            <w:tcW w:w="1718" w:type="dxa"/>
            <w:vAlign w:val="center"/>
          </w:tcPr>
          <w:p w14:paraId="4CFB0B43">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稳中向好</w:t>
            </w:r>
          </w:p>
        </w:tc>
        <w:tc>
          <w:tcPr>
            <w:tcW w:w="879" w:type="dxa"/>
            <w:vAlign w:val="center"/>
          </w:tcPr>
          <w:p w14:paraId="55EBF4A3">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77A9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362B4284">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34A39ABF">
            <w:pPr>
              <w:topLinePunct/>
              <w:adjustRightInd w:val="0"/>
              <w:snapToGrid w:val="0"/>
              <w:jc w:val="left"/>
              <w:rPr>
                <w:rFonts w:ascii="Times New Roman" w:hAnsi="Times New Roman" w:eastAsia="仿宋_GB2312" w:cs="Times New Roman"/>
                <w:szCs w:val="21"/>
              </w:rPr>
            </w:pPr>
            <w:bookmarkStart w:id="74" w:name="_Hlk225150856"/>
            <w:r>
              <w:rPr>
                <w:rFonts w:hint="eastAsia" w:ascii="Times New Roman" w:hAnsi="Times New Roman" w:eastAsia="仿宋_GB2312" w:cs="Times New Roman"/>
                <w:szCs w:val="21"/>
              </w:rPr>
              <w:t>建成区绿视率</w:t>
            </w:r>
            <w:bookmarkEnd w:id="74"/>
            <w:r>
              <w:rPr>
                <w:rFonts w:hint="eastAsia" w:ascii="Times New Roman" w:hAnsi="Times New Roman" w:eastAsia="仿宋_GB2312" w:cs="Times New Roman"/>
                <w:szCs w:val="21"/>
              </w:rPr>
              <w:t>（</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03744E3C">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25.87</w:t>
            </w:r>
          </w:p>
        </w:tc>
        <w:tc>
          <w:tcPr>
            <w:tcW w:w="1718" w:type="dxa"/>
            <w:vAlign w:val="center"/>
          </w:tcPr>
          <w:p w14:paraId="1FE9F3CB">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稳中向好</w:t>
            </w:r>
          </w:p>
        </w:tc>
        <w:tc>
          <w:tcPr>
            <w:tcW w:w="879" w:type="dxa"/>
            <w:vAlign w:val="center"/>
          </w:tcPr>
          <w:p w14:paraId="6D3A7BB9">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0860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389E9B53">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37B98CDB">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城市万人拥有绿道长度（公里</w:t>
            </w:r>
            <w:r>
              <w:rPr>
                <w:rFonts w:ascii="Times New Roman" w:hAnsi="Times New Roman" w:eastAsia="仿宋_GB2312" w:cs="Times New Roman"/>
                <w:szCs w:val="21"/>
              </w:rPr>
              <w:t>/</w:t>
            </w:r>
            <w:r>
              <w:rPr>
                <w:rFonts w:hint="eastAsia" w:ascii="Times New Roman" w:hAnsi="Times New Roman" w:eastAsia="仿宋_GB2312" w:cs="Times New Roman"/>
                <w:szCs w:val="21"/>
              </w:rPr>
              <w:t>万人）</w:t>
            </w:r>
          </w:p>
        </w:tc>
        <w:tc>
          <w:tcPr>
            <w:tcW w:w="1717" w:type="dxa"/>
            <w:vAlign w:val="center"/>
          </w:tcPr>
          <w:p w14:paraId="645D6EE5">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0.9*</w:t>
            </w:r>
          </w:p>
        </w:tc>
        <w:tc>
          <w:tcPr>
            <w:tcW w:w="1718" w:type="dxa"/>
            <w:vAlign w:val="center"/>
          </w:tcPr>
          <w:p w14:paraId="6F743003">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1.08</w:t>
            </w:r>
          </w:p>
        </w:tc>
        <w:tc>
          <w:tcPr>
            <w:tcW w:w="879" w:type="dxa"/>
            <w:vAlign w:val="center"/>
          </w:tcPr>
          <w:p w14:paraId="5762E7B6">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7477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6A7C890C">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46A293CF">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“无废城市”指数</w:t>
            </w:r>
          </w:p>
        </w:tc>
        <w:tc>
          <w:tcPr>
            <w:tcW w:w="1717" w:type="dxa"/>
            <w:vAlign w:val="center"/>
          </w:tcPr>
          <w:p w14:paraId="660D4F1A">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27A08FA8">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达到北京市要求</w:t>
            </w:r>
          </w:p>
        </w:tc>
        <w:tc>
          <w:tcPr>
            <w:tcW w:w="879" w:type="dxa"/>
            <w:vAlign w:val="center"/>
          </w:tcPr>
          <w:p w14:paraId="55B3F97F">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tr w14:paraId="7790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209E4E83">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436C3F0">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生活垃圾回收利用率（</w:t>
            </w:r>
            <w:r>
              <w:rPr>
                <w:rFonts w:ascii="Times New Roman" w:hAnsi="Times New Roman" w:eastAsia="仿宋_GB2312" w:cs="Times New Roman"/>
                <w:szCs w:val="21"/>
              </w:rPr>
              <w:t>%</w:t>
            </w:r>
            <w:r>
              <w:rPr>
                <w:rFonts w:hint="eastAsia" w:ascii="Times New Roman" w:hAnsi="Times New Roman" w:eastAsia="仿宋_GB2312" w:cs="Times New Roman"/>
                <w:szCs w:val="21"/>
              </w:rPr>
              <w:t>）</w:t>
            </w:r>
          </w:p>
        </w:tc>
        <w:tc>
          <w:tcPr>
            <w:tcW w:w="1717" w:type="dxa"/>
            <w:vAlign w:val="center"/>
          </w:tcPr>
          <w:p w14:paraId="7407D1E9">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46.89</w:t>
            </w:r>
          </w:p>
        </w:tc>
        <w:tc>
          <w:tcPr>
            <w:tcW w:w="1718" w:type="dxa"/>
            <w:vAlign w:val="center"/>
          </w:tcPr>
          <w:p w14:paraId="6B0CBE12">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保持</w:t>
            </w:r>
            <w:r>
              <w:rPr>
                <w:rFonts w:ascii="Times New Roman" w:hAnsi="Times New Roman" w:eastAsia="仿宋_GB2312" w:cs="Times New Roman"/>
                <w:szCs w:val="21"/>
              </w:rPr>
              <w:t>46%</w:t>
            </w:r>
            <w:r>
              <w:rPr>
                <w:rFonts w:hint="eastAsia" w:ascii="Times New Roman" w:hAnsi="Times New Roman" w:eastAsia="仿宋_GB2312" w:cs="Times New Roman"/>
                <w:szCs w:val="21"/>
              </w:rPr>
              <w:t>以上</w:t>
            </w:r>
          </w:p>
        </w:tc>
        <w:tc>
          <w:tcPr>
            <w:tcW w:w="879" w:type="dxa"/>
            <w:vAlign w:val="center"/>
          </w:tcPr>
          <w:p w14:paraId="62E49E11">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约束性</w:t>
            </w:r>
          </w:p>
        </w:tc>
      </w:tr>
      <w:tr w14:paraId="5BCF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8" w:type="dxa"/>
            <w:vAlign w:val="center"/>
          </w:tcPr>
          <w:p w14:paraId="09A77EDA">
            <w:pPr>
              <w:numPr>
                <w:ilvl w:val="0"/>
                <w:numId w:val="1"/>
              </w:numPr>
              <w:topLinePunct/>
              <w:adjustRightInd w:val="0"/>
              <w:snapToGrid w:val="0"/>
              <w:jc w:val="center"/>
              <w:rPr>
                <w:rFonts w:ascii="Times New Roman" w:hAnsi="Times New Roman" w:eastAsia="仿宋_GB2312" w:cs="Times New Roman"/>
                <w:szCs w:val="21"/>
              </w:rPr>
            </w:pPr>
          </w:p>
        </w:tc>
        <w:tc>
          <w:tcPr>
            <w:tcW w:w="3261" w:type="dxa"/>
            <w:vAlign w:val="center"/>
          </w:tcPr>
          <w:p w14:paraId="79BA292A">
            <w:pPr>
              <w:topLinePunct/>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美丽河湖建成率</w:t>
            </w:r>
          </w:p>
        </w:tc>
        <w:tc>
          <w:tcPr>
            <w:tcW w:w="1717" w:type="dxa"/>
            <w:vAlign w:val="center"/>
          </w:tcPr>
          <w:p w14:paraId="75CA2465">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w:t>
            </w:r>
          </w:p>
        </w:tc>
        <w:tc>
          <w:tcPr>
            <w:tcW w:w="1718" w:type="dxa"/>
            <w:vAlign w:val="center"/>
          </w:tcPr>
          <w:p w14:paraId="66E32582">
            <w:pPr>
              <w:topLinePunct/>
              <w:adjustRightInd w:val="0"/>
              <w:snapToGrid w:val="0"/>
              <w:jc w:val="center"/>
              <w:rPr>
                <w:rFonts w:ascii="Times New Roman" w:hAnsi="Times New Roman" w:eastAsia="仿宋_GB2312" w:cs="Times New Roman"/>
                <w:szCs w:val="21"/>
              </w:rPr>
            </w:pPr>
            <w:r>
              <w:rPr>
                <w:rFonts w:ascii="Times New Roman" w:hAnsi="Times New Roman" w:eastAsia="仿宋_GB2312" w:cs="Times New Roman"/>
                <w:szCs w:val="21"/>
              </w:rPr>
              <w:t>70%</w:t>
            </w:r>
            <w:r>
              <w:rPr>
                <w:rFonts w:hint="eastAsia" w:ascii="Times New Roman" w:hAnsi="Times New Roman" w:eastAsia="仿宋_GB2312" w:cs="Times New Roman"/>
                <w:szCs w:val="21"/>
              </w:rPr>
              <w:t>以上</w:t>
            </w:r>
          </w:p>
        </w:tc>
        <w:tc>
          <w:tcPr>
            <w:tcW w:w="879" w:type="dxa"/>
            <w:vAlign w:val="center"/>
          </w:tcPr>
          <w:p w14:paraId="3322DEF1">
            <w:pPr>
              <w:topLinePunct/>
              <w:adjustRightInd w:val="0"/>
              <w:snapToGrid w:val="0"/>
              <w:jc w:val="center"/>
              <w:rPr>
                <w:rFonts w:ascii="Times New Roman" w:hAnsi="Times New Roman" w:eastAsia="仿宋_GB2312" w:cs="Times New Roman"/>
                <w:szCs w:val="21"/>
              </w:rPr>
            </w:pPr>
            <w:r>
              <w:rPr>
                <w:rFonts w:hint="eastAsia" w:ascii="Times New Roman" w:hAnsi="Times New Roman" w:eastAsia="仿宋_GB2312" w:cs="Times New Roman"/>
                <w:szCs w:val="21"/>
              </w:rPr>
              <w:t>预期性</w:t>
            </w:r>
          </w:p>
        </w:tc>
      </w:tr>
      <w:bookmarkEnd w:id="69"/>
    </w:tbl>
    <w:p w14:paraId="475CF0EC">
      <w:pPr>
        <w:rPr>
          <w:rFonts w:ascii="Times New Roman" w:hAnsi="Times New Roman" w:eastAsia="仿宋_GB2312" w:cs="Times New Roman"/>
          <w:szCs w:val="21"/>
        </w:rPr>
      </w:pPr>
      <w:r>
        <w:rPr>
          <w:rFonts w:hint="eastAsia" w:ascii="Times New Roman" w:hAnsi="Times New Roman" w:eastAsia="仿宋_GB2312" w:cs="Times New Roman"/>
          <w:szCs w:val="21"/>
        </w:rPr>
        <w:t>注：带</w:t>
      </w:r>
      <w:r>
        <w:rPr>
          <w:rFonts w:ascii="Times New Roman" w:hAnsi="Times New Roman" w:eastAsia="仿宋_GB2312" w:cs="Times New Roman"/>
          <w:szCs w:val="21"/>
        </w:rPr>
        <w:t>*</w:t>
      </w:r>
      <w:r>
        <w:rPr>
          <w:rFonts w:hint="eastAsia" w:ascii="Times New Roman" w:hAnsi="Times New Roman" w:eastAsia="仿宋_GB2312" w:cs="Times New Roman"/>
          <w:szCs w:val="21"/>
        </w:rPr>
        <w:t>为</w:t>
      </w:r>
      <w:r>
        <w:rPr>
          <w:rFonts w:ascii="Times New Roman" w:hAnsi="Times New Roman" w:eastAsia="仿宋_GB2312" w:cs="Times New Roman"/>
          <w:szCs w:val="21"/>
        </w:rPr>
        <w:t>2024</w:t>
      </w:r>
      <w:r>
        <w:rPr>
          <w:rFonts w:hint="eastAsia" w:ascii="Times New Roman" w:hAnsi="Times New Roman" w:eastAsia="仿宋_GB2312" w:cs="Times New Roman"/>
          <w:szCs w:val="21"/>
        </w:rPr>
        <w:t>年数据</w:t>
      </w:r>
    </w:p>
    <w:p w14:paraId="53936540">
      <w:pPr>
        <w:rPr>
          <w:rFonts w:ascii="Times New Roman" w:hAnsi="Times New Roman" w:eastAsia="等线" w:cs="Times New Roman"/>
          <w:szCs w:val="22"/>
        </w:rPr>
      </w:pPr>
    </w:p>
    <w:p w14:paraId="58A02815">
      <w:pPr>
        <w:rPr>
          <w:rFonts w:ascii="Times New Roman" w:hAnsi="Times New Roman"/>
        </w:rPr>
        <w:sectPr>
          <w:pgSz w:w="11906" w:h="16838"/>
          <w:pgMar w:top="1417" w:right="1474" w:bottom="1417" w:left="1587" w:header="851" w:footer="992" w:gutter="0"/>
          <w:cols w:space="720" w:num="1"/>
          <w:docGrid w:type="lines" w:linePitch="312" w:charSpace="0"/>
        </w:sectPr>
      </w:pPr>
    </w:p>
    <w:p w14:paraId="132E93AF">
      <w:pPr>
        <w:pStyle w:val="3"/>
      </w:pPr>
      <w:bookmarkStart w:id="75" w:name="_Toc201598878"/>
      <w:bookmarkStart w:id="76" w:name="_Toc208827864"/>
      <w:bookmarkStart w:id="77" w:name="_Toc233040973"/>
      <w:r>
        <w:rPr>
          <w:rFonts w:hint="eastAsia"/>
        </w:rPr>
        <w:t>三、</w:t>
      </w:r>
      <w:bookmarkEnd w:id="75"/>
      <w:bookmarkStart w:id="78" w:name="_Hlk204680052"/>
      <w:r>
        <w:rPr>
          <w:rFonts w:hint="eastAsia"/>
        </w:rPr>
        <w:t>全面建设美丽朝阳，打造美丽城市标杆</w:t>
      </w:r>
      <w:bookmarkEnd w:id="76"/>
      <w:bookmarkEnd w:id="77"/>
    </w:p>
    <w:bookmarkEnd w:id="78"/>
    <w:p w14:paraId="7CE4632F">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打造以国际化、数字化为特色的美丽城市示范标杆，以美丽园区、美丽河湖、美丽乡村和美丽街区等为抓手，推动美丽朝阳建设各美其美、美美与共。</w:t>
      </w:r>
    </w:p>
    <w:p w14:paraId="60BDEE45">
      <w:pPr>
        <w:pStyle w:val="4"/>
      </w:pPr>
      <w:bookmarkStart w:id="79" w:name="_Toc233040974"/>
      <w:bookmarkStart w:id="80" w:name="_Toc208827865"/>
      <w:bookmarkStart w:id="81" w:name="_Toc201598879"/>
      <w:r>
        <w:rPr>
          <w:rFonts w:hint="eastAsia"/>
        </w:rPr>
        <w:t>（一）</w:t>
      </w:r>
      <w:bookmarkStart w:id="82" w:name="OLE_LINK81"/>
      <w:r>
        <w:rPr>
          <w:rFonts w:hint="eastAsia"/>
        </w:rPr>
        <w:t>打造美丽城市建设“朝阳样板”</w:t>
      </w:r>
      <w:bookmarkEnd w:id="79"/>
      <w:bookmarkEnd w:id="80"/>
      <w:bookmarkEnd w:id="81"/>
      <w:bookmarkEnd w:id="82"/>
    </w:p>
    <w:p w14:paraId="716AB1FE">
      <w:pPr>
        <w:pStyle w:val="36"/>
      </w:pPr>
      <w:bookmarkStart w:id="83" w:name="_Toc201598880"/>
      <w:r>
        <w:t xml:space="preserve">1. </w:t>
      </w:r>
      <w:bookmarkStart w:id="84" w:name="OLE_LINK14"/>
      <w:r>
        <w:rPr>
          <w:rFonts w:hint="eastAsia"/>
        </w:rPr>
        <w:t>加快推进美丽朝阳建设</w:t>
      </w:r>
      <w:bookmarkEnd w:id="83"/>
      <w:bookmarkEnd w:id="84"/>
    </w:p>
    <w:p w14:paraId="253B50D1">
      <w:pPr>
        <w:tabs>
          <w:tab w:val="left" w:pos="567"/>
        </w:tabs>
        <w:adjustRightInd w:val="0"/>
        <w:snapToGrid w:val="0"/>
        <w:spacing w:line="560" w:lineRule="exact"/>
        <w:ind w:firstLine="640" w:firstLineChars="200"/>
        <w:rPr>
          <w:rFonts w:ascii="Times New Roman" w:hAnsi="Times New Roman" w:eastAsia="仿宋_GB2312" w:cs="仿宋_GB2312"/>
          <w:sz w:val="32"/>
        </w:rPr>
      </w:pPr>
      <w:r>
        <w:rPr>
          <w:rFonts w:hint="eastAsia" w:ascii="Times New Roman" w:hAnsi="Times New Roman" w:eastAsia="仿宋_GB2312" w:cs="仿宋_GB2312"/>
          <w:sz w:val="32"/>
        </w:rPr>
        <w:t>严格落实美丽朝阳建设实施方案，按照“十五五”时期巩固拓展美丽朝阳的总体目标，统筹高水平保护、高品质生活和高质量发展，推动消不美、绘新美、积小美、成大美，围绕朝阳区美丽经济、美丽环境、美丽空间、美丽社会和美丽制度等加快推进美丽建设重点任务，推进美丽朝阳建设取得更大成效，有力支撑美丽中国先行区建设。</w:t>
      </w:r>
    </w:p>
    <w:p w14:paraId="6F9818FF">
      <w:pPr>
        <w:pStyle w:val="36"/>
      </w:pPr>
      <w:bookmarkStart w:id="85" w:name="_Toc201598881"/>
      <w:r>
        <w:t xml:space="preserve">2. </w:t>
      </w:r>
      <w:r>
        <w:rPr>
          <w:rFonts w:hint="eastAsia"/>
        </w:rPr>
        <w:t>打造美丽城市示范标杆</w:t>
      </w:r>
      <w:bookmarkEnd w:id="85"/>
    </w:p>
    <w:p w14:paraId="3903DBE2">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作为北京市首批全面启动美丽城市建设的地区，以更高标准、更大力度全面启动美丽城市建设，打造首都美丽宜居新标杆。凝练美丽朝阳建设过程中的优秀典型案例的实践路径、创新成果、模式与经验做法，打造一批美丽河湖、美丽街区等示范样板，为美丽中国和美丽北京建设提供鲜活的生动的“美丽”典型案例。持续推进超大城市中心城区美丽城市建设率先探索、形成突破、实现引领，</w:t>
      </w:r>
      <w:bookmarkStart w:id="86" w:name="_Hlk204794110"/>
      <w:r>
        <w:rPr>
          <w:rFonts w:hint="eastAsia" w:ascii="Times New Roman" w:hAnsi="Times New Roman" w:eastAsia="仿宋_GB2312" w:cs="Times New Roman"/>
          <w:sz w:val="32"/>
        </w:rPr>
        <w:t>形成一批美丽朝阳建设标志性成果</w:t>
      </w:r>
      <w:bookmarkEnd w:id="86"/>
      <w:r>
        <w:rPr>
          <w:rFonts w:hint="eastAsia" w:ascii="Times New Roman" w:hAnsi="Times New Roman" w:eastAsia="仿宋_GB2312" w:cs="Times New Roman"/>
          <w:sz w:val="32"/>
        </w:rPr>
        <w:t>。</w:t>
      </w:r>
    </w:p>
    <w:p w14:paraId="641740A5">
      <w:pPr>
        <w:pStyle w:val="4"/>
      </w:pPr>
      <w:bookmarkStart w:id="87" w:name="_Toc208827866"/>
      <w:bookmarkStart w:id="88" w:name="_Toc201598882"/>
      <w:bookmarkStart w:id="89" w:name="_Toc233040975"/>
      <w:r>
        <w:rPr>
          <w:rFonts w:hint="eastAsia"/>
        </w:rPr>
        <w:t>（二）</w:t>
      </w:r>
      <w:bookmarkEnd w:id="87"/>
      <w:bookmarkEnd w:id="88"/>
      <w:r>
        <w:rPr>
          <w:rFonts w:hint="eastAsia"/>
        </w:rPr>
        <w:t>全面推进美丽系列建设行动</w:t>
      </w:r>
      <w:bookmarkEnd w:id="89"/>
    </w:p>
    <w:p w14:paraId="6B17E815">
      <w:pPr>
        <w:pStyle w:val="36"/>
      </w:pPr>
      <w:bookmarkStart w:id="90" w:name="_Toc201598883"/>
      <w:r>
        <w:t xml:space="preserve">1. </w:t>
      </w:r>
      <w:bookmarkStart w:id="91" w:name="OLE_LINK83"/>
      <w:r>
        <w:rPr>
          <w:rFonts w:hint="eastAsia"/>
        </w:rPr>
        <w:t>以美丽园区推动绿色低碳发展</w:t>
      </w:r>
      <w:bookmarkEnd w:id="90"/>
    </w:p>
    <w:bookmarkEnd w:id="91"/>
    <w:p w14:paraId="0F2F6E49">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利用低碳前沿创新技术以及太阳能、地热能等绿色能源，选取减排潜力较大或低碳基础较好的园区开展低碳试点示范建设，集小美于大美，以点带面推动全区绿色低碳发展。以科技园区为纽带，优化全区科技创新与产业体系统筹布局，基本建成体系完备、功能强力、多元共建、生态完善的科技百园发展格局。</w:t>
      </w:r>
    </w:p>
    <w:p w14:paraId="29A6955A">
      <w:pPr>
        <w:pStyle w:val="36"/>
      </w:pPr>
      <w:bookmarkStart w:id="92" w:name="_Toc201598884"/>
      <w:r>
        <w:t xml:space="preserve">2. </w:t>
      </w:r>
      <w:r>
        <w:rPr>
          <w:rFonts w:hint="eastAsia"/>
        </w:rPr>
        <w:t>以美丽河湖推动水生态环境修复</w:t>
      </w:r>
      <w:bookmarkEnd w:id="92"/>
    </w:p>
    <w:p w14:paraId="76BC6553">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围绕“保护—建设—管理”全链条，全面构建朝阳区美丽河湖保护、建设与管理的总体框架。以“美丽河湖”建设为统领，</w:t>
      </w:r>
      <w:bookmarkStart w:id="93" w:name="OLE_LINK86"/>
      <w:r>
        <w:rPr>
          <w:rFonts w:hint="eastAsia" w:ascii="Times New Roman" w:hAnsi="Times New Roman" w:eastAsia="仿宋_GB2312" w:cs="Times New Roman"/>
          <w:sz w:val="32"/>
        </w:rPr>
        <w:t>落实美丽河湖保护建设实施方案和重点河流、湖库美丽河湖保护建设“一河一策”措施方案。探索建立“三级技术河长制”工作模式，形成“技术</w:t>
      </w:r>
      <w:r>
        <w:rPr>
          <w:rFonts w:ascii="Times New Roman" w:hAnsi="Times New Roman" w:eastAsia="仿宋_GB2312" w:cs="Times New Roman"/>
          <w:sz w:val="32"/>
        </w:rPr>
        <w:t>+</w:t>
      </w:r>
      <w:r>
        <w:rPr>
          <w:rFonts w:hint="eastAsia" w:ascii="Times New Roman" w:hAnsi="Times New Roman" w:eastAsia="仿宋_GB2312" w:cs="Times New Roman"/>
          <w:sz w:val="32"/>
        </w:rPr>
        <w:t>行政</w:t>
      </w:r>
      <w:r>
        <w:rPr>
          <w:rFonts w:ascii="Times New Roman" w:hAnsi="Times New Roman" w:eastAsia="仿宋_GB2312" w:cs="Times New Roman"/>
          <w:sz w:val="32"/>
        </w:rPr>
        <w:t>”</w:t>
      </w:r>
      <w:r>
        <w:rPr>
          <w:rFonts w:hint="eastAsia" w:ascii="Times New Roman" w:hAnsi="Times New Roman" w:eastAsia="仿宋_GB2312" w:cs="Times New Roman"/>
          <w:sz w:val="32"/>
        </w:rPr>
        <w:t>双轮驱动治理体系。统筹推进亮马河、坝河等美丽河湖创建。</w:t>
      </w:r>
      <w:bookmarkEnd w:id="93"/>
      <w:r>
        <w:rPr>
          <w:rFonts w:hint="eastAsia" w:ascii="Times New Roman" w:hAnsi="Times New Roman" w:eastAsia="仿宋_GB2312" w:cs="Times New Roman"/>
          <w:sz w:val="32"/>
        </w:rPr>
        <w:t>到</w:t>
      </w:r>
      <w:r>
        <w:rPr>
          <w:rFonts w:ascii="Times New Roman" w:hAnsi="Times New Roman" w:eastAsia="仿宋_GB2312" w:cs="Times New Roman"/>
          <w:sz w:val="32"/>
        </w:rPr>
        <w:t>2030</w:t>
      </w:r>
      <w:r>
        <w:rPr>
          <w:rFonts w:hint="eastAsia" w:ascii="Times New Roman" w:hAnsi="Times New Roman" w:eastAsia="仿宋_GB2312" w:cs="Times New Roman"/>
          <w:sz w:val="32"/>
        </w:rPr>
        <w:t>年，美丽河湖建成率达到</w:t>
      </w:r>
      <w:r>
        <w:rPr>
          <w:rFonts w:ascii="Times New Roman" w:hAnsi="Times New Roman" w:eastAsia="仿宋_GB2312" w:cs="Times New Roman"/>
          <w:sz w:val="32"/>
        </w:rPr>
        <w:t>70%</w:t>
      </w:r>
      <w:r>
        <w:rPr>
          <w:rFonts w:hint="eastAsia" w:ascii="Times New Roman" w:hAnsi="Times New Roman" w:eastAsia="仿宋_GB2312" w:cs="Times New Roman"/>
          <w:sz w:val="32"/>
        </w:rPr>
        <w:t>以上。</w:t>
      </w:r>
    </w:p>
    <w:p w14:paraId="348813DE">
      <w:pPr>
        <w:pStyle w:val="36"/>
      </w:pPr>
      <w:bookmarkStart w:id="94" w:name="_Toc201598885"/>
      <w:r>
        <w:t xml:space="preserve">3. </w:t>
      </w:r>
      <w:bookmarkStart w:id="95" w:name="OLE_LINK84"/>
      <w:r>
        <w:rPr>
          <w:rFonts w:hint="eastAsia"/>
        </w:rPr>
        <w:t>以美丽乡村带动农村环境整治</w:t>
      </w:r>
      <w:bookmarkEnd w:id="94"/>
      <w:bookmarkEnd w:id="95"/>
    </w:p>
    <w:p w14:paraId="636F0915">
      <w:pPr>
        <w:tabs>
          <w:tab w:val="left" w:pos="567"/>
        </w:tabs>
        <w:adjustRightInd w:val="0"/>
        <w:snapToGrid w:val="0"/>
        <w:spacing w:line="560" w:lineRule="exact"/>
        <w:ind w:firstLine="640" w:firstLineChars="200"/>
        <w:rPr>
          <w:rFonts w:ascii="Times New Roman" w:hAnsi="Times New Roman" w:eastAsia="仿宋_GB2312" w:cs="Times New Roman"/>
          <w:sz w:val="32"/>
        </w:rPr>
      </w:pPr>
      <w:bookmarkStart w:id="96" w:name="OLE_LINK87"/>
      <w:r>
        <w:rPr>
          <w:rFonts w:hint="eastAsia" w:ascii="Times New Roman" w:hAnsi="Times New Roman" w:eastAsia="仿宋_GB2312" w:cs="Times New Roman"/>
          <w:sz w:val="32"/>
        </w:rPr>
        <w:t>深入学习运用“千万工程”经验，深化小鲁店、白家楼乡村振兴示范村创建。系统开展</w:t>
      </w:r>
      <w:r>
        <w:rPr>
          <w:rFonts w:ascii="Times New Roman" w:hAnsi="Times New Roman" w:eastAsia="仿宋_GB2312" w:cs="Times New Roman"/>
          <w:sz w:val="32"/>
        </w:rPr>
        <w:t>9</w:t>
      </w:r>
      <w:r>
        <w:rPr>
          <w:rFonts w:hint="eastAsia" w:ascii="Times New Roman" w:hAnsi="Times New Roman" w:eastAsia="仿宋_GB2312" w:cs="Times New Roman"/>
          <w:sz w:val="32"/>
        </w:rPr>
        <w:t>个保留村庄善治工程，挖掘特色文化风貌，改善乡村生态文明。深入开展“五边整治”</w:t>
      </w:r>
      <w:r>
        <w:rPr>
          <w:rFonts w:ascii="Times New Roman" w:hAnsi="Times New Roman" w:eastAsia="仿宋_GB2312" w:cs="Times New Roman"/>
          <w:sz w:val="32"/>
        </w:rPr>
        <w:t>专项行动，持续提升人居环境水平</w:t>
      </w:r>
      <w:r>
        <w:rPr>
          <w:rFonts w:hint="eastAsia" w:ascii="Times New Roman" w:hAnsi="Times New Roman" w:eastAsia="仿宋_GB2312" w:cs="Times New Roman"/>
          <w:sz w:val="32"/>
        </w:rPr>
        <w:t>。整区推进美丽乡村建设，提升乡村基础设施，打造一批具有浓厚乡土气息、历史韵味、生活活力和现代气息的美丽村庄朝阳名片</w:t>
      </w:r>
      <w:bookmarkEnd w:id="96"/>
      <w:r>
        <w:rPr>
          <w:rFonts w:hint="eastAsia" w:ascii="Times New Roman" w:hAnsi="Times New Roman" w:eastAsia="仿宋_GB2312" w:cs="Times New Roman"/>
          <w:sz w:val="32"/>
        </w:rPr>
        <w:t>，形成连贯的美丽乡村风景线和景观带，提升整体乡村形象和居民生活质量。</w:t>
      </w:r>
    </w:p>
    <w:p w14:paraId="35BC57E0">
      <w:pPr>
        <w:pStyle w:val="36"/>
      </w:pPr>
      <w:bookmarkStart w:id="97" w:name="_Toc201598886"/>
      <w:r>
        <w:t xml:space="preserve">4. </w:t>
      </w:r>
      <w:r>
        <w:rPr>
          <w:rFonts w:hint="eastAsia"/>
        </w:rPr>
        <w:t>以美丽街区推动城市精细化治理</w:t>
      </w:r>
      <w:bookmarkEnd w:id="97"/>
    </w:p>
    <w:p w14:paraId="1583FFC6">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试点开展美丽街区建设，推动大气治理、噪声管控、低碳社区与生态友好型建设等工作有机融合，探索制定美丽街区建设指引。着力打造以奥林匹克中心区及奥林匹克森林公园为核心的双奥特色美丽街区，以及串联亮马河、朝阳公园与蓝色港湾的滨水人文美丽街区。完善北京商务中心区（</w:t>
      </w:r>
      <w:r>
        <w:rPr>
          <w:rFonts w:ascii="Times New Roman" w:hAnsi="Times New Roman" w:eastAsia="仿宋_GB2312" w:cs="Times New Roman"/>
          <w:sz w:val="32"/>
        </w:rPr>
        <w:t>CBD</w:t>
      </w:r>
      <w:r>
        <w:rPr>
          <w:rFonts w:hint="eastAsia" w:ascii="Times New Roman" w:hAnsi="Times New Roman" w:eastAsia="仿宋_GB2312" w:cs="Times New Roman"/>
          <w:sz w:val="32"/>
        </w:rPr>
        <w:t>）等商务园区和郎园</w:t>
      </w:r>
      <w:r>
        <w:rPr>
          <w:rFonts w:ascii="Times New Roman" w:hAnsi="Times New Roman" w:eastAsia="仿宋_GB2312" w:cs="Times New Roman"/>
          <w:sz w:val="32"/>
        </w:rPr>
        <w:t>Station</w:t>
      </w:r>
      <w:r>
        <w:rPr>
          <w:rFonts w:hint="eastAsia" w:ascii="Times New Roman" w:hAnsi="Times New Roman" w:eastAsia="仿宋_GB2312" w:cs="Times New Roman"/>
          <w:sz w:val="32"/>
        </w:rPr>
        <w:t>等文创园区绿化系统，增加植被覆盖率，构建多样化的生物栖息地，提升生态功能和景观效果。推广“一园一花一品”建设方式，凸显“一路一花一叶”景观特色，围绕奥林匹克中心区精华片区、朝阳站、北小河等区域打造不少于</w:t>
      </w:r>
      <w:r>
        <w:rPr>
          <w:rFonts w:ascii="Times New Roman" w:hAnsi="Times New Roman" w:eastAsia="仿宋_GB2312" w:cs="Times New Roman"/>
          <w:sz w:val="32"/>
        </w:rPr>
        <w:t>3</w:t>
      </w:r>
      <w:r>
        <w:rPr>
          <w:rFonts w:hint="eastAsia" w:ascii="Times New Roman" w:hAnsi="Times New Roman" w:eastAsia="仿宋_GB2312" w:cs="Times New Roman"/>
          <w:sz w:val="32"/>
        </w:rPr>
        <w:t>处花园式片区。</w:t>
      </w:r>
    </w:p>
    <w:p w14:paraId="03F808C7">
      <w:pPr>
        <w:pStyle w:val="4"/>
      </w:pPr>
      <w:bookmarkStart w:id="98" w:name="_Toc233040976"/>
      <w:r>
        <w:rPr>
          <w:rFonts w:hint="eastAsia"/>
        </w:rPr>
        <w:t>（三）以督察整改护航美丽朝阳建设</w:t>
      </w:r>
      <w:bookmarkEnd w:id="98"/>
    </w:p>
    <w:p w14:paraId="5D757675">
      <w:pPr>
        <w:pStyle w:val="36"/>
      </w:pPr>
      <w:r>
        <w:t xml:space="preserve">1. </w:t>
      </w:r>
      <w:r>
        <w:rPr>
          <w:rFonts w:hint="eastAsia"/>
        </w:rPr>
        <w:t>强化督察整改闭环管理</w:t>
      </w:r>
    </w:p>
    <w:p w14:paraId="7E4E613C">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全面贯彻落实第三轮中央和市级生态环境保护督察整改要求，把抓好朝阳区生态环境保护督察整改作为重大牵引，聚焦督察发现的生态环境问题和交办的群众信访案件开展集中整治，切实解决群众身边的突出生态环境问题。健全督察整改长效管控机制，规范问题排查、台账管理、整改落实、销号验收、常态监管全流程制度，严把整改质量关口，坚决杜绝敷衍整改、虚假整改。将生态环境治理纳入领导干部离任审计，对重大生态环境破坏事件实行终身追责。</w:t>
      </w:r>
    </w:p>
    <w:p w14:paraId="1FF528DE">
      <w:pPr>
        <w:pStyle w:val="36"/>
      </w:pPr>
      <w:r>
        <w:t>2.</w:t>
      </w:r>
      <w:r>
        <w:rPr>
          <w:rFonts w:hint="eastAsia"/>
        </w:rPr>
        <w:t xml:space="preserve"> 确保问题整改见行见效</w:t>
      </w:r>
    </w:p>
    <w:p w14:paraId="1B2DA00C">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聚焦餐饮油烟管控、汽修行业治理、生活垃圾处置、施工扬尘防治、水环境治理等重点领域，常态化开展联合巡查、专项整治。坚持正面引导与反面警示相结合，系统总结推广整改成效突出的典型案例，适时通报曝光典型违法违规问题，强化警示震慑效果。畅通公众监督渠道，鼓励社会组织、广大市民参与生态环境监督，构建政府主导、企业主体、社会参与的共治共享格局。深化区域协同联动，主动融入京津冀生态环保协同发展大局，加强与周边区域大气污染联防联控、流域水环境协同治理和生态环境共建共保，统筹推进跨区域污染治理与生态保护。</w:t>
      </w:r>
    </w:p>
    <w:p w14:paraId="4061A634">
      <w:pPr>
        <w:tabs>
          <w:tab w:val="left" w:pos="567"/>
        </w:tabs>
        <w:adjustRightInd w:val="0"/>
        <w:spacing w:line="560" w:lineRule="exact"/>
        <w:rPr>
          <w:rFonts w:ascii="Times New Roman" w:hAnsi="Times New Roman" w:eastAsia="仿宋_GB2312"/>
        </w:rPr>
        <w:sectPr>
          <w:pgSz w:w="11906" w:h="16838"/>
          <w:pgMar w:top="1417" w:right="1474" w:bottom="1417" w:left="1587" w:header="851" w:footer="992" w:gutter="0"/>
          <w:cols w:space="720" w:num="1"/>
          <w:docGrid w:type="lines" w:linePitch="312" w:charSpace="0"/>
        </w:sectPr>
      </w:pPr>
    </w:p>
    <w:p w14:paraId="7D31FB6B">
      <w:pPr>
        <w:pStyle w:val="3"/>
      </w:pPr>
      <w:bookmarkStart w:id="99" w:name="_Toc233040977"/>
      <w:bookmarkStart w:id="100" w:name="_Hlk216462542"/>
      <w:r>
        <w:rPr>
          <w:rFonts w:hint="eastAsia"/>
        </w:rPr>
        <w:t>四、推动绿色低碳发展，协同推进减污降碳</w:t>
      </w:r>
      <w:bookmarkEnd w:id="99"/>
    </w:p>
    <w:p w14:paraId="0187329C">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强化源头预防和协同转型，优化能源消费结构，加快构建现代产业体系，推动企业“创绿”提级改造，攻坚重点领域节能降碳，持续深化减污降碳协同创新试点，推动经济社会发展全面绿色转型取得明显成效，</w:t>
      </w:r>
      <w:bookmarkStart w:id="101" w:name="_Hlk224053500"/>
      <w:r>
        <w:rPr>
          <w:rFonts w:hint="eastAsia" w:ascii="Times New Roman" w:hAnsi="Times New Roman" w:eastAsia="仿宋_GB2312" w:cs="Times New Roman"/>
          <w:sz w:val="32"/>
        </w:rPr>
        <w:t>积极稳妥推进和实现碳达峰</w:t>
      </w:r>
      <w:bookmarkEnd w:id="101"/>
      <w:r>
        <w:rPr>
          <w:rFonts w:hint="eastAsia" w:ascii="Times New Roman" w:hAnsi="Times New Roman" w:eastAsia="仿宋_GB2312" w:cs="Times New Roman"/>
          <w:sz w:val="32"/>
        </w:rPr>
        <w:t>，为碳中和愿景固本强基。</w:t>
      </w:r>
    </w:p>
    <w:p w14:paraId="3AAD2C2A">
      <w:pPr>
        <w:pStyle w:val="4"/>
      </w:pPr>
      <w:bookmarkStart w:id="102" w:name="_Toc233040978"/>
      <w:r>
        <w:rPr>
          <w:rFonts w:hint="eastAsia"/>
        </w:rPr>
        <w:t>（一）全面推动能源结构绿色转型</w:t>
      </w:r>
      <w:bookmarkEnd w:id="102"/>
    </w:p>
    <w:p w14:paraId="20842885">
      <w:pPr>
        <w:pStyle w:val="36"/>
      </w:pPr>
      <w:r>
        <w:t xml:space="preserve">1. </w:t>
      </w:r>
      <w:r>
        <w:rPr>
          <w:rFonts w:hint="eastAsia"/>
        </w:rPr>
        <w:t>持续控制化石能源消费总量</w:t>
      </w:r>
    </w:p>
    <w:p w14:paraId="09132C6B">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控制天然气消费总量增长，重点提高燃气热电厂生产效率。持续推进燃气行业绿色改造，推广节能用气设备应用。严格落实油改清洁能源政策，压减成品油消费量。加快实施机动车新能源化、燃气机组热电解耦、可再生能源替代等措施。鼓励低碳技术研发推广和项目建设。将节能减碳纳入专项资金支持，推动多领域协同治理。持续完善节能审查与全过程监管机制，不断提高能源利用效率。到</w:t>
      </w:r>
      <w:r>
        <w:rPr>
          <w:rFonts w:ascii="Times New Roman" w:hAnsi="Times New Roman" w:eastAsia="仿宋_GB2312" w:cs="Times New Roman"/>
          <w:sz w:val="32"/>
        </w:rPr>
        <w:t>2030</w:t>
      </w:r>
      <w:r>
        <w:rPr>
          <w:rFonts w:hint="eastAsia" w:ascii="Times New Roman" w:hAnsi="Times New Roman" w:eastAsia="仿宋_GB2312" w:cs="Times New Roman"/>
          <w:sz w:val="32"/>
        </w:rPr>
        <w:t>年，天然气消费规模达到北京市要求。</w:t>
      </w:r>
    </w:p>
    <w:p w14:paraId="3F9BBDE4">
      <w:pPr>
        <w:pStyle w:val="36"/>
      </w:pPr>
      <w:r>
        <w:t xml:space="preserve">2. </w:t>
      </w:r>
      <w:r>
        <w:rPr>
          <w:rFonts w:hint="eastAsia"/>
        </w:rPr>
        <w:t>提高非化石能源消费比重</w:t>
      </w:r>
    </w:p>
    <w:p w14:paraId="54D0B66F">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在交通枢纽、水务设施等典型应用场景建设一批光伏发电项目，加快推进</w:t>
      </w:r>
      <w:r>
        <w:rPr>
          <w:rFonts w:ascii="Times New Roman" w:hAnsi="Times New Roman" w:eastAsia="仿宋_GB2312" w:cs="Times New Roman"/>
          <w:sz w:val="32"/>
        </w:rPr>
        <w:t>CBD</w:t>
      </w:r>
      <w:r>
        <w:rPr>
          <w:rFonts w:hint="eastAsia" w:ascii="Times New Roman" w:hAnsi="Times New Roman" w:eastAsia="仿宋_GB2312" w:cs="Times New Roman"/>
          <w:sz w:val="32"/>
        </w:rPr>
        <w:t>、中关村朝阳园、金盏国际合作服务区等区域建设“光伏</w:t>
      </w:r>
      <w:r>
        <w:rPr>
          <w:rFonts w:ascii="Times New Roman" w:hAnsi="Times New Roman" w:eastAsia="仿宋_GB2312" w:cs="Times New Roman"/>
          <w:sz w:val="32"/>
        </w:rPr>
        <w:t>+</w:t>
      </w:r>
      <w:r>
        <w:rPr>
          <w:rFonts w:hint="eastAsia" w:ascii="Times New Roman" w:hAnsi="Times New Roman" w:eastAsia="仿宋_GB2312" w:cs="Times New Roman"/>
          <w:sz w:val="32"/>
        </w:rPr>
        <w:t>储能”等设施项目。促进本地可再生能源扩量提质，全面推广第五立面光伏发电和浅层地热能供暖（制冷）应用，因地制宜发展生物质能。推进源网荷储协同互动，建设新型能源基础设施，建设一批智能电网、能源互联网等新型能源基础设施，探索在条件成熟区域建立“虚拟电厂”等新型负荷系统。积极推进华能等燃气电厂“热电减耦”“热电解耦”，推动燃气锅炉由基础热源向调峰保障方向转变。大力发展地热及热泵、余热回收利用等清洁供热模式，落实禁止新建和扩建燃气独立供暖系统。推动燃气电厂、数据中心、垃圾焚烧厂等余热回收利用，建设一批再生水源热泵供暖（供冷）项目。扩大绿电消纳规模，</w:t>
      </w:r>
      <w:r>
        <w:rPr>
          <w:rFonts w:hint="eastAsia" w:ascii="Times New Roman" w:hAnsi="Times New Roman" w:eastAsia="仿宋_GB2312" w:cs="Times New Roman"/>
          <w:snapToGrid w:val="0"/>
          <w:kern w:val="0"/>
          <w:sz w:val="32"/>
          <w:szCs w:val="32"/>
        </w:rPr>
        <w:t>鼓励企业参与市场化绿电交易。</w:t>
      </w:r>
      <w:r>
        <w:rPr>
          <w:rFonts w:hint="eastAsia" w:ascii="Times New Roman" w:hAnsi="Times New Roman" w:eastAsia="仿宋_GB2312" w:cs="Times New Roman"/>
          <w:sz w:val="32"/>
        </w:rPr>
        <w:t>到</w:t>
      </w:r>
      <w:r>
        <w:rPr>
          <w:rFonts w:ascii="Times New Roman" w:hAnsi="Times New Roman" w:eastAsia="仿宋_GB2312" w:cs="Times New Roman"/>
          <w:sz w:val="32"/>
        </w:rPr>
        <w:t>2030</w:t>
      </w:r>
      <w:r>
        <w:rPr>
          <w:rFonts w:hint="eastAsia" w:ascii="Times New Roman" w:hAnsi="Times New Roman" w:eastAsia="仿宋_GB2312" w:cs="Times New Roman"/>
          <w:sz w:val="32"/>
        </w:rPr>
        <w:t>年，新建公共机构建筑和园区屋顶光伏覆盖率不低于</w:t>
      </w:r>
      <w:r>
        <w:rPr>
          <w:rFonts w:ascii="Times New Roman" w:hAnsi="Times New Roman" w:eastAsia="仿宋_GB2312" w:cs="Times New Roman"/>
          <w:sz w:val="32"/>
        </w:rPr>
        <w:t>50%</w:t>
      </w:r>
      <w:r>
        <w:rPr>
          <w:rFonts w:hint="eastAsia" w:ascii="Times New Roman" w:hAnsi="Times New Roman" w:eastAsia="仿宋_GB2312" w:cs="Times New Roman"/>
          <w:sz w:val="32"/>
        </w:rPr>
        <w:t>。</w:t>
      </w:r>
    </w:p>
    <w:p w14:paraId="65F39BA9">
      <w:pPr>
        <w:pStyle w:val="4"/>
      </w:pPr>
      <w:bookmarkStart w:id="103" w:name="_Toc233040979"/>
      <w:r>
        <w:rPr>
          <w:rFonts w:hint="eastAsia"/>
        </w:rPr>
        <w:t>（二）持续深化产业结构升级降碳</w:t>
      </w:r>
      <w:bookmarkEnd w:id="103"/>
    </w:p>
    <w:p w14:paraId="4DA78C58">
      <w:pPr>
        <w:pStyle w:val="36"/>
      </w:pPr>
      <w:r>
        <w:t>1.</w:t>
      </w:r>
      <w:r>
        <w:rPr>
          <w:rFonts w:hint="eastAsia"/>
        </w:rPr>
        <w:t xml:space="preserve"> 构建绿色现代产业体系</w:t>
      </w:r>
    </w:p>
    <w:p w14:paraId="2FBFDFAA">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持续推动产业结构转型升级。加快发展人工智能、新一代信息技术、新材料等战略性新兴产业，在朝阳区“山河湾谷”等周边区域的人工智能</w:t>
      </w:r>
      <w:r>
        <w:rPr>
          <w:rFonts w:ascii="Times New Roman" w:hAnsi="Times New Roman" w:eastAsia="仿宋_GB2312" w:cs="Times New Roman"/>
          <w:sz w:val="32"/>
        </w:rPr>
        <w:t>+</w:t>
      </w:r>
      <w:r>
        <w:rPr>
          <w:rFonts w:hint="eastAsia" w:ascii="Times New Roman" w:hAnsi="Times New Roman" w:eastAsia="仿宋_GB2312" w:cs="Times New Roman"/>
          <w:sz w:val="32"/>
        </w:rPr>
        <w:t>产业创新高地和数字经济示范区，积极培育现代化环境治理和生态保护市场主体。深入推进数字化、智能化同产业绿色化深度融合，引导存量数据中心绿色低碳改造，积极培育绿色低碳领域新产业新业态新模式。坚持做精文化，抓好数字视听、数字出版、数字文娱、游戏电竞、IP潮玩等新兴业态培育。</w:t>
      </w:r>
    </w:p>
    <w:p w14:paraId="6EF45279">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激发绿色经济发展潜能。积极对接市级相关部门和北京市绿色交易所，引导区内企业积极参与国家核证自愿减排量（</w:t>
      </w:r>
      <w:r>
        <w:rPr>
          <w:rFonts w:ascii="Times New Roman" w:hAnsi="Times New Roman" w:eastAsia="仿宋_GB2312" w:cs="Times New Roman"/>
          <w:sz w:val="32"/>
        </w:rPr>
        <w:t>CCER）交易</w:t>
      </w:r>
      <w:r>
        <w:rPr>
          <w:rFonts w:hint="eastAsia" w:ascii="Times New Roman" w:hAnsi="Times New Roman" w:eastAsia="仿宋_GB2312" w:cs="Times New Roman"/>
          <w:sz w:val="32"/>
        </w:rPr>
        <w:t>。加快发展</w:t>
      </w:r>
      <w:r>
        <w:rPr>
          <w:rFonts w:ascii="Times New Roman" w:hAnsi="Times New Roman" w:eastAsia="仿宋_GB2312" w:cs="Times New Roman"/>
          <w:sz w:val="32"/>
        </w:rPr>
        <w:t>ESG</w:t>
      </w:r>
      <w:r>
        <w:rPr>
          <w:rFonts w:hint="eastAsia" w:ascii="Times New Roman" w:hAnsi="Times New Roman" w:eastAsia="仿宋_GB2312" w:cs="Times New Roman"/>
          <w:sz w:val="32"/>
        </w:rPr>
        <w:t>咨询、评级、鉴证等专业服务，推动碳资产管理、碳核算核查、环境权益交易等业态集聚，稳步提升绿色经济重点产业收入年均增速。探索零碳园区建设路径，着力构建“场景侧”与“资源侧”高效对接的供需平台，推动打造一批具有示范效应的零碳园区。聚焦重点行业减碳需求，主动对接前沿技术资源，推动热电厂等重点领域探索应用碳捕集利用与封存（</w:t>
      </w:r>
      <w:r>
        <w:rPr>
          <w:rFonts w:ascii="Times New Roman" w:hAnsi="Times New Roman" w:eastAsia="仿宋_GB2312" w:cs="Times New Roman"/>
          <w:sz w:val="32"/>
        </w:rPr>
        <w:t>CCUS）等绿色低碳先进技术</w:t>
      </w:r>
      <w:r>
        <w:rPr>
          <w:rFonts w:hint="eastAsia" w:ascii="Times New Roman" w:hAnsi="Times New Roman" w:eastAsia="仿宋_GB2312" w:cs="Times New Roman"/>
          <w:sz w:val="32"/>
        </w:rPr>
        <w:t>，加快推动先进减碳技术的落地转化与示范推广。</w:t>
      </w:r>
    </w:p>
    <w:p w14:paraId="2E0CE45E">
      <w:pPr>
        <w:pStyle w:val="36"/>
      </w:pPr>
      <w:r>
        <w:t xml:space="preserve">2. </w:t>
      </w:r>
      <w:r>
        <w:rPr>
          <w:rFonts w:hint="eastAsia"/>
        </w:rPr>
        <w:t>推动企业“创绿”提级改造</w:t>
      </w:r>
    </w:p>
    <w:p w14:paraId="3FA1C017">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开展重点行业强制性清洁生产审核工作。鼓励混凝土搅拌站、沥青搅拌站、印刷企业、生物制药等重点企业按照绿色工厂评价通则等要求，开展各自领域的升级评定工作。积极推进混凝土搅拌站整合提升工作，从源头促进混凝土搅拌站行业绿色发展。持续推进重点行业企业绿色升级，到</w:t>
      </w:r>
      <w:r>
        <w:rPr>
          <w:rFonts w:ascii="Times New Roman" w:hAnsi="Times New Roman" w:eastAsia="仿宋_GB2312" w:cs="Times New Roman"/>
          <w:sz w:val="32"/>
        </w:rPr>
        <w:t>2030</w:t>
      </w:r>
      <w:r>
        <w:rPr>
          <w:rFonts w:hint="eastAsia" w:ascii="Times New Roman" w:hAnsi="Times New Roman" w:eastAsia="仿宋_GB2312" w:cs="Times New Roman"/>
          <w:sz w:val="32"/>
        </w:rPr>
        <w:t>年，全区绿色企业比率稳步提高。</w:t>
      </w:r>
    </w:p>
    <w:p w14:paraId="3B53194F">
      <w:pPr>
        <w:pStyle w:val="4"/>
      </w:pPr>
      <w:bookmarkStart w:id="104" w:name="_Toc233040980"/>
      <w:r>
        <w:rPr>
          <w:rFonts w:hint="eastAsia"/>
        </w:rPr>
        <w:t>（三）稳步推进重点领域低碳转型</w:t>
      </w:r>
      <w:bookmarkEnd w:id="104"/>
    </w:p>
    <w:p w14:paraId="7DFEB533">
      <w:pPr>
        <w:pStyle w:val="36"/>
      </w:pPr>
      <w:r>
        <w:t xml:space="preserve">1. </w:t>
      </w:r>
      <w:r>
        <w:rPr>
          <w:rFonts w:hint="eastAsia"/>
        </w:rPr>
        <w:t>构建绿色低碳交通体系</w:t>
      </w:r>
    </w:p>
    <w:p w14:paraId="2F7A6D00">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优化城市慢行交通系统。加快构建以轨道交通为骨干、地面公交为支撑、多种出行方式为补充，结构合理、衔接顺畅、便捷有序的综合交通体系，实现本区城市道路慢行系统整治全覆盖。倡导“骑行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公共交通”出行，持续实施互联网租赁自行车总量调控及淡旺季动态调整。开展各类公益骑行活动，培育形成以“步行和自行车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公共交通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步行和自行车”为交通链的绿色交通模式。</w:t>
      </w:r>
    </w:p>
    <w:p w14:paraId="06B45C1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完善交通基础设施建设。合理规划地铁车站、居住小区周边共享单车停车位，提高接驳轨道的便利性，增加停放设施供给。改造升级路侧设施，建设支持多元化应用的智能道路。加速推进王四营等一批加氢站项目建设。优化充换电基础设施布局，加快推进充电和加氢基础设施建设，以超充场站、统建统服及精品示范区为重点，打造高质量充电示范区。推动电动汽车充电设施网络和服务体系建设，在老旧小区改造中，同步实施停车位及充电设施电气化改造，试点应用智能配电室、移动充电等技术。</w:t>
      </w:r>
    </w:p>
    <w:p w14:paraId="503C9B17">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推进交通运输结构优化。鼓励新增和更新的出租、物流配送等行业车辆新能源化，推动公交（通勤）、环卫、出租、渣土以及市内物流、旅游等车辆基本实现纯电动或氢燃料电池汽车替代。推广“零排放”运输车队建设经验，推进企业运输车辆新能源化。推进“清洁运输先行区”建设，持续完善朝阳区“客运—冷链—工程”多领域清洁运输体系，分区域、分场景、分行业推动旅游客运、专线班车、普通货运、商超物流、混凝土搅拌车、建筑垃圾运输车等领域实现清洁化运输。</w:t>
      </w:r>
    </w:p>
    <w:p w14:paraId="4016B3EC">
      <w:pPr>
        <w:pStyle w:val="36"/>
      </w:pPr>
      <w:r>
        <w:t xml:space="preserve">2. </w:t>
      </w:r>
      <w:r>
        <w:rPr>
          <w:rFonts w:hint="eastAsia"/>
        </w:rPr>
        <w:t>大力发展绿色低碳建筑</w:t>
      </w:r>
    </w:p>
    <w:p w14:paraId="4201342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推广绿色低碳建筑。新建建筑全面执行绿色建筑二星级及以上标准，新建公共建筑全面执行绿色建筑三星级标准，推动政府性资金参与投资建设的新建大型公共建筑申请绿色建筑标识。持续推广新建建筑绿色建材应用，在政府投资工程率先采用绿色建材。推广超低能耗建筑、装配式建筑，推动政府投资的公益性建设项目如办公、养老、学校等带头实施超低能耗建筑。推广绿色低碳智慧施工技术，强化系统化集成设计、精益化生产施工、一体化装修的方式，鼓励在屋顶、幕墙等布局“光伏</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”分布式可再生能源发电。创新多元供热模式，推进供热系统节能改造，新建建筑耦合供热系统中，新能源供热装机占比原则上不低于</w:t>
      </w:r>
      <w:r>
        <w:rPr>
          <w:rFonts w:ascii="Times New Roman" w:hAnsi="Times New Roman" w:eastAsia="仿宋_GB2312" w:cs="Times New Roman"/>
          <w:sz w:val="32"/>
          <w:szCs w:val="32"/>
        </w:rPr>
        <w:t>60%</w:t>
      </w:r>
      <w:r>
        <w:rPr>
          <w:rFonts w:hint="eastAsia" w:ascii="Times New Roman" w:hAnsi="Times New Roman" w:eastAsia="仿宋_GB2312" w:cs="Times New Roman"/>
          <w:sz w:val="32"/>
          <w:szCs w:val="32"/>
        </w:rPr>
        <w:t>。</w:t>
      </w:r>
    </w:p>
    <w:p w14:paraId="433AD10D">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有序推进既有建筑绿色化改造。积极推动既有建筑节能改造，鼓励采用合同能源管理、能源费用托管等服务方式，提升既有建筑能源利用效率。提升农房绿色低碳水平，推动农村用能低碳转型，大力推进绿色低碳农房建设。优先选用建筑垃圾资源化利用产品，推进小区供热管网改造，实施智能化控制、供热资源整合、热网系统重组等措施，提升可再生能源供热比重，持续降低供热系统碳排放。提高住宅采暖、生活热水、炊事等建筑电气化普及率。</w:t>
      </w:r>
    </w:p>
    <w:p w14:paraId="4272B67D">
      <w:pPr>
        <w:pStyle w:val="36"/>
      </w:pPr>
      <w:r>
        <w:t xml:space="preserve">3. </w:t>
      </w:r>
      <w:r>
        <w:rPr>
          <w:rFonts w:hint="eastAsia"/>
        </w:rPr>
        <w:t>推广绿色低碳生活方式</w:t>
      </w:r>
    </w:p>
    <w:p w14:paraId="45CFC04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大力推进碳普惠行动。开展朝阳区商业综合体绿色低碳应用示范，引领商圈绿色低碳消费发展模式，鼓励消费者参与绿色低碳行为碳积分兑换。将碳普惠应用场景拓宽至低碳出行、低碳消费、垃圾回收与分类等领域，激发公众参与积极性。鼓励金融机构、大型企业和社会组织支持碳普惠行动。</w:t>
      </w:r>
    </w:p>
    <w:p w14:paraId="4E10996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积极宣传绿色低碳生活。提倡绿色办公，扩大政府绿色采购规模。持续开展创建低碳社区活动、创建节约型公共机构，引导企事业单位在夏季错峰用电。组织开展全国节能宣传周、全国低碳日、全国生态日、环境日等宣传活动，营造人人崇尚绿色发展、践行绿色低碳生活的社会新风尚。</w:t>
      </w:r>
    </w:p>
    <w:p w14:paraId="6DDA831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持续提升绿色产品供给水平。支持相关零售业扩大绿色产品供给，设置绿色产品销售专区，促进绿色低碳商品销售。鼓励开展“绿色低碳门店”认证，建设一批“零碳”门店和产品体验店，共建“绿色商圈”。</w:t>
      </w:r>
    </w:p>
    <w:p w14:paraId="72E43F21">
      <w:pPr>
        <w:pStyle w:val="4"/>
      </w:pPr>
      <w:bookmarkStart w:id="105" w:name="_Toc233040981"/>
      <w:r>
        <w:rPr>
          <w:rFonts w:hint="eastAsia"/>
        </w:rPr>
        <w:t>（四）加快完善应对气候变化机制</w:t>
      </w:r>
      <w:bookmarkEnd w:id="105"/>
    </w:p>
    <w:p w14:paraId="3956C84E">
      <w:pPr>
        <w:pStyle w:val="36"/>
      </w:pPr>
      <w:r>
        <w:t xml:space="preserve">1. </w:t>
      </w:r>
      <w:r>
        <w:rPr>
          <w:rFonts w:hint="eastAsia"/>
        </w:rPr>
        <w:t>健全减污降碳协同管理机制</w:t>
      </w:r>
    </w:p>
    <w:p w14:paraId="514F20CA">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强化统筹谋划、建立完善工作推进机制，细化分解各部门、重点领域、重点行业节能降碳目标任务，明确重点碳排放单位减排主体责任。严格落实碳排放总量和强度双控制度，高水平建设国家减污降碳协同创新试点，完善减污降碳协同创新保障机制、建立健全减污降碳协同评价体系等，推动全区减污降碳协同创新水平不断提升。配合北京市开展非二氧化碳温室气体排放调查，研究甲烷控制目标任务和措施，加强非二氧化碳温室气体排放管控。公开征集具有典型减污降碳协同效果的项目，突出重点行业试点示范。深化宣传推广示范，组织开展领导干部减污降碳协同增效专题培训。优化减污降碳与节能减碳专项资金管理办法，提升资金使用效能。</w:t>
      </w:r>
    </w:p>
    <w:p w14:paraId="63A9D805">
      <w:pPr>
        <w:pStyle w:val="36"/>
      </w:pPr>
      <w:r>
        <w:t xml:space="preserve">2. </w:t>
      </w:r>
      <w:r>
        <w:rPr>
          <w:rFonts w:hint="eastAsia"/>
        </w:rPr>
        <w:t>持续加强碳市场交易管理</w:t>
      </w:r>
    </w:p>
    <w:p w14:paraId="05D13493">
      <w:pPr>
        <w:adjustRightInd w:val="0"/>
        <w:snapToGrid w:val="0"/>
        <w:spacing w:line="560" w:lineRule="exact"/>
        <w:ind w:firstLine="640" w:firstLineChars="200"/>
        <w:rPr>
          <w:rFonts w:ascii="Times New Roman" w:hAnsi="Times New Roman" w:eastAsia="仿宋_GB2312"/>
          <w:szCs w:val="32"/>
        </w:rPr>
        <w:sectPr>
          <w:pgSz w:w="11906" w:h="16838"/>
          <w:pgMar w:top="1417" w:right="1474" w:bottom="1417" w:left="1587" w:header="851" w:footer="992" w:gutter="0"/>
          <w:cols w:space="720" w:num="1"/>
          <w:docGrid w:type="lines" w:linePitch="312" w:charSpace="0"/>
        </w:sectPr>
      </w:pPr>
      <w:r>
        <w:rPr>
          <w:rFonts w:hint="eastAsia" w:ascii="Times New Roman" w:hAnsi="Times New Roman" w:eastAsia="仿宋_GB2312" w:cs="Times New Roman"/>
          <w:sz w:val="32"/>
          <w:szCs w:val="32"/>
        </w:rPr>
        <w:t>组织全区重点碳排放管理单位完成温室气体排放数据报告、核查、配额清缴等工作，确定各重点行业管控目标，压实企业碳减排主体责任。积极推进碳排放预算管理制度，加强产品碳足迹管理。引导企业将“双碳”目标融入发展战略，鼓励运用合同能源管理等市场化方式，推动实施重点环节和高边际收益节能技术改造。加强温室气体排放统计核算能力建设，规范编制区级温室气体排放清单。</w:t>
      </w:r>
    </w:p>
    <w:bookmarkEnd w:id="100"/>
    <w:p w14:paraId="45DAAF70">
      <w:pPr>
        <w:pStyle w:val="3"/>
      </w:pPr>
      <w:bookmarkStart w:id="106" w:name="_Hlk172814252"/>
      <w:bookmarkEnd w:id="106"/>
      <w:bookmarkStart w:id="107" w:name="_Toc233040982"/>
      <w:bookmarkStart w:id="108" w:name="_Toc201598916"/>
      <w:bookmarkStart w:id="109" w:name="_Toc208827872"/>
      <w:r>
        <w:rPr>
          <w:rFonts w:hint="eastAsia"/>
        </w:rPr>
        <w:t>五、推动产业事业融合，打造环保产业集群</w:t>
      </w:r>
      <w:bookmarkEnd w:id="107"/>
    </w:p>
    <w:p w14:paraId="718932D4">
      <w:pPr>
        <w:tabs>
          <w:tab w:val="left" w:pos="567"/>
        </w:tabs>
        <w:adjustRightInd w:val="0"/>
        <w:snapToGrid w:val="0"/>
        <w:spacing w:line="560" w:lineRule="exact"/>
        <w:ind w:firstLine="640" w:firstLineChars="200"/>
        <w:rPr>
          <w:rFonts w:ascii="仿宋_GB2312" w:eastAsia="仿宋_GB2312" w:cs="Times New Roman"/>
          <w:sz w:val="32"/>
        </w:rPr>
      </w:pPr>
      <w:r>
        <w:rPr>
          <w:rFonts w:hint="eastAsia" w:ascii="仿宋_GB2312" w:eastAsia="仿宋_GB2312" w:cs="Times New Roman"/>
          <w:sz w:val="32"/>
        </w:rPr>
        <w:t>推动产业和事业发展深度融合，培育壮大一批创新能力强的环境治理和生态保护企业，打造数智环保产业发展集群，推进“科技百园”聚链成群、集群成势，深化绿色发展国际化合作。</w:t>
      </w:r>
    </w:p>
    <w:p w14:paraId="376FD25F">
      <w:pPr>
        <w:pStyle w:val="4"/>
      </w:pPr>
      <w:bookmarkStart w:id="110" w:name="_Toc233040983"/>
      <w:r>
        <w:rPr>
          <w:rFonts w:hint="eastAsia"/>
        </w:rPr>
        <w:t>（一）大力发展绿色环保产业</w:t>
      </w:r>
      <w:bookmarkEnd w:id="110"/>
    </w:p>
    <w:p w14:paraId="57E65AF4">
      <w:pPr>
        <w:pStyle w:val="36"/>
      </w:pPr>
      <w:r>
        <w:rPr>
          <w:rFonts w:hint="eastAsia"/>
        </w:rPr>
        <w:t>1</w:t>
      </w:r>
      <w:r>
        <w:t xml:space="preserve">. </w:t>
      </w:r>
      <w:r>
        <w:rPr>
          <w:rFonts w:hint="eastAsia"/>
        </w:rPr>
        <w:t>大力推动国际数智环保创新</w:t>
      </w:r>
    </w:p>
    <w:p w14:paraId="3B3C37AE">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以</w:t>
      </w:r>
      <w:r>
        <w:rPr>
          <w:rFonts w:ascii="Times New Roman" w:hAnsi="Times New Roman" w:eastAsia="仿宋_GB2312" w:cs="Times New Roman"/>
          <w:sz w:val="32"/>
        </w:rPr>
        <w:t>CBD</w:t>
      </w:r>
      <w:r>
        <w:rPr>
          <w:rFonts w:hint="eastAsia" w:ascii="Times New Roman" w:hAnsi="Times New Roman" w:eastAsia="仿宋_GB2312" w:cs="Times New Roman"/>
          <w:sz w:val="32"/>
        </w:rPr>
        <w:t>为核心，构筑国际数智环保创新之核，全面提升数智环保的国际影响力与全球竞争力。以中关村朝阳园电子城片区和健翔园片区为关键节点，打造北部国际数智环保技术创新带，推动数智环保领域颠覆性技术、关键核心技术和重大共性技术的原始创新与转移转化。以朝阳循环经济产业园为重点，打造东部国际循环经济创新带，推动绿色低碳与循环经济融合创新。依托山河湾谷创新区，打造南部国际数智环保产业创新带，持续推动高校院所绿色技术创新成果转化落地。培育壮大一批创新能力强的环境治理和生态保护企业，引导能源电力、污水处理、垃圾分类及资源回收等领域开展技术革新及成果推广。</w:t>
      </w:r>
    </w:p>
    <w:p w14:paraId="1030DD6A">
      <w:pPr>
        <w:pStyle w:val="36"/>
      </w:pPr>
      <w:r>
        <w:rPr>
          <w:rFonts w:hint="eastAsia"/>
        </w:rPr>
        <w:t>2</w:t>
      </w:r>
      <w:r>
        <w:t xml:space="preserve">. </w:t>
      </w:r>
      <w:r>
        <w:rPr>
          <w:rFonts w:hint="eastAsia"/>
        </w:rPr>
        <w:t>拓展数智环保产业场景新生态</w:t>
      </w:r>
    </w:p>
    <w:p w14:paraId="3DAADEC2">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系统梳理环保产业发展现状，前瞻谋划产业发展路径，编制形成《朝阳区数智环保产业创新发展白皮书》，明确产业发展方向与实施蓝图。重点聚焦数智环境治理、数智资源循环利用、数智环卫管理、数智生态保护、数智绿色低碳、新型专业服务业等六大关键领域，深化数字技术与绿色技术的融合应用，拓展智慧监测预警、废弃物智能分拣、碳足迹追踪、环境污染溯源、能源智慧管理等多元化应用场景，积极打造相互赋能、融合共生的数智环保产业新生态，引导产业发展重点从传统的“末端治理”向覆盖全生命周期的“全过程智能调控”与“精细化源头管理”转型。</w:t>
      </w:r>
    </w:p>
    <w:p w14:paraId="5F309B9B">
      <w:pPr>
        <w:pStyle w:val="36"/>
      </w:pPr>
      <w:r>
        <w:rPr>
          <w:rFonts w:hint="eastAsia"/>
        </w:rPr>
        <w:t>3</w:t>
      </w:r>
      <w:r>
        <w:t xml:space="preserve">. </w:t>
      </w:r>
      <w:r>
        <w:rPr>
          <w:rFonts w:hint="eastAsia"/>
        </w:rPr>
        <w:t>加大生态环保产业政策支持</w:t>
      </w:r>
    </w:p>
    <w:p w14:paraId="66CE6F0F">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研究制定环保企业数智化转型支持政策，强化标准、人才、产融等政策保障，形成转型推进合力。持续优化小微企业创新创业环境，加大普惠式政策支持力度，培育产业成长梯队。推动绿色金融发展，引导金融机构加大对数智生态环保项目支持力度。加快引进一批数智环保国际领军人才，择优选聘一批“朝阳区数智环保合伙人”。强化“凤凰计划”等人才专项政策与科技、产业政策的叠加效应，加大对数智环保国际高端人才创新创业的支持力度。</w:t>
      </w:r>
    </w:p>
    <w:p w14:paraId="188785EB">
      <w:pPr>
        <w:pStyle w:val="4"/>
      </w:pPr>
      <w:bookmarkStart w:id="111" w:name="_Toc233040984"/>
      <w:r>
        <w:rPr>
          <w:rFonts w:hint="eastAsia"/>
        </w:rPr>
        <w:t>（二）推进“科技百园”建设行动</w:t>
      </w:r>
      <w:bookmarkEnd w:id="111"/>
    </w:p>
    <w:p w14:paraId="22293854">
      <w:pPr>
        <w:pStyle w:val="36"/>
      </w:pPr>
      <w:r>
        <w:rPr>
          <w:rFonts w:hint="eastAsia"/>
        </w:rPr>
        <w:t>1</w:t>
      </w:r>
      <w:r>
        <w:t xml:space="preserve">. </w:t>
      </w:r>
      <w:r>
        <w:rPr>
          <w:rFonts w:hint="eastAsia"/>
        </w:rPr>
        <w:t>主动对接央国企龙头资源</w:t>
      </w:r>
    </w:p>
    <w:p w14:paraId="2262AB96">
      <w:pPr>
        <w:tabs>
          <w:tab w:val="left" w:pos="567"/>
        </w:tabs>
        <w:adjustRightInd w:val="0"/>
        <w:snapToGrid w:val="0"/>
        <w:spacing w:line="560" w:lineRule="exact"/>
        <w:ind w:firstLine="640" w:firstLineChars="200"/>
        <w:rPr>
          <w:rFonts w:eastAsia="仿宋" w:cs="Times New Roman"/>
          <w:sz w:val="32"/>
        </w:rPr>
      </w:pPr>
      <w:r>
        <w:rPr>
          <w:rFonts w:hint="eastAsia" w:ascii="Times New Roman" w:hAnsi="Times New Roman" w:eastAsia="仿宋_GB2312" w:cs="Times New Roman"/>
          <w:sz w:val="32"/>
        </w:rPr>
        <w:t>紧扣数字经济、绿色低碳、高端制造等朝阳重点发展领域，吸引各类优质企业总部及功能性机构集聚发展。聚焦清洁能源替代、工业节能改造、环保治理技术研发等方向开展合作，共同打造绿色低碳示范项目。</w:t>
      </w:r>
    </w:p>
    <w:p w14:paraId="3E5D4E64">
      <w:pPr>
        <w:pStyle w:val="36"/>
      </w:pPr>
      <w:r>
        <w:t xml:space="preserve">2. </w:t>
      </w:r>
      <w:r>
        <w:rPr>
          <w:rFonts w:hint="eastAsia"/>
        </w:rPr>
        <w:t>打造绿色生态</w:t>
      </w:r>
      <w:r>
        <w:t>+</w:t>
      </w:r>
      <w:r>
        <w:rPr>
          <w:rFonts w:hint="eastAsia"/>
        </w:rPr>
        <w:t>科技园</w:t>
      </w:r>
    </w:p>
    <w:p w14:paraId="1C953550">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聚焦生态环境智能监测赛道，打造生态环境智能监测创新园。聚焦碳捕集利用与封存赛道，打造</w:t>
      </w:r>
      <w:r>
        <w:rPr>
          <w:rFonts w:ascii="Times New Roman" w:hAnsi="Times New Roman" w:eastAsia="仿宋_GB2312" w:cs="Times New Roman"/>
          <w:sz w:val="32"/>
        </w:rPr>
        <w:t>CCUS</w:t>
      </w:r>
      <w:r>
        <w:rPr>
          <w:rFonts w:hint="eastAsia" w:ascii="Times New Roman" w:hAnsi="Times New Roman" w:eastAsia="仿宋_GB2312" w:cs="Times New Roman"/>
          <w:sz w:val="32"/>
        </w:rPr>
        <w:t>技术创新与产业化示范基地。聚焦再生资源循环利用赛道，围绕余热利用、</w:t>
      </w:r>
      <w:r>
        <w:rPr>
          <w:rFonts w:ascii="Times New Roman" w:hAnsi="Times New Roman" w:eastAsia="仿宋_GB2312" w:cs="Times New Roman"/>
          <w:sz w:val="32"/>
        </w:rPr>
        <w:t>AI</w:t>
      </w:r>
      <w:r>
        <w:rPr>
          <w:rFonts w:hint="eastAsia" w:ascii="Times New Roman" w:hAnsi="Times New Roman" w:eastAsia="仿宋_GB2312" w:cs="Times New Roman"/>
          <w:sz w:val="32"/>
        </w:rPr>
        <w:t>智能焚烧、减污降碳等领域，提升北京朝阳环境集团运营服务水平，拓展循环经济产业园带动辐射作用，以技术研究与示范应用驱动产业绿色转型。在人工智能、能源智控等领域培育一批专业园区，面向未来空间、数字能源等重点产业细分赛道打造</w:t>
      </w:r>
      <w:r>
        <w:rPr>
          <w:rFonts w:ascii="Times New Roman" w:hAnsi="Times New Roman" w:eastAsia="仿宋_GB2312" w:cs="Times New Roman"/>
          <w:sz w:val="32"/>
        </w:rPr>
        <w:t>一批育新基地和未来产业创新中心</w:t>
      </w:r>
      <w:r>
        <w:rPr>
          <w:rFonts w:hint="eastAsia" w:ascii="Times New Roman" w:hAnsi="Times New Roman" w:eastAsia="仿宋_GB2312" w:cs="Times New Roman"/>
          <w:sz w:val="32"/>
        </w:rPr>
        <w:t>。</w:t>
      </w:r>
    </w:p>
    <w:p w14:paraId="232AEF84">
      <w:pPr>
        <w:pStyle w:val="4"/>
      </w:pPr>
      <w:bookmarkStart w:id="112" w:name="_Toc233040985"/>
      <w:r>
        <w:rPr>
          <w:rFonts w:hint="eastAsia"/>
        </w:rPr>
        <w:t>（三）深化绿色发展国际化合作</w:t>
      </w:r>
      <w:bookmarkEnd w:id="112"/>
    </w:p>
    <w:p w14:paraId="4133704C">
      <w:pPr>
        <w:pStyle w:val="36"/>
      </w:pPr>
      <w:r>
        <w:rPr>
          <w:rFonts w:hint="eastAsia"/>
        </w:rPr>
        <w:t>1</w:t>
      </w:r>
      <w:r>
        <w:t xml:space="preserve">. </w:t>
      </w:r>
      <w:r>
        <w:rPr>
          <w:rFonts w:hint="eastAsia"/>
        </w:rPr>
        <w:t>深化绿色合作推动企业绿色出海</w:t>
      </w:r>
    </w:p>
    <w:p w14:paraId="6D67E92D">
      <w:pPr>
        <w:adjustRightInd w:val="0"/>
        <w:snapToGrid w:val="0"/>
        <w:spacing w:line="56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充分发挥欧盟创新中心等平台作用，推动其与我区重点企业建立常态化对接机制，协助有需求的区内企业对标欧盟标准开展</w:t>
      </w:r>
      <w:r>
        <w:rPr>
          <w:rFonts w:ascii="Times New Roman" w:hAnsi="Times New Roman" w:eastAsia="仿宋_GB2312" w:cs="Times New Roman"/>
          <w:sz w:val="32"/>
          <w:szCs w:val="32"/>
        </w:rPr>
        <w:t>NG</w:t>
      </w:r>
      <w:r>
        <w:rPr>
          <w:rFonts w:hint="eastAsia" w:ascii="Times New Roman" w:hAnsi="Times New Roman" w:eastAsia="仿宋_GB2312" w:cs="Times New Roman"/>
          <w:sz w:val="32"/>
          <w:szCs w:val="32"/>
        </w:rPr>
        <w:t>认证，助力企业出海，提升产品与服务的国际市场竞争力。</w:t>
      </w:r>
    </w:p>
    <w:p w14:paraId="46694DD2">
      <w:pPr>
        <w:pStyle w:val="36"/>
      </w:pPr>
      <w:r>
        <w:rPr>
          <w:rFonts w:hint="eastAsia"/>
        </w:rPr>
        <w:t>2</w:t>
      </w:r>
      <w:r>
        <w:t xml:space="preserve">. </w:t>
      </w:r>
      <w:r>
        <w:rPr>
          <w:rFonts w:hint="eastAsia"/>
        </w:rPr>
        <w:t>搭建高端平台扩大朝阳国际影响力</w:t>
      </w:r>
    </w:p>
    <w:p w14:paraId="50DB4F79">
      <w:pPr>
        <w:adjustRightInd w:val="0"/>
        <w:snapToGrid w:val="0"/>
        <w:spacing w:line="56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深耕“北京</w:t>
      </w:r>
      <w:r>
        <w:rPr>
          <w:rFonts w:ascii="Times New Roman" w:hAnsi="Times New Roman" w:eastAsia="仿宋_GB2312" w:cs="Times New Roman"/>
          <w:sz w:val="32"/>
          <w:szCs w:val="32"/>
        </w:rPr>
        <w:t>CBD</w:t>
      </w:r>
      <w:r>
        <w:rPr>
          <w:rFonts w:hint="eastAsia" w:ascii="Times New Roman" w:hAnsi="Times New Roman" w:eastAsia="仿宋_GB2312" w:cs="Times New Roman"/>
          <w:sz w:val="32"/>
          <w:szCs w:val="32"/>
        </w:rPr>
        <w:t>论坛”“北京国际大都市清洁空气与气候行动论坛”等既有品牌，同时高质量举办“朝阳区美丽朝阳圆桌会议”，通过常态化发声展示我区在绿色低碳、环境治理等领域的实践成果，打造具有朝阳辨识度的国际交流</w:t>
      </w:r>
      <w:r>
        <w:rPr>
          <w:rFonts w:ascii="Times New Roman" w:hAnsi="Times New Roman" w:eastAsia="仿宋_GB2312" w:cs="Times New Roman"/>
          <w:sz w:val="32"/>
          <w:szCs w:val="32"/>
        </w:rPr>
        <w:t>IP</w:t>
      </w:r>
      <w:r>
        <w:rPr>
          <w:rFonts w:hint="eastAsia" w:ascii="Times New Roman" w:hAnsi="Times New Roman" w:eastAsia="仿宋_GB2312" w:cs="Times New Roman"/>
          <w:sz w:val="32"/>
          <w:szCs w:val="32"/>
        </w:rPr>
        <w:t>，不断放大“与世界共朝阳”的品牌声量。</w:t>
      </w:r>
    </w:p>
    <w:p w14:paraId="0884BB2A">
      <w:pPr>
        <w:pStyle w:val="36"/>
      </w:pPr>
      <w:r>
        <w:rPr>
          <w:rFonts w:hint="eastAsia"/>
        </w:rPr>
        <w:t>3</w:t>
      </w:r>
      <w:r>
        <w:t xml:space="preserve">. </w:t>
      </w:r>
      <w:r>
        <w:rPr>
          <w:rFonts w:hint="eastAsia"/>
        </w:rPr>
        <w:t>依托数智联合体推动实践成果走出去</w:t>
      </w:r>
    </w:p>
    <w:p w14:paraId="670CE47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依托由朝阳区政府牵头，联合中国环境科学研究院、中国环境保护产业协会及多家头部企业，共同组建的“</w:t>
      </w:r>
      <w:r>
        <w:rPr>
          <w:rFonts w:ascii="Times New Roman" w:hAnsi="Times New Roman" w:eastAsia="仿宋_GB2312" w:cs="Times New Roman"/>
          <w:sz w:val="32"/>
          <w:szCs w:val="32"/>
        </w:rPr>
        <w:t>3+N</w:t>
      </w:r>
      <w:r>
        <w:rPr>
          <w:rFonts w:hint="eastAsia" w:ascii="Times New Roman" w:hAnsi="Times New Roman" w:eastAsia="仿宋_GB2312" w:cs="Times New Roman"/>
          <w:sz w:val="32"/>
          <w:szCs w:val="32"/>
        </w:rPr>
        <w:t>”朝阳数智环保产业发展联合体，跟踪推进城市废弃物园区化协同处理等项目，为技术合作与项目输出创造条件，支持其参与国际竞标、开展海外技术咨询。</w:t>
      </w:r>
    </w:p>
    <w:p w14:paraId="74A4A701">
      <w:pPr>
        <w:adjustRightInd w:val="0"/>
        <w:snapToGrid w:val="0"/>
        <w:spacing w:line="560" w:lineRule="exact"/>
        <w:rPr>
          <w:rFonts w:ascii="Times New Roman" w:hAnsi="Times New Roman" w:eastAsia="仿宋_GB2312" w:cs="Times New Roman"/>
          <w:szCs w:val="32"/>
        </w:rPr>
      </w:pPr>
    </w:p>
    <w:p w14:paraId="6BA7B70A">
      <w:pPr>
        <w:adjustRightInd w:val="0"/>
        <w:snapToGrid w:val="0"/>
        <w:spacing w:line="560" w:lineRule="exact"/>
        <w:rPr>
          <w:rFonts w:ascii="Times New Roman" w:hAnsi="Times New Roman" w:eastAsia="仿宋_GB2312"/>
          <w:szCs w:val="32"/>
        </w:rPr>
        <w:sectPr>
          <w:pgSz w:w="11906" w:h="16838"/>
          <w:pgMar w:top="1417" w:right="1474" w:bottom="1417" w:left="1587" w:header="851" w:footer="992" w:gutter="0"/>
          <w:cols w:space="720" w:num="1"/>
          <w:docGrid w:type="lines" w:linePitch="312" w:charSpace="0"/>
        </w:sectPr>
      </w:pPr>
    </w:p>
    <w:p w14:paraId="1C25E735">
      <w:pPr>
        <w:pStyle w:val="3"/>
      </w:pPr>
      <w:bookmarkStart w:id="113" w:name="_Toc233040986"/>
      <w:r>
        <w:rPr>
          <w:rFonts w:hint="eastAsia"/>
        </w:rPr>
        <w:t>六、</w:t>
      </w:r>
      <w:bookmarkEnd w:id="108"/>
      <w:bookmarkStart w:id="114" w:name="OLE_LINK52"/>
      <w:r>
        <w:rPr>
          <w:rFonts w:hint="eastAsia"/>
        </w:rPr>
        <w:t>持续深入污染防治，全面改善环境质量</w:t>
      </w:r>
      <w:bookmarkEnd w:id="109"/>
      <w:bookmarkEnd w:id="113"/>
    </w:p>
    <w:bookmarkEnd w:id="114"/>
    <w:p w14:paraId="7523975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以更高标准深入打好蓝天、碧水、净土保卫战，巩固拓展污染防治攻坚战成效，实施噪声污染防治，突出环境污染问题得到有效解决，实现生态环境全面改善。</w:t>
      </w:r>
    </w:p>
    <w:p w14:paraId="7172FD69">
      <w:pPr>
        <w:pStyle w:val="4"/>
      </w:pPr>
      <w:bookmarkStart w:id="115" w:name="_Toc233040987"/>
      <w:r>
        <w:rPr>
          <w:rFonts w:hint="eastAsia"/>
        </w:rPr>
        <w:t>（一）深化“0</w:t>
      </w:r>
      <w:r>
        <w:t>.1</w:t>
      </w:r>
      <w:r>
        <w:rPr>
          <w:rFonts w:hint="eastAsia"/>
        </w:rPr>
        <w:t>微克”攻坚</w:t>
      </w:r>
      <w:bookmarkEnd w:id="115"/>
    </w:p>
    <w:p w14:paraId="6370A68B">
      <w:pPr>
        <w:pStyle w:val="36"/>
      </w:pPr>
      <w:r>
        <w:t xml:space="preserve">1. </w:t>
      </w:r>
      <w:r>
        <w:rPr>
          <w:rFonts w:hint="eastAsia"/>
        </w:rPr>
        <w:t>推进车（械）结构减排</w:t>
      </w:r>
    </w:p>
    <w:p w14:paraId="73B21702">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优化在用车（械）结构。实施小客车以旧换新补贴政策，加快推动老旧机动车淘汰更新，全部淘汰国四及以下排放标准营运柴油货车。优化非道路移动机械结构，重点行业企业、产业园区、施工工地等新增或更新的内部车辆和非道路移动机械原则上采用新能源。加快淘汰国二及以下排放标准非道路移动机械，混凝土搅拌站、沥青混合料搅拌站、建筑垃圾资源化处理企业等厂内使用的叉车、装载机等机械基本实现新能源化。严格实施新生产非道路移动机械排</w:t>
      </w:r>
      <w:r>
        <w:rPr>
          <w:rFonts w:ascii="Times New Roman" w:hAnsi="Times New Roman" w:eastAsia="仿宋_GB2312" w:cs="Times New Roman"/>
          <w:sz w:val="32"/>
          <w:szCs w:val="32"/>
        </w:rPr>
        <w:t>放标准，落实编码登记和进出场登记管理制度。</w:t>
      </w:r>
      <w:r>
        <w:rPr>
          <w:rFonts w:hint="eastAsia" w:ascii="Times New Roman" w:hAnsi="Times New Roman" w:eastAsia="仿宋_GB2312" w:cs="Times New Roman"/>
          <w:sz w:val="32"/>
          <w:szCs w:val="32"/>
        </w:rPr>
        <w:t>到</w:t>
      </w:r>
      <w:r>
        <w:rPr>
          <w:rFonts w:ascii="Times New Roman" w:hAnsi="Times New Roman" w:eastAsia="仿宋_GB2312" w:cs="Times New Roman"/>
          <w:sz w:val="32"/>
          <w:szCs w:val="32"/>
        </w:rPr>
        <w:t>2030年，非道路移动机械新能源化率进一步提升。</w:t>
      </w:r>
    </w:p>
    <w:p w14:paraId="122992E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强化移动源排放执法监管。严格执行车用油品质量标准，全面清理整顿无证无照或证照不全的自建油罐、流动加油车和黑加油站点。强化在用车排放检验和维修治理，推进汽车排放检验与维护（</w:t>
      </w:r>
      <w:r>
        <w:rPr>
          <w:rFonts w:ascii="Times New Roman" w:hAnsi="Times New Roman" w:eastAsia="仿宋_GB2312" w:cs="Times New Roman"/>
          <w:sz w:val="32"/>
          <w:szCs w:val="32"/>
        </w:rPr>
        <w:t>I/M</w:t>
      </w:r>
      <w:r>
        <w:rPr>
          <w:rFonts w:hint="eastAsia" w:ascii="Times New Roman" w:hAnsi="Times New Roman" w:eastAsia="仿宋_GB2312" w:cs="Times New Roman"/>
          <w:sz w:val="32"/>
          <w:szCs w:val="32"/>
        </w:rPr>
        <w:t>）制度，完善“天地车人”一体化的机动车排放监控系统建设和应用。聚焦区内重点道路、重点行业、车辆集中停放区，加强在用车监管执法和非道路移动机械综合管控。</w:t>
      </w:r>
    </w:p>
    <w:p w14:paraId="5FF46B9F">
      <w:pPr>
        <w:pStyle w:val="36"/>
      </w:pPr>
      <w:r>
        <w:t xml:space="preserve">2. </w:t>
      </w:r>
      <w:r>
        <w:rPr>
          <w:rFonts w:hint="eastAsia"/>
        </w:rPr>
        <w:t>推动重点行业工程减排</w:t>
      </w:r>
    </w:p>
    <w:p w14:paraId="3ED1A135">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深化重点行业治理。推广汽修企业精细化治理经验，组织企业围绕机修、打磨、调漆、喷烤漆、治污设施、危废等典型问题进行规范提升。加快推进汽修行业创绿升级，构建汽修行业“监测</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研判</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帮扶</w:t>
      </w:r>
      <w:r>
        <w:rPr>
          <w:rFonts w:ascii="Times New Roman" w:hAnsi="Times New Roman" w:eastAsia="仿宋_GB2312" w:cs="Times New Roman"/>
          <w:sz w:val="32"/>
          <w:szCs w:val="32"/>
        </w:rPr>
        <w:t>”AI</w:t>
      </w:r>
      <w:r>
        <w:rPr>
          <w:rFonts w:hint="eastAsia" w:ascii="Times New Roman" w:hAnsi="Times New Roman" w:eastAsia="仿宋_GB2312" w:cs="Times New Roman"/>
          <w:sz w:val="32"/>
          <w:szCs w:val="32"/>
        </w:rPr>
        <w:t>智慧监管新模式，实施以来广营、平房等汽修企业集群为重点的综合整治提升。持续推进绿色共享钣喷中心提升改造，辐射周边区域汽修产业转型。开展锅炉企业深度治理，推进燃气锅炉提标改造及创绿提级。积极推广使用高效油烟净化设备，健全餐饮油烟在线监控平台，整体提高餐饮行业规范化、现代化、精细化管理水平。</w:t>
      </w:r>
    </w:p>
    <w:p w14:paraId="0B223E0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推进</w:t>
      </w:r>
      <w:r>
        <w:rPr>
          <w:rFonts w:ascii="Times New Roman" w:hAnsi="Times New Roman" w:eastAsia="仿宋_GB2312" w:cs="Times New Roman"/>
          <w:sz w:val="32"/>
          <w:szCs w:val="32"/>
        </w:rPr>
        <w:t>VOCs</w:t>
      </w:r>
      <w:r>
        <w:rPr>
          <w:rFonts w:hint="eastAsia" w:ascii="Times New Roman" w:hAnsi="Times New Roman" w:eastAsia="仿宋_GB2312" w:cs="Times New Roman"/>
          <w:sz w:val="32"/>
          <w:szCs w:val="32"/>
        </w:rPr>
        <w:t>源头管控。大力推进低</w:t>
      </w:r>
      <w:r>
        <w:rPr>
          <w:rFonts w:ascii="Times New Roman" w:hAnsi="Times New Roman" w:eastAsia="仿宋_GB2312" w:cs="Times New Roman"/>
          <w:sz w:val="32"/>
          <w:szCs w:val="32"/>
        </w:rPr>
        <w:t>VOCs</w:t>
      </w:r>
      <w:r>
        <w:rPr>
          <w:rFonts w:hint="eastAsia" w:ascii="Times New Roman" w:hAnsi="Times New Roman" w:eastAsia="仿宋_GB2312" w:cs="Times New Roman"/>
          <w:sz w:val="32"/>
          <w:szCs w:val="32"/>
        </w:rPr>
        <w:t>原辅材料源头替代，涂装作业等工序推广使用水性涂料和低</w:t>
      </w:r>
      <w:r>
        <w:rPr>
          <w:rFonts w:ascii="Times New Roman" w:hAnsi="Times New Roman" w:eastAsia="仿宋_GB2312" w:cs="Times New Roman"/>
          <w:sz w:val="32"/>
          <w:szCs w:val="32"/>
        </w:rPr>
        <w:t>VOCs</w:t>
      </w:r>
      <w:r>
        <w:rPr>
          <w:rFonts w:hint="eastAsia" w:ascii="Times New Roman" w:hAnsi="Times New Roman" w:eastAsia="仿宋_GB2312" w:cs="Times New Roman"/>
          <w:sz w:val="32"/>
          <w:szCs w:val="32"/>
        </w:rPr>
        <w:t>含量胶粘剂。推动新建公路和城市道路基本应用温拌沥青，道路养护项目逐步提升温拌沥青使用比例。落实印刷行业低</w:t>
      </w:r>
      <w:r>
        <w:rPr>
          <w:rFonts w:ascii="Times New Roman" w:hAnsi="Times New Roman" w:eastAsia="仿宋_GB2312" w:cs="Times New Roman"/>
          <w:sz w:val="32"/>
          <w:szCs w:val="32"/>
        </w:rPr>
        <w:t>VOCs</w:t>
      </w:r>
      <w:r>
        <w:rPr>
          <w:rFonts w:hint="eastAsia" w:ascii="Times New Roman" w:hAnsi="Times New Roman" w:eastAsia="仿宋_GB2312" w:cs="Times New Roman"/>
          <w:sz w:val="32"/>
          <w:szCs w:val="32"/>
        </w:rPr>
        <w:t>物料源头替代情形下末端治理设施适应性试点政策，开展报刊印刷行业源头管控工作试点。推动干洗行业绿色升级，探索推进全封闭式干洗设备更新。</w:t>
      </w:r>
    </w:p>
    <w:p w14:paraId="3BB363B9">
      <w:pPr>
        <w:pStyle w:val="36"/>
      </w:pPr>
      <w:r>
        <w:t xml:space="preserve">3. </w:t>
      </w:r>
      <w:r>
        <w:rPr>
          <w:rFonts w:hint="eastAsia"/>
        </w:rPr>
        <w:t>强化城市扬尘管理减排</w:t>
      </w:r>
    </w:p>
    <w:p w14:paraId="6C05725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严格落实精细化管控责任。开展扬尘专项治理百日攻坚行动，围绕施工扬尘、道路扬尘、裸地扬尘、外来沙尘等，加强“四尘”共治，提高城市精细化管理水平，推动各街乡道路、各行业工地（场站）出入口道路尘负荷提级改善。按照街乡大气污染防治标准化工作要求，以一级严控区街道为重点，严格街乡管控责任，加强工地、道路、裸地及重点行业监管。</w:t>
      </w:r>
    </w:p>
    <w:p w14:paraId="280168E6">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施工扬尘管控。提升施工工地绿色施工水平，落实绿色施工扬尘管控要求，开展工地（场站）出入口规范管理专项行动。在重点区域推广施工工地基坑气膜等新技术，原则上符合基坑气膜使用标准的新建工程，推荐使用基坑气膜。优化完善施工扬尘视频监管、建筑垃圾运输车辆管理、交通管理等系统平台功能，实现智能化全流程监管。</w:t>
      </w:r>
    </w:p>
    <w:p w14:paraId="592216F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严控道路扬尘污染。提升道路清扫保洁水平，推进机械化、精细化深度保洁，探索清扫保洁差别化作业，推广背街小巷机械化作业。持续开展道路“升优”专项行动，实现差等级道路动态消除，加强差等级道路追根溯源，实现从发现问题到追溯源头全链条管理。</w:t>
      </w:r>
    </w:p>
    <w:p w14:paraId="0BD90D8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裸地扬尘治理。完善辖区内各类裸地台账，因地制宜、分类施策，采取绿化、生物覆盖、有效苫盖、硬化等措施开展裸地治理。深入推进“揭网见绿”专项行动，有序推进分类揭网、多元见绿。开展裸地动态排查治理，确保动态整治清零。</w:t>
      </w:r>
    </w:p>
    <w:p w14:paraId="20E7D1AD">
      <w:pPr>
        <w:pStyle w:val="36"/>
      </w:pPr>
      <w:r>
        <w:t xml:space="preserve">4. </w:t>
      </w:r>
      <w:r>
        <w:rPr>
          <w:rFonts w:hint="eastAsia"/>
        </w:rPr>
        <w:t>加强重点区域联动协作</w:t>
      </w:r>
    </w:p>
    <w:p w14:paraId="78639C15">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用好重点区域联控联动机制和联合督导机制，针对乡域交界及跨区交界环境污染问题加强联合检查、联动治理。协同落实京津冀大气污染防治联防联控工作，加强区域间协同监管、重污染天气联合应对和重大活动空气质量保障，基本消除重污染天气，共同开展夏季挥发性有机物治理和秋冬季大气污染综合治理攻坚行动。</w:t>
      </w:r>
    </w:p>
    <w:p w14:paraId="2067C159">
      <w:pPr>
        <w:pStyle w:val="4"/>
      </w:pPr>
      <w:bookmarkStart w:id="116" w:name="_Toc233040988"/>
      <w:bookmarkStart w:id="117" w:name="_Toc208827874"/>
      <w:bookmarkStart w:id="118" w:name="_Toc201598922"/>
      <w:r>
        <w:rPr>
          <w:rFonts w:hint="eastAsia"/>
        </w:rPr>
        <w:t>（二）</w:t>
      </w:r>
      <w:bookmarkStart w:id="119" w:name="OLE_LINK54"/>
      <w:r>
        <w:rPr>
          <w:rFonts w:hint="eastAsia"/>
        </w:rPr>
        <w:t>倾力营造“碧水”空间</w:t>
      </w:r>
      <w:bookmarkEnd w:id="116"/>
      <w:bookmarkEnd w:id="117"/>
      <w:bookmarkEnd w:id="118"/>
      <w:bookmarkEnd w:id="119"/>
    </w:p>
    <w:p w14:paraId="47714694">
      <w:pPr>
        <w:pStyle w:val="36"/>
      </w:pPr>
      <w:bookmarkStart w:id="120" w:name="_Toc201598923"/>
      <w:r>
        <w:t xml:space="preserve">1. </w:t>
      </w:r>
      <w:bookmarkStart w:id="121" w:name="OLE_LINK72"/>
      <w:r>
        <w:rPr>
          <w:rFonts w:hint="eastAsia"/>
        </w:rPr>
        <w:t>全力保障水源安全利用</w:t>
      </w:r>
      <w:bookmarkEnd w:id="120"/>
    </w:p>
    <w:bookmarkEnd w:id="121"/>
    <w:p w14:paraId="5FAD6E09">
      <w:pPr>
        <w:adjustRightInd w:val="0"/>
        <w:snapToGrid w:val="0"/>
        <w:spacing w:line="560" w:lineRule="exact"/>
        <w:ind w:firstLine="640" w:firstLineChars="200"/>
        <w:rPr>
          <w:rFonts w:ascii="Times New Roman" w:hAnsi="Times New Roman" w:eastAsia="仿宋_GB2312" w:cs="Times New Roman"/>
          <w:sz w:val="32"/>
          <w:szCs w:val="32"/>
        </w:rPr>
      </w:pPr>
      <w:bookmarkStart w:id="122" w:name="OLE_LINK78"/>
      <w:r>
        <w:rPr>
          <w:rFonts w:hint="eastAsia" w:ascii="Times New Roman" w:hAnsi="Times New Roman" w:eastAsia="仿宋_GB2312" w:cs="Times New Roman"/>
          <w:sz w:val="32"/>
          <w:szCs w:val="32"/>
        </w:rPr>
        <w:t>实现水源地“一源一档”动态管理</w:t>
      </w:r>
      <w:bookmarkEnd w:id="122"/>
      <w:r>
        <w:rPr>
          <w:rFonts w:hint="eastAsia" w:ascii="Times New Roman" w:hAnsi="Times New Roman" w:eastAsia="仿宋_GB2312" w:cs="Times New Roman"/>
          <w:sz w:val="32"/>
          <w:szCs w:val="32"/>
        </w:rPr>
        <w:t>。</w:t>
      </w:r>
      <w:bookmarkStart w:id="123" w:name="_Hlk201164657"/>
      <w:r>
        <w:rPr>
          <w:rFonts w:hint="eastAsia" w:ascii="Times New Roman" w:hAnsi="Times New Roman" w:eastAsia="仿宋_GB2312" w:cs="Times New Roman"/>
          <w:sz w:val="32"/>
          <w:szCs w:val="32"/>
        </w:rPr>
        <w:t>常态化推进集中式水源地饮用水水源保护区监管</w:t>
      </w:r>
      <w:bookmarkEnd w:id="123"/>
      <w:r>
        <w:rPr>
          <w:rFonts w:hint="eastAsia" w:ascii="Times New Roman" w:hAnsi="Times New Roman" w:eastAsia="仿宋_GB2312" w:cs="Times New Roman"/>
          <w:sz w:val="32"/>
          <w:szCs w:val="32"/>
        </w:rPr>
        <w:t>，按年度开展饮用水水源地环境状况年度调查评估，</w:t>
      </w:r>
      <w:bookmarkStart w:id="124" w:name="_Hlk201164673"/>
      <w:r>
        <w:rPr>
          <w:rFonts w:hint="eastAsia" w:ascii="Times New Roman" w:hAnsi="Times New Roman" w:eastAsia="仿宋_GB2312" w:cs="Times New Roman"/>
          <w:sz w:val="32"/>
          <w:szCs w:val="32"/>
        </w:rPr>
        <w:t>实现水源地“一源一档”动态管理</w:t>
      </w:r>
      <w:bookmarkEnd w:id="124"/>
      <w:r>
        <w:rPr>
          <w:rFonts w:hint="eastAsia" w:ascii="Times New Roman" w:hAnsi="Times New Roman" w:eastAsia="仿宋_GB2312" w:cs="Times New Roman"/>
          <w:sz w:val="32"/>
          <w:szCs w:val="32"/>
        </w:rPr>
        <w:t>。开展水源地专项执法和日常监管，加强“三监联动”，确保水源井周边</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米范围内无污水、无垃圾、无渗厕、无养殖场等污染源。</w:t>
      </w:r>
    </w:p>
    <w:p w14:paraId="1B633A0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开展地下水超采综合治理。加强地下水污染风险监测。持续开展地下水污染风险监控点的丰、枯水期监测，组织实施水源地周边环境风险排查监测，完善地下水监测数据报送制度。</w:t>
      </w:r>
      <w:bookmarkStart w:id="125" w:name="_Hlk212134463"/>
      <w:r>
        <w:rPr>
          <w:rFonts w:hint="eastAsia" w:ascii="Times New Roman" w:hAnsi="Times New Roman" w:eastAsia="仿宋_GB2312" w:cs="Times New Roman"/>
          <w:sz w:val="32"/>
          <w:szCs w:val="32"/>
        </w:rPr>
        <w:t>实施高安屯垃圾填埋场及周边地下水常态化监测与评估，对未达标区域开展溯源排查和分类治理，确保地下水水质稳定达标。强化机井全链条监管，实现地下水水位稳步回升。</w:t>
      </w:r>
      <w:bookmarkEnd w:id="125"/>
    </w:p>
    <w:p w14:paraId="48B68B9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推进节水型社会建设。落实最严格水资源管理制度，严格执行用水总量和强度双控。积极探索推行水预算管理模式，以量化管理实现节水增效。探索AI赋能节水管理新模式，依托大数据、人工智能等技术，构建用水精准调配、异常情况预警、数据高效分析于一体的智慧节水管理系统。常态化开展节水科普宣传教育。深化节水诊断成果转化应用，联动推进合同节水、节水金融等市场化节水举措落地。</w:t>
      </w:r>
    </w:p>
    <w:p w14:paraId="1E16FB27">
      <w:pPr>
        <w:pStyle w:val="36"/>
      </w:pPr>
      <w:bookmarkStart w:id="126" w:name="_Toc201598924"/>
      <w:r>
        <w:t xml:space="preserve">2. </w:t>
      </w:r>
      <w:bookmarkEnd w:id="126"/>
      <w:r>
        <w:rPr>
          <w:rFonts w:hint="eastAsia"/>
        </w:rPr>
        <w:t>深化水环境综合治理</w:t>
      </w:r>
    </w:p>
    <w:p w14:paraId="72ADB6F8">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生产和生活污水治理。以排污许可管理、水环境重点排污单位管理等为抓手，强化高安屯循环产业园、中关村科技园朝阳园等区域污水处理设施监管，推动污水全收集全处理并达标排放。强化农村地区黑臭水体整治，</w:t>
      </w:r>
      <w:bookmarkStart w:id="127" w:name="_Hlk225180248"/>
      <w:r>
        <w:rPr>
          <w:rFonts w:hint="eastAsia" w:ascii="Times New Roman" w:hAnsi="Times New Roman" w:eastAsia="仿宋_GB2312" w:cs="Times New Roman"/>
          <w:sz w:val="32"/>
          <w:szCs w:val="32"/>
        </w:rPr>
        <w:t>实现农村黑臭水体动态</w:t>
      </w:r>
      <w:bookmarkEnd w:id="127"/>
      <w:r>
        <w:rPr>
          <w:rFonts w:hint="eastAsia" w:ascii="Times New Roman" w:hAnsi="Times New Roman" w:eastAsia="仿宋_GB2312" w:cs="Times New Roman"/>
          <w:sz w:val="32"/>
          <w:szCs w:val="32"/>
        </w:rPr>
        <w:t>清零。补齐农村地区水环境治理短板。强化区域内现有城乡污水处理监管，督促运营单位保障污水收集处理和再生水利用设施安全稳定运行。</w:t>
      </w:r>
    </w:p>
    <w:p w14:paraId="0D5143F4">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雨污混排治理与河道暗涵治理。精准识别影响汛期水质和饮用水安全的主要污染源和水环境风险隐患，全面摸排各类风险隐患。分期推动实现雨污分流，重点解决重难点国家及市级考核断面、水生态区域补偿断面、重要河道暗涵以及其他断面和边闸，完成雨入污改造，缓解污水处理厂溢流。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年，基本实现雨污分流。加强汛期分析研判与应急处置，对湖泊蓝藻水华、汛期污染强度高值水体及时预警。开展流域“点穴”任务，发现问题立即开展溯源排查，做好汛期水污染防治工作。</w:t>
      </w:r>
    </w:p>
    <w:p w14:paraId="01A8A4DC">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加强入河排污口监督管理。</w:t>
      </w:r>
      <w:bookmarkStart w:id="128" w:name="OLE_LINK80"/>
      <w:r>
        <w:rPr>
          <w:rFonts w:hint="eastAsia" w:ascii="Times New Roman" w:hAnsi="Times New Roman" w:eastAsia="仿宋_GB2312" w:cs="Times New Roman"/>
          <w:sz w:val="32"/>
          <w:szCs w:val="32"/>
        </w:rPr>
        <w:t>完善入河排污口动态管理平台，实时掌握入河排污口情况，做好入河排污口设置审批、登记工作，</w:t>
      </w:r>
      <w:bookmarkStart w:id="129" w:name="_Hlk201164757"/>
      <w:r>
        <w:rPr>
          <w:rFonts w:hint="eastAsia" w:ascii="Times New Roman" w:hAnsi="Times New Roman" w:eastAsia="仿宋_GB2312" w:cs="Times New Roman"/>
          <w:sz w:val="32"/>
          <w:szCs w:val="32"/>
        </w:rPr>
        <w:t>推动入河排污口“一口一档”管理</w:t>
      </w:r>
      <w:bookmarkEnd w:id="128"/>
      <w:bookmarkEnd w:id="129"/>
      <w:r>
        <w:rPr>
          <w:rFonts w:hint="eastAsia" w:ascii="Times New Roman" w:hAnsi="Times New Roman" w:eastAsia="仿宋_GB2312" w:cs="Times New Roman"/>
          <w:sz w:val="32"/>
          <w:szCs w:val="32"/>
        </w:rPr>
        <w:t>。建立“部门横向联动、乡—村纵向贯通”的一线排查模式，动态完成入河排污口的排查和整治。</w:t>
      </w:r>
      <w:r>
        <w:rPr>
          <w:rFonts w:hint="eastAsia" w:ascii="仿宋_GB2312" w:hAnsi="Times New Roman" w:eastAsia="仿宋_GB2312" w:cs="Times New Roman"/>
          <w:sz w:val="32"/>
          <w:szCs w:val="32"/>
        </w:rPr>
        <w:t>对排查范围内汇入河流、沟渠、滩涂、暗管等开展“全口</w:t>
      </w:r>
      <w:r>
        <w:rPr>
          <w:rFonts w:hint="eastAsia" w:ascii="Times New Roman" w:hAnsi="Times New Roman" w:eastAsia="仿宋_GB2312" w:cs="Times New Roman"/>
          <w:sz w:val="32"/>
          <w:szCs w:val="32"/>
        </w:rPr>
        <w:t>径</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排查，确保常态有水排污口检查、监测全覆盖，问题排口动态清零。</w:t>
      </w:r>
    </w:p>
    <w:p w14:paraId="3DC94EC2">
      <w:pPr>
        <w:pStyle w:val="36"/>
      </w:pPr>
      <w:r>
        <w:t xml:space="preserve">3. </w:t>
      </w:r>
      <w:r>
        <w:rPr>
          <w:rFonts w:hint="eastAsia"/>
        </w:rPr>
        <w:t>着力恢复水生态健康</w:t>
      </w:r>
    </w:p>
    <w:p w14:paraId="0290B21D">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形成河湖水系连通2.0治理方案。以“一纵四横、多支多点”朝阳水网为基点，加快推进河道与公园水系、湿地水系、功能区水系互连互通。织密北、中、南河道输水通道，以清河、南北护城河为主输水通道，助力完善中心城区上游河道与朝阳区各河湖互连互通。分阶段推进清河—清洋河—北小河、温榆河沿线、两湖连通等重点水系连通项目建设，持续提升区域水系循环能力。</w:t>
      </w:r>
    </w:p>
    <w:p w14:paraId="06227903">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面提高水生态质量。落实水生态考核要求，优先改善萧太后河和清河的水生态质量，同时采取调配水源、增加岸边绿化等措施，保持亮马河良好的水生态健康。保护和恢复水生动植物，重建水生态系统的食物链和栖息地，提高坝河、通惠排干和大柳树沟</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条河流的水生态质量。积极探索通惠河和观音堂沟两条河道水生态环境改善方法。定期开展国家及市级考核断面水生态监测评价，完善水生态监测网络。</w:t>
      </w:r>
    </w:p>
    <w:p w14:paraId="73892E72">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保障重点河流生态流量。对具备补充再生水条件的河湖，制定并实施精准的生态补水方案，对无水河湖，研究利用现状有水河湖实现水系连通可能性，打造“有河有水，有草有鱼</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的活力体系。加强河湖再生水补水，利用河道进行地下水回补，实现地表、地下水生态同步恢复，活水循环，织密蓝网系统，加快朝阳水网向“清水畅流、连水成网、活水循环”形态发展。</w:t>
      </w:r>
    </w:p>
    <w:p w14:paraId="70C7BAC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河湖自然岸线保护。在满足防洪排涝安全的前提下，对具备条件的硬质化河湖岸线进行自然化改造和生态修复，加强河湖现状自然岸线保护，不断提升水质和水岸线生态品质。将水生态空间融入国土空间“一张图”强化管控，利用国土空间规划成果优化临近陆域管理，严格限制水生态空间周边开发活动，保护河湖湿地等自然资源。</w:t>
      </w:r>
    </w:p>
    <w:p w14:paraId="39547B52">
      <w:pPr>
        <w:pStyle w:val="4"/>
      </w:pPr>
      <w:bookmarkStart w:id="130" w:name="_Toc208827875"/>
      <w:bookmarkStart w:id="131" w:name="_Toc233040989"/>
      <w:bookmarkStart w:id="132" w:name="_Toc201598927"/>
      <w:r>
        <w:rPr>
          <w:rFonts w:hint="eastAsia"/>
        </w:rPr>
        <w:t>（三）</w:t>
      </w:r>
      <w:bookmarkStart w:id="133" w:name="OLE_LINK55"/>
      <w:r>
        <w:rPr>
          <w:rFonts w:hint="eastAsia"/>
        </w:rPr>
        <w:t>奋力保护“净土”家园</w:t>
      </w:r>
      <w:bookmarkEnd w:id="130"/>
      <w:bookmarkEnd w:id="131"/>
      <w:bookmarkEnd w:id="132"/>
      <w:bookmarkEnd w:id="133"/>
    </w:p>
    <w:p w14:paraId="790BC058">
      <w:pPr>
        <w:pStyle w:val="36"/>
      </w:pPr>
      <w:bookmarkStart w:id="134" w:name="_Toc201598928"/>
      <w:r>
        <w:t xml:space="preserve">1. </w:t>
      </w:r>
      <w:r>
        <w:rPr>
          <w:rFonts w:hint="eastAsia"/>
        </w:rPr>
        <w:t>保障建设用地安全利用</w:t>
      </w:r>
      <w:bookmarkEnd w:id="134"/>
    </w:p>
    <w:p w14:paraId="4A9FDD1D">
      <w:pPr>
        <w:adjustRightInd w:val="0"/>
        <w:snapToGrid w:val="0"/>
        <w:spacing w:line="560" w:lineRule="exact"/>
        <w:ind w:firstLine="640" w:firstLineChars="200"/>
        <w:rPr>
          <w:rFonts w:hint="eastAsia"/>
          <w:color w:val="auto"/>
        </w:rPr>
      </w:pPr>
      <w:r>
        <w:rPr>
          <w:rFonts w:hint="eastAsia" w:ascii="Times New Roman" w:hAnsi="Times New Roman" w:eastAsia="仿宋_GB2312" w:cs="Times New Roman"/>
          <w:sz w:val="32"/>
          <w:szCs w:val="32"/>
        </w:rPr>
        <w:t>持续开展土壤污染防治现状调查，加快建立与完善新、改、扩建建设项目土壤环境现状调查成果台账及土壤污染地块电子档案，动态更新土壤污染、土壤风险管控等专题地图，构建更全面立体的土壤污染防治信息管理体系。依法开展建设用地土壤污染风险管控和修复，推动污染地块动态销号。强化重点单位土壤环境管理，督促按照排污许可证规定和标准规范落实控制有毒有害物质排放、土壤污染隐患排查、自行监测等要求。</w:t>
      </w:r>
      <w:bookmarkStart w:id="135" w:name="OLE_LINK71"/>
      <w:r>
        <w:rPr>
          <w:rFonts w:hint="eastAsia" w:ascii="Times New Roman" w:hAnsi="Times New Roman" w:eastAsia="仿宋_GB2312" w:cs="Times New Roman"/>
          <w:sz w:val="32"/>
          <w:szCs w:val="32"/>
        </w:rPr>
        <w:t>强化加油站、储油库土壤污染防治，加油站、储油库等埋地管道和设施采取防渗漏措施。开展关停退出工业企业原址用地筛查，动态更新地块清单，按要求落实监测与风险管控。加强建设用地再开发利用监管，完善审批前“土壤调查提醒”机制，落实重点建设用地土壤污染状况调查制度，确保“净地”供应，保障重点建设用地</w:t>
      </w:r>
      <w:r>
        <w:rPr>
          <w:rFonts w:ascii="Times New Roman" w:hAnsi="Times New Roman" w:eastAsia="仿宋_GB2312" w:cs="Times New Roman"/>
          <w:sz w:val="32"/>
          <w:szCs w:val="32"/>
        </w:rPr>
        <w:t>安全利用率持续保持100%</w:t>
      </w:r>
      <w:r>
        <w:rPr>
          <w:rFonts w:hint="eastAsia" w:ascii="Times New Roman" w:hAnsi="Times New Roman" w:eastAsia="仿宋_GB2312" w:cs="Times New Roman"/>
          <w:sz w:val="32"/>
          <w:szCs w:val="32"/>
        </w:rPr>
        <w:t>。</w:t>
      </w:r>
    </w:p>
    <w:bookmarkEnd w:id="135"/>
    <w:p w14:paraId="71F26F02">
      <w:pPr>
        <w:pStyle w:val="36"/>
      </w:pPr>
      <w:bookmarkStart w:id="136" w:name="_Toc201598929"/>
      <w:r>
        <w:t xml:space="preserve">2. </w:t>
      </w:r>
      <w:bookmarkStart w:id="137" w:name="OLE_LINK68"/>
      <w:r>
        <w:rPr>
          <w:rFonts w:hint="eastAsia"/>
        </w:rPr>
        <w:t>推进农用地的分类管理</w:t>
      </w:r>
      <w:bookmarkEnd w:id="136"/>
    </w:p>
    <w:bookmarkEnd w:id="137"/>
    <w:p w14:paraId="7C9998E2">
      <w:pPr>
        <w:adjustRightInd w:val="0"/>
        <w:snapToGrid w:val="0"/>
        <w:spacing w:line="560" w:lineRule="exact"/>
        <w:ind w:firstLine="640" w:firstLineChars="200"/>
        <w:rPr>
          <w:rFonts w:ascii="Times New Roman" w:hAnsi="Times New Roman" w:eastAsia="仿宋_GB2312" w:cs="Times New Roman"/>
          <w:sz w:val="30"/>
          <w:szCs w:val="30"/>
        </w:rPr>
      </w:pPr>
      <w:r>
        <w:rPr>
          <w:rFonts w:hint="eastAsia" w:ascii="Times New Roman" w:hAnsi="Times New Roman" w:eastAsia="仿宋_GB2312" w:cs="Times New Roman"/>
          <w:sz w:val="32"/>
          <w:szCs w:val="32"/>
        </w:rPr>
        <w:t>持续开展耕地、园地土壤环境质量类别调整，强化耕地、园地分类管理，制定并实施耕地、园地分类管理年度工作计划，完善耕地、园地分类管理工作制度。对新增复耕、复垦耕地、园地开展土壤污染状况监测，对典型农用地土壤环境状况进行调查与评估，开展耕地土壤镉等重金属污染源头防治。</w:t>
      </w:r>
      <w:bookmarkStart w:id="138" w:name="_Hlk201071552"/>
      <w:r>
        <w:rPr>
          <w:rFonts w:hint="eastAsia" w:ascii="Times New Roman" w:hAnsi="Times New Roman" w:eastAsia="仿宋_GB2312" w:cs="Times New Roman"/>
          <w:sz w:val="32"/>
          <w:szCs w:val="32"/>
        </w:rPr>
        <w:t>落实农用地和林下经济林地分级管理制度，</w:t>
      </w:r>
      <w:bookmarkEnd w:id="138"/>
      <w:r>
        <w:rPr>
          <w:rFonts w:hint="eastAsia" w:ascii="Times New Roman" w:hAnsi="Times New Roman" w:eastAsia="仿宋_GB2312" w:cs="Times New Roman"/>
          <w:sz w:val="32"/>
          <w:szCs w:val="32"/>
        </w:rPr>
        <w:t>制定农药、化肥减量行动方案，逐步开展农药、化肥使用核算。创建蔬菜病虫全程绿色防控试点示范基地，开展全生物可降解地膜试验与试点示范。</w:t>
      </w:r>
    </w:p>
    <w:p w14:paraId="2B8B0B5E">
      <w:pPr>
        <w:pStyle w:val="36"/>
      </w:pPr>
      <w:bookmarkStart w:id="139" w:name="_Toc201598930"/>
      <w:r>
        <w:t xml:space="preserve">3. </w:t>
      </w:r>
      <w:bookmarkStart w:id="140" w:name="OLE_LINK69"/>
      <w:r>
        <w:rPr>
          <w:rFonts w:hint="eastAsia"/>
        </w:rPr>
        <w:t>强化未利用地污染防控</w:t>
      </w:r>
      <w:bookmarkEnd w:id="139"/>
      <w:bookmarkEnd w:id="140"/>
    </w:p>
    <w:p w14:paraId="103FD2F8">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继续做好未利用地土壤保护与调查，建立风险防控管理清单，</w:t>
      </w:r>
      <w:bookmarkStart w:id="141" w:name="OLE_LINK70"/>
      <w:r>
        <w:rPr>
          <w:rFonts w:hint="eastAsia" w:ascii="Times New Roman" w:hAnsi="Times New Roman" w:eastAsia="仿宋_GB2312" w:cs="Times New Roman"/>
          <w:sz w:val="32"/>
          <w:szCs w:val="32"/>
        </w:rPr>
        <w:t>动态更新未利用地地块管理台账，</w:t>
      </w:r>
      <w:bookmarkEnd w:id="141"/>
      <w:r>
        <w:rPr>
          <w:rFonts w:hint="eastAsia" w:ascii="Times New Roman" w:hAnsi="Times New Roman" w:eastAsia="仿宋_GB2312" w:cs="Times New Roman"/>
          <w:sz w:val="32"/>
          <w:szCs w:val="32"/>
        </w:rPr>
        <w:t>依法查处倾倒垃圾、侵占使用等违法行为。对发现的污染风险地块及时采取防控措施，严控开发利用，构建全方位土壤污染管理体系。</w:t>
      </w:r>
    </w:p>
    <w:p w14:paraId="7B8D21F2">
      <w:pPr>
        <w:pStyle w:val="4"/>
      </w:pPr>
      <w:bookmarkStart w:id="142" w:name="_Toc223359383"/>
      <w:bookmarkStart w:id="143" w:name="_Toc233040990"/>
      <w:r>
        <w:rPr>
          <w:rFonts w:hint="eastAsia"/>
        </w:rPr>
        <w:t>（四）着力打造“宁静”城区</w:t>
      </w:r>
      <w:bookmarkEnd w:id="142"/>
      <w:bookmarkEnd w:id="143"/>
    </w:p>
    <w:p w14:paraId="705C4768">
      <w:pPr>
        <w:pStyle w:val="36"/>
      </w:pPr>
      <w:r>
        <w:t xml:space="preserve">1. </w:t>
      </w:r>
      <w:r>
        <w:rPr>
          <w:rFonts w:hint="eastAsia"/>
        </w:rPr>
        <w:t>推动社会生活噪声治理</w:t>
      </w:r>
    </w:p>
    <w:p w14:paraId="1F2C62C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协同管控经营场所噪声，通过采取优化布局、集中排放、实施减振降噪工程措施并加强维护保养等方式，积极开展商业固定设备噪声治理工作。深化公共场所噪声控制，重点加强娱乐、装修、演唱会、社区等社会生活噪声监管，试点安装公共场所噪声在线监测设备，推广噪声监测显示屏、无线耳机、定向音箱等降噪新技术。</w:t>
      </w:r>
      <w:bookmarkStart w:id="144" w:name="_Hlk225181043"/>
      <w:r>
        <w:rPr>
          <w:rFonts w:hint="eastAsia" w:ascii="Times New Roman" w:hAnsi="Times New Roman" w:eastAsia="仿宋_GB2312" w:cs="Times New Roman"/>
          <w:sz w:val="32"/>
          <w:szCs w:val="32"/>
        </w:rPr>
        <w:t>系统推进公园娱乐、健身等活动噪声治理，强化校园广播噪声扰民问题处置统筹力度，试点对大型体育场馆进行扩声系统降噪治理。</w:t>
      </w:r>
      <w:bookmarkEnd w:id="144"/>
      <w:r>
        <w:rPr>
          <w:rFonts w:hint="eastAsia" w:ascii="Times New Roman" w:hAnsi="Times New Roman" w:eastAsia="仿宋_GB2312" w:cs="Times New Roman"/>
          <w:sz w:val="32"/>
          <w:szCs w:val="32"/>
        </w:rPr>
        <w:t>开展“绿色护考”行动，强化中高考期间噪声管控。严格落实《中华人民共和国治安管理处罚条例》，优化“调解</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执法”工作机制，及时疏解社会生活噪声扰民问题。</w:t>
      </w:r>
    </w:p>
    <w:p w14:paraId="04D67232">
      <w:pPr>
        <w:pStyle w:val="36"/>
      </w:pPr>
      <w:r>
        <w:t xml:space="preserve">2. </w:t>
      </w:r>
      <w:r>
        <w:rPr>
          <w:rFonts w:hint="eastAsia"/>
        </w:rPr>
        <w:t>实施道路交通噪声治理</w:t>
      </w:r>
    </w:p>
    <w:p w14:paraId="31E78BF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开展道路交通噪声源头管控，将隔声降噪设施作为交通设施建设的有机组成部分，实现同步设计、施工、投运、维护和升级改造，推广铺设低噪声路面。高速公路、城市快速路、城市轨道交通正线地面段、高速铁路两侧首排原则上不再规划建设住宅，其他交通干线两侧首排应优先安排公共建筑等非敏感建筑。制定实施交通噪声缓解年度治理计划，结合交通噪声重点点位情况，组织开展造成严重噪声污染的公路、城市轨道、铁路噪声污染状况调查评估，实施一批交通噪声治理工程，重点整治五环路、京藏高速等道路交通噪声问题。</w:t>
      </w:r>
    </w:p>
    <w:p w14:paraId="1AF1EF48">
      <w:pPr>
        <w:pStyle w:val="36"/>
      </w:pPr>
      <w:r>
        <w:t xml:space="preserve">3. </w:t>
      </w:r>
      <w:r>
        <w:rPr>
          <w:rFonts w:hint="eastAsia"/>
        </w:rPr>
        <w:t>防治建筑施工噪声污染</w:t>
      </w:r>
    </w:p>
    <w:p w14:paraId="4E75617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噪声敏感建筑物集中区域施工管理，区域内施工单位优先使用低噪声施工工艺和设备并设置噪声自动监测系统，推进夜间施工证明办理并进行公示，积极落实北京市建设工程夜间施工扰民补偿制度。督促施工单位落实噪声污染防治责任，制定噪声污染防治实施方案，采取有效措施减少振动、降低噪声，联合执法查处施工噪声扰民违法行为。</w:t>
      </w:r>
    </w:p>
    <w:p w14:paraId="0829EB6E">
      <w:pPr>
        <w:pStyle w:val="36"/>
      </w:pPr>
      <w:r>
        <w:t xml:space="preserve">4. </w:t>
      </w:r>
      <w:r>
        <w:rPr>
          <w:rFonts w:hint="eastAsia"/>
        </w:rPr>
        <w:t>加强工业噪声源头防治</w:t>
      </w:r>
    </w:p>
    <w:p w14:paraId="790EDC62">
      <w:pPr>
        <w:adjustRightInd w:val="0"/>
        <w:snapToGrid w:val="0"/>
        <w:spacing w:line="560" w:lineRule="exact"/>
        <w:ind w:firstLine="640" w:firstLineChars="200"/>
        <w:rPr>
          <w:rFonts w:hint="eastAsia"/>
          <w:color w:val="auto"/>
        </w:rPr>
      </w:pPr>
      <w:r>
        <w:rPr>
          <w:rFonts w:hint="eastAsia" w:ascii="Times New Roman" w:hAnsi="Times New Roman" w:eastAsia="仿宋_GB2312" w:cs="Times New Roman"/>
          <w:sz w:val="32"/>
          <w:szCs w:val="32"/>
        </w:rPr>
        <w:t>强化工业噪声源头预防，在噪声敏感建筑物集中区域，禁止新建排放噪声的工业企业，改建、扩建工业企业的，应当采取有效措施防止工业噪声污染。推广使用降噪材料、采用低噪声设备等加强噪声源管理，通过安装隔声降噪装置减少噪声传播。</w:t>
      </w:r>
    </w:p>
    <w:p w14:paraId="4A299AFB">
      <w:pPr>
        <w:pStyle w:val="36"/>
      </w:pPr>
      <w:r>
        <w:t xml:space="preserve">5. </w:t>
      </w:r>
      <w:r>
        <w:rPr>
          <w:rFonts w:hint="eastAsia"/>
        </w:rPr>
        <w:t>提升噪声精细化防治能力</w:t>
      </w:r>
    </w:p>
    <w:p w14:paraId="392B60EE">
      <w:pPr>
        <w:adjustRightInd w:val="0"/>
        <w:snapToGrid w:val="0"/>
        <w:spacing w:line="560" w:lineRule="exact"/>
        <w:ind w:firstLine="640" w:firstLineChars="200"/>
        <w:rPr>
          <w:rFonts w:ascii="Times New Roman" w:hAnsi="Times New Roman" w:eastAsia="仿宋_GB2312" w:cs="Times New Roman"/>
          <w:sz w:val="32"/>
          <w:szCs w:val="32"/>
        </w:rPr>
        <w:sectPr>
          <w:pgSz w:w="11906" w:h="16838"/>
          <w:pgMar w:top="1417" w:right="1474" w:bottom="1417" w:left="1587" w:header="851" w:footer="992" w:gutter="0"/>
          <w:cols w:space="720" w:num="1"/>
          <w:docGrid w:type="lines" w:linePitch="312" w:charSpace="0"/>
        </w:sectPr>
      </w:pPr>
      <w:r>
        <w:rPr>
          <w:rFonts w:hint="eastAsia" w:ascii="Times New Roman" w:hAnsi="Times New Roman" w:eastAsia="仿宋_GB2312" w:cs="Times New Roman"/>
          <w:sz w:val="32"/>
          <w:szCs w:val="32"/>
        </w:rPr>
        <w:t>严格落实《北京市朝阳区噪声敏感建筑物集中区域划定方案（试行）》，适时开展声环境功能区划分调整研究。试点应用噪声地图、噪声溯源等信息化手段，挖掘特色应用场景，实施精准化管控。结合麦子店街道试点经验，研究制定符合实际的建设指标和方案，开展宁静小区建设，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年，至少建设</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个宁静小区。针对信访和接诉即办工作中的噪声投诉重点难点问题，建立会商会办制度，通过源头管控、共商共治等方式加强诉求办理。</w:t>
      </w:r>
    </w:p>
    <w:p w14:paraId="50326AD1">
      <w:pPr>
        <w:pStyle w:val="3"/>
      </w:pPr>
      <w:bookmarkStart w:id="145" w:name="_Toc233040991"/>
      <w:r>
        <w:rPr>
          <w:rFonts w:hint="eastAsia"/>
        </w:rPr>
        <w:t>七、聚焦城市生态宜居，推进生态系统优化</w:t>
      </w:r>
      <w:bookmarkEnd w:id="145"/>
    </w:p>
    <w:p w14:paraId="3938C465">
      <w:pPr>
        <w:spacing w:line="560" w:lineRule="exact"/>
        <w:ind w:firstLine="640" w:firstLineChars="200"/>
        <w:contextualSpacing/>
        <w:rPr>
          <w:rFonts w:ascii="Times New Roman" w:hAnsi="Times New Roman" w:eastAsia="仿宋_GB2312" w:cs="Times New Roman"/>
          <w:szCs w:val="32"/>
        </w:rPr>
      </w:pPr>
      <w:r>
        <w:rPr>
          <w:rFonts w:hint="eastAsia" w:ascii="Times New Roman" w:hAnsi="Times New Roman" w:eastAsia="仿宋_GB2312" w:cs="Times New Roman"/>
          <w:sz w:val="32"/>
          <w:szCs w:val="32"/>
        </w:rPr>
        <w:t>以提高生态系统调节服务价值（</w:t>
      </w:r>
      <w:r>
        <w:rPr>
          <w:rFonts w:ascii="Times New Roman" w:hAnsi="Times New Roman" w:eastAsia="仿宋_GB2312" w:cs="Times New Roman"/>
          <w:sz w:val="32"/>
          <w:szCs w:val="32"/>
        </w:rPr>
        <w:t>GEP-R</w:t>
      </w:r>
      <w:r>
        <w:rPr>
          <w:rFonts w:hint="eastAsia" w:ascii="Times New Roman" w:hAnsi="Times New Roman" w:eastAsia="仿宋_GB2312" w:cs="Times New Roman"/>
          <w:sz w:val="32"/>
          <w:szCs w:val="32"/>
        </w:rPr>
        <w:t>）和生态环境质量指数（</w:t>
      </w:r>
      <w:r>
        <w:rPr>
          <w:rFonts w:ascii="Times New Roman" w:hAnsi="Times New Roman" w:eastAsia="仿宋_GB2312" w:cs="Times New Roman"/>
          <w:sz w:val="32"/>
          <w:szCs w:val="32"/>
        </w:rPr>
        <w:t>EI</w:t>
      </w:r>
      <w:r>
        <w:rPr>
          <w:rFonts w:hint="eastAsia" w:ascii="Times New Roman" w:hAnsi="Times New Roman" w:eastAsia="仿宋_GB2312" w:cs="Times New Roman"/>
          <w:sz w:val="32"/>
          <w:szCs w:val="32"/>
        </w:rPr>
        <w:t>）为抓手，塑造“两环六楔、五河十园、多廊交织”的“美丽朝阳”绿色生态空间结构，提高集中建成区绿视率，</w:t>
      </w:r>
      <w:bookmarkStart w:id="146" w:name="_Hlk224072530"/>
      <w:r>
        <w:rPr>
          <w:rFonts w:hint="eastAsia" w:ascii="Times New Roman" w:hAnsi="Times New Roman" w:eastAsia="仿宋_GB2312" w:cs="Times New Roman"/>
          <w:sz w:val="32"/>
          <w:szCs w:val="32"/>
        </w:rPr>
        <w:t>推进城市生态系统优化</w:t>
      </w:r>
      <w:bookmarkEnd w:id="146"/>
      <w:r>
        <w:rPr>
          <w:rFonts w:hint="eastAsia" w:ascii="Times New Roman" w:hAnsi="Times New Roman" w:eastAsia="仿宋_GB2312" w:cs="Times New Roman"/>
          <w:sz w:val="32"/>
          <w:szCs w:val="32"/>
        </w:rPr>
        <w:t>。</w:t>
      </w:r>
    </w:p>
    <w:p w14:paraId="51D322D1">
      <w:pPr>
        <w:pStyle w:val="4"/>
      </w:pPr>
      <w:bookmarkStart w:id="147" w:name="_Toc233040992"/>
      <w:r>
        <w:rPr>
          <w:rFonts w:hint="eastAsia"/>
        </w:rPr>
        <w:t>（一）实施生态空间全域管控</w:t>
      </w:r>
      <w:bookmarkEnd w:id="147"/>
    </w:p>
    <w:p w14:paraId="2BEB9ABF">
      <w:pPr>
        <w:pStyle w:val="36"/>
      </w:pPr>
      <w:r>
        <w:t xml:space="preserve">1. </w:t>
      </w:r>
      <w:r>
        <w:rPr>
          <w:rFonts w:hint="eastAsia"/>
        </w:rPr>
        <w:t>实施生态环境分区管控</w:t>
      </w:r>
    </w:p>
    <w:p w14:paraId="089C5DA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深化环评智能审核服务，探索开展多证合一审核材料智能生成，试点开展排污许可智能审核，研究制定精细化生态环境管控单元及准入清单。推进新一代信息技术、人工智能等与生态环境分区管控融合创新，优化基于多维应用场景的生态环境分区管控数智应用平台。开展环境影响评价、排污许可、监察执法等协调联动机制，探索审批交互功能，深化生态环境分区管控在各领域中的应用。</w:t>
      </w:r>
    </w:p>
    <w:p w14:paraId="71C21926">
      <w:pPr>
        <w:pStyle w:val="36"/>
      </w:pPr>
      <w:r>
        <w:t xml:space="preserve">2. </w:t>
      </w:r>
      <w:r>
        <w:rPr>
          <w:rFonts w:hint="eastAsia"/>
        </w:rPr>
        <w:t>加快锚固生态基础骨架</w:t>
      </w:r>
    </w:p>
    <w:p w14:paraId="3E4BB134">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深入落实“大尺度绿化看朝阳”的要求，加大“生态修复、城市修补”力度，大幅提高生态空间规模与质量，提升城市生态品质，形成以森林为主体、河流为脉络、农田湖泊为点缀、生物多样性丰富的城市生态系统，持续强化“两环六楔、五河十园、多廊交织”绿色生态空间格局。</w:t>
      </w:r>
    </w:p>
    <w:p w14:paraId="78D9EF07">
      <w:pPr>
        <w:pStyle w:val="36"/>
      </w:pPr>
      <w:r>
        <w:t xml:space="preserve">3. </w:t>
      </w:r>
      <w:r>
        <w:rPr>
          <w:rFonts w:hint="eastAsia"/>
        </w:rPr>
        <w:t>强化重要生态空间监管</w:t>
      </w:r>
    </w:p>
    <w:p w14:paraId="5BB3E943">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落实国家和北京市关于生态保护红线生态环境监管系列部署，持续组织开展生态保护红线人为活动遥感监测线索核实，配合市局完成生态保护红线成效自评估。到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年，确保生态保护红线功能不降低、性质不改变。加大生态保护监督执法力度，持续推进</w:t>
      </w:r>
      <w:r>
        <w:rPr>
          <w:rFonts w:ascii="Times New Roman" w:hAnsi="Times New Roman" w:eastAsia="仿宋_GB2312" w:cs="Times New Roman"/>
          <w:sz w:val="32"/>
          <w:szCs w:val="32"/>
        </w:rPr>
        <w:t>重要生态空间生态环境问题</w:t>
      </w:r>
      <w:r>
        <w:rPr>
          <w:rFonts w:hint="eastAsia" w:ascii="Times New Roman" w:hAnsi="Times New Roman" w:eastAsia="仿宋_GB2312" w:cs="Times New Roman"/>
          <w:sz w:val="32"/>
          <w:szCs w:val="32"/>
        </w:rPr>
        <w:t>排查</w:t>
      </w:r>
      <w:r>
        <w:rPr>
          <w:rFonts w:ascii="Times New Roman" w:hAnsi="Times New Roman" w:eastAsia="仿宋_GB2312" w:cs="Times New Roman"/>
          <w:sz w:val="32"/>
          <w:szCs w:val="32"/>
        </w:rPr>
        <w:t>。</w:t>
      </w:r>
    </w:p>
    <w:p w14:paraId="200883C9">
      <w:pPr>
        <w:pStyle w:val="4"/>
      </w:pPr>
      <w:bookmarkStart w:id="148" w:name="_Toc233040993"/>
      <w:r>
        <w:rPr>
          <w:rFonts w:hint="eastAsia"/>
        </w:rPr>
        <w:t>（二）统筹推进生态保护修复</w:t>
      </w:r>
      <w:bookmarkEnd w:id="148"/>
    </w:p>
    <w:p w14:paraId="01B484B3">
      <w:pPr>
        <w:pStyle w:val="36"/>
      </w:pPr>
      <w:r>
        <w:t xml:space="preserve">1. </w:t>
      </w:r>
      <w:r>
        <w:rPr>
          <w:rFonts w:hint="eastAsia"/>
        </w:rPr>
        <w:t>推进生态系统整体保护</w:t>
      </w:r>
    </w:p>
    <w:p w14:paraId="05536FDE">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不断织补“一绿”“二绿”地区绿地空间，强化城市公园环建设。构建一道绿隔地区城市公园环，重点推动王四营地区绿隔公园、红领巾公园二期、十八里店凤冠公园、横街子公园等项目实施。推动二道绿隔地区增绿提质，推进黑庄户康城生态休闲公园、金盏旧河湾莱茵公园等项目实施，结合金盏地区拆迁腾退，谋划东郊森林公园（朝阳部分）。完成森林抚育经营任务，结合临路环村的平原生态林地块，试点推广林地“三化”改造</w:t>
      </w:r>
      <w:r>
        <w:rPr>
          <w:rFonts w:ascii="Times New Roman" w:hAnsi="Times New Roman" w:eastAsia="仿宋_GB2312" w:cs="Times New Roman"/>
          <w:sz w:val="32"/>
          <w:szCs w:val="32"/>
          <w:vertAlign w:val="superscript"/>
        </w:rPr>
        <w:footnoteReference w:id="1"/>
      </w:r>
      <w:r>
        <w:rPr>
          <w:rFonts w:hint="eastAsia" w:ascii="Times New Roman" w:hAnsi="Times New Roman" w:eastAsia="仿宋_GB2312" w:cs="Times New Roman"/>
          <w:sz w:val="32"/>
          <w:szCs w:val="32"/>
        </w:rPr>
        <w:t>，丰富林下植物种类。编制湿地保护与恢复规划，建立区级湿地保护名录，推动马家湾湿地公园、温榆河公园、红领巾公园等现状湿地提质。</w:t>
      </w:r>
    </w:p>
    <w:p w14:paraId="6CF74AE6">
      <w:pPr>
        <w:pStyle w:val="36"/>
      </w:pPr>
      <w:r>
        <w:t xml:space="preserve">2. </w:t>
      </w:r>
      <w:r>
        <w:rPr>
          <w:rFonts w:hint="eastAsia"/>
        </w:rPr>
        <w:t>持续推动绿化彩化立体化</w:t>
      </w:r>
    </w:p>
    <w:p w14:paraId="0BB4679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结合城市更新行动，分类施策提升集中建成区绿视率。到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年，集中建成区绿视率稳中向好。发挥“一园</w:t>
      </w:r>
      <w:r>
        <w:rPr>
          <w:rFonts w:ascii="Times New Roman" w:hAnsi="Times New Roman" w:eastAsia="仿宋_GB2312" w:cs="Times New Roman"/>
          <w:sz w:val="32"/>
          <w:szCs w:val="32"/>
        </w:rPr>
        <w:t>一花一品”</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一路一花一叶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品牌引领优势，持续推动区域绿化彩化立体化</w:t>
      </w:r>
      <w:r>
        <w:rPr>
          <w:rFonts w:hint="eastAsia" w:ascii="Times New Roman" w:hAnsi="Times New Roman" w:eastAsia="仿宋_GB2312" w:cs="Times New Roman"/>
          <w:sz w:val="32"/>
          <w:szCs w:val="32"/>
        </w:rPr>
        <w:t>。以“一园一花一品”</w:t>
      </w:r>
      <w:r>
        <w:rPr>
          <w:rFonts w:ascii="Times New Roman" w:hAnsi="Times New Roman" w:eastAsia="仿宋_GB2312" w:cs="Times New Roman"/>
          <w:sz w:val="32"/>
          <w:szCs w:val="32"/>
        </w:rPr>
        <w:t>工程为引领，深化塑造公园彩化植物文化品牌</w:t>
      </w:r>
      <w:r>
        <w:rPr>
          <w:rFonts w:hint="eastAsia" w:ascii="Times New Roman" w:hAnsi="Times New Roman" w:eastAsia="仿宋_GB2312" w:cs="Times New Roman"/>
          <w:sz w:val="32"/>
          <w:szCs w:val="32"/>
        </w:rPr>
        <w:t>。推进京通快速路、京哈高速、京津高速等主要对外道路交通干线及高铁线路两侧现有绿廊彩化升级。结合重点片区城市更新及第四使馆区、中关村朝阳园北园、东坝北西区等片区建设打造</w:t>
      </w:r>
      <w:r>
        <w:rPr>
          <w:rFonts w:ascii="Times New Roman" w:hAnsi="Times New Roman" w:eastAsia="仿宋_GB2312" w:cs="Times New Roman"/>
          <w:sz w:val="32"/>
          <w:szCs w:val="32"/>
        </w:rPr>
        <w:t>10条</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一路一花一叶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彩化道路</w:t>
      </w:r>
      <w:r>
        <w:rPr>
          <w:rFonts w:hint="eastAsia" w:ascii="Times New Roman" w:hAnsi="Times New Roman" w:eastAsia="仿宋_GB2312" w:cs="Times New Roman"/>
          <w:sz w:val="32"/>
          <w:szCs w:val="32"/>
        </w:rPr>
        <w:t>。</w:t>
      </w:r>
    </w:p>
    <w:p w14:paraId="75E7D6D5">
      <w:pPr>
        <w:pStyle w:val="2"/>
        <w:rPr>
          <w:rFonts w:hint="eastAsia"/>
          <w:color w:val="auto"/>
        </w:rPr>
      </w:pPr>
    </w:p>
    <w:p w14:paraId="5BF407C3">
      <w:pPr>
        <w:pStyle w:val="36"/>
      </w:pPr>
      <w:r>
        <w:t xml:space="preserve">3. </w:t>
      </w:r>
      <w:r>
        <w:rPr>
          <w:rFonts w:hint="eastAsia"/>
        </w:rPr>
        <w:t>推动公共空间品质提升</w:t>
      </w:r>
    </w:p>
    <w:p w14:paraId="3BDA9D9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完善“大中小微”公园体系，加快建成北京国际人才公园等一批高品质公园，推进建设一批百姓身边公园绿地，稳步提升公园绿地面积</w:t>
      </w:r>
      <w:r>
        <w:rPr>
          <w:rFonts w:ascii="Times New Roman" w:hAnsi="Times New Roman" w:eastAsia="仿宋_GB2312" w:cs="Times New Roman"/>
          <w:sz w:val="32"/>
          <w:szCs w:val="32"/>
        </w:rPr>
        <w:t>500米服务半径覆盖率。</w:t>
      </w:r>
      <w:r>
        <w:rPr>
          <w:rFonts w:hint="eastAsia" w:ascii="Times New Roman" w:hAnsi="Times New Roman" w:eastAsia="仿宋_GB2312" w:cs="Times New Roman"/>
          <w:sz w:val="32"/>
          <w:szCs w:val="32"/>
        </w:rPr>
        <w:t>统筹城市绿道、滨水慢行路及城市林荫慢行系统连通优化，完成城市公园环绿道（朝阳段二期）建设，谋划推进朝阳东南部绿道等骨干绿道建设。深化“无界”公园建设，促进公园与周边城市空间有机融合。整合线性空间，统筹城市绿道、滨水慢行路及城市林荫慢行系统等各类游憩慢行空间载体。</w:t>
      </w:r>
    </w:p>
    <w:p w14:paraId="4CDD0E03">
      <w:pPr>
        <w:pStyle w:val="36"/>
      </w:pPr>
      <w:r>
        <w:t xml:space="preserve">4. </w:t>
      </w:r>
      <w:r>
        <w:rPr>
          <w:rFonts w:hint="eastAsia"/>
        </w:rPr>
        <w:t>持续推动滨水空间改造</w:t>
      </w:r>
    </w:p>
    <w:p w14:paraId="576F6699">
      <w:pPr>
        <w:adjustRightInd w:val="0"/>
        <w:snapToGrid w:val="0"/>
        <w:spacing w:line="56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推进北小河景观建设，实施西干沟调水工程，以优质滨水休闲环境支撑“花园式办公、花园式住区”场景建设。推动坝河滨水景观与东坝北区商业业态融合，服务第四使馆区，将坝河打造为北京大运河历史名河。持续提升亮马河国际风情水岸品牌魅力，推动亮马河全线治理与景观提升，将亮马河打造为人民之河、世界名河。延伸亮马河、坝河通航航线，实现坝河</w:t>
      </w:r>
      <w:r>
        <w:rPr>
          <w:rFonts w:ascii="Times New Roman" w:hAnsi="Times New Roman" w:eastAsia="仿宋_GB2312" w:cs="Times New Roman"/>
          <w:sz w:val="32"/>
          <w:szCs w:val="32"/>
        </w:rPr>
        <w:t>21</w:t>
      </w:r>
      <w:r>
        <w:rPr>
          <w:rFonts w:ascii="仿宋_GB2312" w:hAnsi="Times New Roman" w:eastAsia="仿宋_GB2312" w:cs="Times New Roman"/>
          <w:sz w:val="32"/>
          <w:szCs w:val="32"/>
        </w:rPr>
        <w:t>公里全线通航，打造国际一流水上旅游航线。有序推动河流沿线绿道建设，分段逐步推进亮马河、坝河“一河两岸”慢行系统全线贯通，</w:t>
      </w:r>
      <w:r>
        <w:rPr>
          <w:rFonts w:ascii="仿宋_GB2312" w:hAnsi="Times New Roman" w:eastAsia="仿宋_GB2312" w:cs="Times New Roman"/>
          <w:sz w:val="32"/>
          <w:szCs w:val="32"/>
          <w:highlight w:val="none"/>
        </w:rPr>
        <w:t>打造高品质滨水游憩慢行系</w:t>
      </w:r>
      <w:r>
        <w:rPr>
          <w:rFonts w:hint="eastAsia" w:ascii="仿宋_GB2312" w:hAnsi="Times New Roman" w:eastAsia="仿宋_GB2312" w:cs="Times New Roman"/>
          <w:sz w:val="32"/>
          <w:szCs w:val="32"/>
          <w:highlight w:val="none"/>
          <w:lang w:eastAsia="zh-CN"/>
        </w:rPr>
        <w:t>统</w:t>
      </w:r>
      <w:r>
        <w:rPr>
          <w:rFonts w:hint="eastAsia" w:ascii="仿宋_GB2312" w:hAnsi="Times New Roman" w:eastAsia="仿宋_GB2312" w:cs="Times New Roman"/>
          <w:sz w:val="32"/>
          <w:szCs w:val="32"/>
        </w:rPr>
        <w:t>。高标准推进大运河文化带保护传承利用，将大运河朝阳段塑造成历史风韵与时代风貌相辉映、创意活力与生态魅力相融合的人文运河、绿色运河。</w:t>
      </w:r>
    </w:p>
    <w:p w14:paraId="67BFEFCB">
      <w:pPr>
        <w:pStyle w:val="4"/>
      </w:pPr>
      <w:bookmarkStart w:id="149" w:name="_Toc233040994"/>
      <w:r>
        <w:rPr>
          <w:rFonts w:hint="eastAsia"/>
        </w:rPr>
        <w:t>（三）</w:t>
      </w:r>
      <w:bookmarkStart w:id="150" w:name="_Hlk224072545"/>
      <w:r>
        <w:rPr>
          <w:rFonts w:hint="eastAsia"/>
        </w:rPr>
        <w:t>建设生物多样性友好城区</w:t>
      </w:r>
      <w:bookmarkEnd w:id="149"/>
    </w:p>
    <w:bookmarkEnd w:id="150"/>
    <w:p w14:paraId="495F3462">
      <w:pPr>
        <w:pStyle w:val="36"/>
      </w:pPr>
      <w:r>
        <w:t xml:space="preserve">1. </w:t>
      </w:r>
      <w:r>
        <w:rPr>
          <w:rFonts w:hint="eastAsia"/>
        </w:rPr>
        <w:t>开展生物多样性调查监测与评估</w:t>
      </w:r>
    </w:p>
    <w:p w14:paraId="6469742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开展城市生物多样性调查，针对温榆河公园、奥林匹克森林公园等重点区域，定期开展本底调查，建立生物多样性数据库。综合应用新技术新设备，以温榆河公园为依托建立区级生物多样性监测中心，以其他超大型公园为依托建立生物多样性监测站，以绿道和廊道等为依托建立生物多样性监测点和监测带，建立区级城市生物多样性监测网络，加强北京雨燕等对城市化高度敏感的野生动物监测，加强城区公园、绿地及农田等北京市二级保护动物以及清洁水体指示物种的监测。</w:t>
      </w:r>
      <w:bookmarkStart w:id="151" w:name="_Hlk225154285"/>
      <w:r>
        <w:rPr>
          <w:rFonts w:hint="eastAsia" w:ascii="Times New Roman" w:hAnsi="Times New Roman" w:eastAsia="仿宋_GB2312" w:cs="Times New Roman"/>
          <w:sz w:val="32"/>
          <w:szCs w:val="32"/>
        </w:rPr>
        <w:t>深化奥林匹克森林公园“人与自然和谐共生”智慧监测平台应用</w:t>
      </w:r>
      <w:bookmarkEnd w:id="151"/>
      <w:r>
        <w:rPr>
          <w:rFonts w:hint="eastAsia" w:ascii="Times New Roman" w:hAnsi="Times New Roman" w:eastAsia="仿宋_GB2312" w:cs="Times New Roman"/>
          <w:sz w:val="32"/>
          <w:szCs w:val="32"/>
        </w:rPr>
        <w:t>，打造国内示范、国际先进的治理品牌。健全生物多样性综合评估机制，每五年对朝阳区生物多样性综合状况进行评估。</w:t>
      </w:r>
    </w:p>
    <w:p w14:paraId="3C9B0E15">
      <w:pPr>
        <w:pStyle w:val="36"/>
      </w:pPr>
      <w:r>
        <w:t xml:space="preserve">2. </w:t>
      </w:r>
      <w:r>
        <w:rPr>
          <w:rFonts w:hint="eastAsia"/>
        </w:rPr>
        <w:t>加强城市生物多样性恢复与保护</w:t>
      </w:r>
    </w:p>
    <w:p w14:paraId="237821C2">
      <w:pPr>
        <w:adjustRightInd w:val="0"/>
        <w:snapToGrid w:val="0"/>
        <w:spacing w:line="560" w:lineRule="exact"/>
        <w:ind w:firstLine="640" w:firstLineChars="200"/>
        <w:rPr>
          <w:rFonts w:ascii="Times New Roman" w:hAnsi="Times New Roman" w:eastAsia="仿宋_GB2312" w:cs="Times New Roman"/>
          <w:sz w:val="32"/>
          <w:szCs w:val="32"/>
        </w:rPr>
      </w:pPr>
      <w:bookmarkStart w:id="152" w:name="_Hlk225154313"/>
      <w:r>
        <w:rPr>
          <w:rFonts w:hint="eastAsia" w:ascii="Times New Roman" w:hAnsi="Times New Roman" w:eastAsia="仿宋_GB2312" w:cs="Times New Roman"/>
          <w:sz w:val="32"/>
          <w:szCs w:val="32"/>
        </w:rPr>
        <w:t>在温榆河公园、奥林匹克森林公园和朝阳公园等重点区域，打造生物多样性保护先行示范</w:t>
      </w:r>
      <w:bookmarkEnd w:id="152"/>
      <w:r>
        <w:rPr>
          <w:rFonts w:hint="eastAsia" w:ascii="Times New Roman" w:hAnsi="Times New Roman" w:eastAsia="仿宋_GB2312" w:cs="Times New Roman"/>
          <w:sz w:val="32"/>
          <w:szCs w:val="32"/>
        </w:rPr>
        <w:t>，建立至少</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处野生动物临时收容救护站点，因地制宜设置本杰士堆</w:t>
      </w:r>
      <w:r>
        <w:rPr>
          <w:rStyle w:val="23"/>
          <w:rFonts w:ascii="Times New Roman" w:hAnsi="Times New Roman" w:eastAsia="仿宋_GB2312" w:cs="Times New Roman"/>
          <w:sz w:val="32"/>
          <w:szCs w:val="32"/>
        </w:rPr>
        <w:footnoteReference w:id="2"/>
      </w:r>
      <w:r>
        <w:rPr>
          <w:rFonts w:hint="eastAsia" w:ascii="Times New Roman" w:hAnsi="Times New Roman" w:eastAsia="仿宋_GB2312" w:cs="Times New Roman"/>
          <w:sz w:val="32"/>
          <w:szCs w:val="32"/>
        </w:rPr>
        <w:t>、人工鸟巢，营造适宜野生动物生存的栖息环境。建设</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处具有代表性的生物多样性体验地，形成集生态展示、公众教育、参与互动于一体的城市生物多样性体验体系。在全市统筹部署下，组织开展重点物种、重点流域的种质资源保护设施以及生物遗产资源迁地保存繁育体系建设，推动跨区协同开展珍稀濒危野生动物的同步调查监测和联合保护行动。深化</w:t>
      </w:r>
      <w:r>
        <w:rPr>
          <w:rFonts w:hint="eastAsia" w:ascii="Times New Roman" w:hAnsi="Times New Roman" w:eastAsia="仿宋_GB2312" w:cs="Times New Roman"/>
          <w:sz w:val="30"/>
          <w:szCs w:val="30"/>
        </w:rPr>
        <w:t>“朝识万物”小程序推广应用，打造便捷、开放、互动的朝阳生物多样性公众参与平台。</w:t>
      </w:r>
      <w:r>
        <w:rPr>
          <w:rFonts w:hint="eastAsia" w:ascii="Times New Roman" w:hAnsi="Times New Roman" w:eastAsia="仿宋_GB2312" w:cs="Times New Roman"/>
          <w:sz w:val="32"/>
          <w:szCs w:val="32"/>
        </w:rPr>
        <w:t>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年，国家重点保护野生动植物保护率达到</w:t>
      </w:r>
      <w:r>
        <w:rPr>
          <w:rFonts w:ascii="Times New Roman" w:hAnsi="Times New Roman" w:eastAsia="仿宋_GB2312" w:cs="Times New Roman"/>
          <w:sz w:val="32"/>
          <w:szCs w:val="32"/>
        </w:rPr>
        <w:t>100%</w:t>
      </w:r>
      <w:r>
        <w:rPr>
          <w:rFonts w:hint="eastAsia" w:ascii="Times New Roman" w:hAnsi="Times New Roman" w:eastAsia="仿宋_GB2312" w:cs="Times New Roman"/>
          <w:sz w:val="32"/>
          <w:szCs w:val="32"/>
        </w:rPr>
        <w:t>，北京市重点保护物种和重要遗传资源保护率达到</w:t>
      </w:r>
      <w:r>
        <w:rPr>
          <w:rFonts w:ascii="Times New Roman" w:hAnsi="Times New Roman" w:eastAsia="仿宋_GB2312" w:cs="Times New Roman"/>
          <w:sz w:val="32"/>
          <w:szCs w:val="32"/>
        </w:rPr>
        <w:t>95%</w:t>
      </w:r>
      <w:r>
        <w:rPr>
          <w:rFonts w:hint="eastAsia" w:ascii="Times New Roman" w:hAnsi="Times New Roman" w:eastAsia="仿宋_GB2312" w:cs="Times New Roman"/>
          <w:sz w:val="32"/>
          <w:szCs w:val="32"/>
        </w:rPr>
        <w:t>。</w:t>
      </w:r>
    </w:p>
    <w:p w14:paraId="52B3D90E">
      <w:pPr>
        <w:pStyle w:val="4"/>
      </w:pPr>
      <w:bookmarkStart w:id="153" w:name="_Toc233040995"/>
      <w:r>
        <w:rPr>
          <w:rFonts w:hint="eastAsia"/>
        </w:rPr>
        <w:t>（四）推动生态产品价值实现</w:t>
      </w:r>
      <w:bookmarkEnd w:id="153"/>
    </w:p>
    <w:p w14:paraId="589AD629">
      <w:pPr>
        <w:pStyle w:val="36"/>
      </w:pPr>
      <w:r>
        <w:t xml:space="preserve">1. </w:t>
      </w:r>
      <w:r>
        <w:rPr>
          <w:rFonts w:hint="eastAsia"/>
        </w:rPr>
        <w:t>提升生态系统调节服务价值</w:t>
      </w:r>
    </w:p>
    <w:p w14:paraId="4716C833">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开展街乡尺度生态系统调节服务价值（</w:t>
      </w:r>
      <w:r>
        <w:rPr>
          <w:rFonts w:ascii="Times New Roman" w:hAnsi="Times New Roman" w:eastAsia="仿宋_GB2312" w:cs="Times New Roman"/>
          <w:sz w:val="32"/>
          <w:szCs w:val="32"/>
        </w:rPr>
        <w:t>GEP-R</w:t>
      </w:r>
      <w:r>
        <w:rPr>
          <w:rFonts w:hint="eastAsia" w:ascii="Times New Roman" w:hAnsi="Times New Roman" w:eastAsia="仿宋_GB2312" w:cs="Times New Roman"/>
          <w:sz w:val="32"/>
          <w:szCs w:val="32"/>
        </w:rPr>
        <w:t>）变化趋势、溯源分析与提升潜力和策略研究，落实“交换补偿”机制。优先选择</w:t>
      </w:r>
      <w:r>
        <w:rPr>
          <w:rFonts w:ascii="Times New Roman" w:hAnsi="Times New Roman" w:eastAsia="仿宋_GB2312" w:cs="Times New Roman"/>
          <w:sz w:val="32"/>
          <w:szCs w:val="32"/>
        </w:rPr>
        <w:t>GEP-R</w:t>
      </w:r>
      <w:r>
        <w:rPr>
          <w:rFonts w:hint="eastAsia" w:ascii="Times New Roman" w:hAnsi="Times New Roman" w:eastAsia="仿宋_GB2312" w:cs="Times New Roman"/>
          <w:sz w:val="32"/>
          <w:szCs w:val="32"/>
        </w:rPr>
        <w:t>低值区域进行开发建设，关注年际间不同生态系统类型变化的趋势。聚焦“保稳、</w:t>
      </w:r>
      <w:r>
        <w:rPr>
          <w:rFonts w:ascii="Times New Roman" w:hAnsi="Times New Roman" w:eastAsia="仿宋_GB2312" w:cs="Times New Roman"/>
          <w:sz w:val="32"/>
          <w:szCs w:val="32"/>
        </w:rPr>
        <w:t>提质、扩绿、控损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等方面，探索差异化GEP-R提升模式</w:t>
      </w:r>
      <w:r>
        <w:rPr>
          <w:rFonts w:hint="eastAsia" w:ascii="Times New Roman" w:hAnsi="Times New Roman" w:eastAsia="仿宋_GB2312" w:cs="Times New Roman"/>
          <w:sz w:val="32"/>
          <w:szCs w:val="32"/>
        </w:rPr>
        <w:t>。</w:t>
      </w:r>
    </w:p>
    <w:p w14:paraId="500B162E">
      <w:pPr>
        <w:pStyle w:val="36"/>
      </w:pPr>
      <w:r>
        <w:t xml:space="preserve">2. </w:t>
      </w:r>
      <w:r>
        <w:rPr>
          <w:rFonts w:hint="eastAsia"/>
        </w:rPr>
        <w:t>拓宽生态产品价值实现路径</w:t>
      </w:r>
    </w:p>
    <w:p w14:paraId="545ED1C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非建设空间规划，合理落实各类生态要素规模，引导林、草、田等生态空间集中连片布局和品质提升。推广亮马河“以河道复兴带动城市更新”的创新路径，有效盘活城市空间，持续拓宽生态优势向发展优势转化的路径。</w:t>
      </w:r>
    </w:p>
    <w:p w14:paraId="54A1BA4B">
      <w:pPr>
        <w:pStyle w:val="36"/>
      </w:pPr>
      <w:r>
        <w:t xml:space="preserve">3. </w:t>
      </w:r>
      <w:r>
        <w:rPr>
          <w:rFonts w:hint="eastAsia"/>
        </w:rPr>
        <w:t>深化生态文明示范建设成果</w:t>
      </w:r>
    </w:p>
    <w:p w14:paraId="5B74BFA3">
      <w:pPr>
        <w:adjustRightInd w:val="0"/>
        <w:snapToGrid w:val="0"/>
        <w:spacing w:line="560" w:lineRule="exact"/>
        <w:ind w:firstLine="640" w:firstLineChars="200"/>
        <w:rPr>
          <w:rFonts w:ascii="Times New Roman" w:hAnsi="Times New Roman" w:eastAsia="仿宋_GB2312" w:cs="Times New Roman"/>
          <w:sz w:val="32"/>
          <w:szCs w:val="32"/>
        </w:rPr>
        <w:sectPr>
          <w:pgSz w:w="11906" w:h="16838"/>
          <w:pgMar w:top="1417" w:right="1474" w:bottom="1417" w:left="1587" w:header="851" w:footer="992" w:gutter="0"/>
          <w:cols w:space="720" w:num="1"/>
          <w:docGrid w:type="lines" w:linePitch="312" w:charSpace="0"/>
        </w:sectPr>
      </w:pPr>
      <w:r>
        <w:rPr>
          <w:rFonts w:hint="eastAsia" w:ascii="Times New Roman" w:hAnsi="Times New Roman" w:eastAsia="仿宋_GB2312" w:cs="Times New Roman"/>
          <w:sz w:val="32"/>
          <w:szCs w:val="32"/>
        </w:rPr>
        <w:t>以国家生态文明建设示范区创建为抓手，巩固示范创建成果，持续提升生态文明建设水平。持续推进崔各庄乡全国“绿水青山就是金山银山”实践创新基地建设，积极探索生态宜居与乡村振兴融合发展的新路径，深化以圣露国际庄园、何各庄果园等为代表的“生态五宜</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乡村振兴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六大实践典型案例，为超大城市城乡接合部“两山”转化提供可复制、可推广的实践样板。</w:t>
      </w:r>
    </w:p>
    <w:p w14:paraId="28E8BBBD">
      <w:pPr>
        <w:pStyle w:val="3"/>
      </w:pPr>
      <w:bookmarkStart w:id="154" w:name="_Toc201598952"/>
      <w:bookmarkStart w:id="155" w:name="_Toc208827882"/>
      <w:bookmarkStart w:id="156" w:name="_Toc233040996"/>
      <w:r>
        <w:rPr>
          <w:rFonts w:hint="eastAsia"/>
        </w:rPr>
        <w:t>八、</w:t>
      </w:r>
      <w:bookmarkEnd w:id="154"/>
      <w:bookmarkStart w:id="157" w:name="_Hlk212219311"/>
      <w:bookmarkStart w:id="158" w:name="OLE_LINK56"/>
      <w:r>
        <w:rPr>
          <w:rFonts w:hint="eastAsia"/>
        </w:rPr>
        <w:t>强化环境风险防控，</w:t>
      </w:r>
      <w:bookmarkEnd w:id="155"/>
      <w:bookmarkEnd w:id="157"/>
      <w:r>
        <w:rPr>
          <w:rFonts w:hint="eastAsia"/>
        </w:rPr>
        <w:t>坚守生态安全底线</w:t>
      </w:r>
      <w:bookmarkEnd w:id="156"/>
    </w:p>
    <w:bookmarkEnd w:id="158"/>
    <w:p w14:paraId="03770E3E">
      <w:pPr>
        <w:adjustRightInd w:val="0"/>
        <w:snapToGrid w:val="0"/>
        <w:spacing w:line="560" w:lineRule="exact"/>
        <w:ind w:firstLine="640" w:firstLineChars="200"/>
        <w:rPr>
          <w:rFonts w:ascii="Times New Roman" w:hAnsi="Times New Roman" w:eastAsia="仿宋_GB2312" w:cs="Times New Roman"/>
          <w:sz w:val="32"/>
          <w:szCs w:val="32"/>
        </w:rPr>
      </w:pPr>
      <w:bookmarkStart w:id="159" w:name="_Hlk225154393"/>
      <w:bookmarkStart w:id="160" w:name="_Hlk224072595"/>
      <w:r>
        <w:rPr>
          <w:rFonts w:hint="eastAsia" w:ascii="Times New Roman" w:hAnsi="Times New Roman" w:eastAsia="仿宋_GB2312" w:cs="Times New Roman"/>
          <w:sz w:val="32"/>
          <w:szCs w:val="32"/>
        </w:rPr>
        <w:t>强化固体废物与新污染物治理</w:t>
      </w:r>
      <w:bookmarkEnd w:id="159"/>
      <w:r>
        <w:rPr>
          <w:rFonts w:hint="eastAsia" w:ascii="Times New Roman" w:hAnsi="Times New Roman" w:eastAsia="仿宋_GB2312" w:cs="Times New Roman"/>
          <w:sz w:val="32"/>
          <w:szCs w:val="32"/>
        </w:rPr>
        <w:t>，全面推动“无废城市”</w:t>
      </w:r>
      <w:bookmarkEnd w:id="160"/>
      <w:r>
        <w:rPr>
          <w:rFonts w:hint="eastAsia" w:ascii="Times New Roman" w:hAnsi="Times New Roman" w:eastAsia="仿宋_GB2312" w:cs="Times New Roman"/>
          <w:sz w:val="32"/>
          <w:szCs w:val="32"/>
        </w:rPr>
        <w:t>建设，防范辐射环境安全风险，完善环境风险应急体系，</w:t>
      </w:r>
      <w:bookmarkStart w:id="161" w:name="_Hlk225154520"/>
      <w:bookmarkStart w:id="162" w:name="_Hlk224072652"/>
      <w:r>
        <w:rPr>
          <w:rFonts w:hint="eastAsia" w:ascii="Times New Roman" w:hAnsi="Times New Roman" w:eastAsia="仿宋_GB2312" w:cs="Times New Roman"/>
          <w:sz w:val="32"/>
          <w:szCs w:val="32"/>
        </w:rPr>
        <w:t>提升城市适应气候变化水平，</w:t>
      </w:r>
      <w:bookmarkEnd w:id="161"/>
      <w:r>
        <w:rPr>
          <w:rFonts w:hint="eastAsia" w:ascii="Times New Roman" w:hAnsi="Times New Roman" w:eastAsia="仿宋_GB2312" w:cs="Times New Roman"/>
          <w:sz w:val="32"/>
          <w:szCs w:val="32"/>
        </w:rPr>
        <w:t>保障城市生态安全。</w:t>
      </w:r>
    </w:p>
    <w:bookmarkEnd w:id="162"/>
    <w:p w14:paraId="096A0611">
      <w:pPr>
        <w:pStyle w:val="4"/>
      </w:pPr>
      <w:bookmarkStart w:id="163" w:name="_Toc233040997"/>
      <w:r>
        <w:rPr>
          <w:rFonts w:hint="eastAsia"/>
        </w:rPr>
        <w:t>（一）</w:t>
      </w:r>
      <w:bookmarkStart w:id="164" w:name="_Hlk225154704"/>
      <w:r>
        <w:rPr>
          <w:rFonts w:hint="eastAsia"/>
        </w:rPr>
        <w:t>打造“无废城市”建设样板</w:t>
      </w:r>
      <w:bookmarkEnd w:id="163"/>
    </w:p>
    <w:bookmarkEnd w:id="164"/>
    <w:p w14:paraId="43776DBA">
      <w:pPr>
        <w:pStyle w:val="36"/>
      </w:pPr>
      <w:r>
        <w:t xml:space="preserve">1. </w:t>
      </w:r>
      <w:r>
        <w:rPr>
          <w:rFonts w:hint="eastAsia"/>
        </w:rPr>
        <w:t>提升固体废物监管水平</w:t>
      </w:r>
    </w:p>
    <w:p w14:paraId="57B95136">
      <w:pPr>
        <w:adjustRightInd w:val="0"/>
        <w:snapToGrid w:val="0"/>
        <w:spacing w:line="560" w:lineRule="exact"/>
        <w:ind w:firstLine="640" w:firstLineChars="200"/>
        <w:rPr>
          <w:rFonts w:ascii="Times New Roman" w:hAnsi="Times New Roman" w:eastAsia="仿宋_GB2312" w:cs="Times New Roman"/>
          <w:sz w:val="32"/>
          <w:szCs w:val="32"/>
        </w:rPr>
      </w:pPr>
      <w:bookmarkStart w:id="165" w:name="_Hlk224063047"/>
      <w:r>
        <w:rPr>
          <w:rFonts w:hint="eastAsia" w:ascii="Times New Roman" w:hAnsi="Times New Roman" w:eastAsia="仿宋_GB2312" w:cs="Times New Roman"/>
          <w:sz w:val="32"/>
          <w:szCs w:val="32"/>
        </w:rPr>
        <w:t>制定出台全区“无废城市”建设实施方案</w:t>
      </w:r>
      <w:bookmarkEnd w:id="165"/>
      <w:r>
        <w:rPr>
          <w:rFonts w:hint="eastAsia" w:ascii="Times New Roman" w:hAnsi="Times New Roman" w:eastAsia="仿宋_GB2312" w:cs="Times New Roman"/>
          <w:sz w:val="32"/>
          <w:szCs w:val="32"/>
        </w:rPr>
        <w:t>，大力推进生活垃圾、建筑垃圾等实现减量化、无害化和资源化。</w:t>
      </w:r>
      <w:r>
        <w:rPr>
          <w:rFonts w:hint="eastAsia" w:ascii="仿宋_GB2312" w:hAnsi="仿宋_GB2312" w:eastAsia="仿宋_GB2312" w:cs="仿宋_GB2312"/>
          <w:sz w:val="32"/>
          <w:szCs w:val="32"/>
        </w:rPr>
        <w:t>纵深推进生活垃圾分类三年行动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2026—2028</w:t>
      </w:r>
      <w:r>
        <w:rPr>
          <w:rFonts w:hint="eastAsia" w:ascii="Times New Roman" w:hAnsi="Times New Roman" w:eastAsia="仿宋_GB2312" w:cs="Times New Roman"/>
          <w:sz w:val="32"/>
          <w:szCs w:val="32"/>
        </w:rPr>
        <w:t>年</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持续强化</w:t>
      </w:r>
      <w:r>
        <w:rPr>
          <w:rFonts w:hint="eastAsia" w:ascii="仿宋_GB2312" w:hAnsi="仿宋_GB2312" w:eastAsia="仿宋_GB2312" w:cs="仿宋_GB2312"/>
          <w:sz w:val="32"/>
          <w:szCs w:val="32"/>
        </w:rPr>
        <w:t>生活</w:t>
      </w:r>
      <w:r>
        <w:rPr>
          <w:rFonts w:ascii="仿宋_GB2312" w:hAnsi="仿宋_GB2312" w:eastAsia="仿宋_GB2312" w:cs="仿宋_GB2312"/>
          <w:sz w:val="32"/>
          <w:szCs w:val="32"/>
        </w:rPr>
        <w:t>垃圾前端分类、中端</w:t>
      </w:r>
      <w:r>
        <w:rPr>
          <w:rFonts w:hint="eastAsia" w:ascii="仿宋_GB2312" w:hAnsi="仿宋_GB2312" w:eastAsia="仿宋_GB2312" w:cs="仿宋_GB2312"/>
          <w:sz w:val="32"/>
          <w:szCs w:val="32"/>
        </w:rPr>
        <w:t>转运</w:t>
      </w:r>
      <w:r>
        <w:rPr>
          <w:rFonts w:ascii="仿宋_GB2312" w:hAnsi="仿宋_GB2312" w:eastAsia="仿宋_GB2312" w:cs="仿宋_GB2312"/>
          <w:sz w:val="32"/>
          <w:szCs w:val="32"/>
        </w:rPr>
        <w:t>、末端处理全链条</w:t>
      </w:r>
      <w:r>
        <w:rPr>
          <w:rFonts w:hint="eastAsia" w:ascii="仿宋_GB2312" w:hAnsi="仿宋_GB2312" w:eastAsia="仿宋_GB2312" w:cs="仿宋_GB2312"/>
          <w:sz w:val="32"/>
          <w:szCs w:val="32"/>
        </w:rPr>
        <w:t>管理和配套设施建设，建成具有精分拣能力的</w:t>
      </w:r>
      <w:r>
        <w:rPr>
          <w:rFonts w:hint="eastAsia" w:ascii="Times New Roman" w:hAnsi="Times New Roman" w:eastAsia="仿宋_GB2312" w:cs="Times New Roman"/>
          <w:sz w:val="32"/>
          <w:szCs w:val="32"/>
        </w:rPr>
        <w:t>再生资源分拣中心，</w:t>
      </w:r>
      <w:r>
        <w:rPr>
          <w:rFonts w:hint="eastAsia" w:ascii="仿宋_GB2312" w:hAnsi="仿宋_GB2312" w:eastAsia="仿宋_GB2312" w:cs="仿宋_GB2312"/>
          <w:sz w:val="32"/>
          <w:szCs w:val="32"/>
        </w:rPr>
        <w:t>持续加强可回收物交投点、中转站建设更新</w:t>
      </w:r>
      <w:r>
        <w:rPr>
          <w:rFonts w:hint="eastAsia" w:ascii="Times New Roman" w:hAnsi="Times New Roman" w:eastAsia="仿宋_GB2312" w:cs="Times New Roman"/>
          <w:sz w:val="32"/>
          <w:szCs w:val="32"/>
        </w:rPr>
        <w:t>。到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年，保持生活垃圾回收利用率在</w:t>
      </w:r>
      <w:r>
        <w:rPr>
          <w:rFonts w:ascii="Times New Roman" w:hAnsi="Times New Roman" w:eastAsia="仿宋_GB2312" w:cs="Times New Roman"/>
          <w:sz w:val="32"/>
          <w:szCs w:val="32"/>
        </w:rPr>
        <w:t>46%</w:t>
      </w:r>
      <w:r>
        <w:rPr>
          <w:rFonts w:hint="eastAsia" w:ascii="Times New Roman" w:hAnsi="Times New Roman" w:eastAsia="仿宋_GB2312" w:cs="Times New Roman"/>
          <w:sz w:val="32"/>
          <w:szCs w:val="32"/>
        </w:rPr>
        <w:t>以上，资源化利用率在</w:t>
      </w:r>
      <w:r>
        <w:rPr>
          <w:rFonts w:ascii="Times New Roman" w:hAnsi="Times New Roman" w:eastAsia="仿宋_GB2312" w:cs="Times New Roman"/>
          <w:sz w:val="32"/>
          <w:szCs w:val="32"/>
        </w:rPr>
        <w:t>80%</w:t>
      </w:r>
      <w:r>
        <w:rPr>
          <w:rFonts w:hint="eastAsia" w:ascii="Times New Roman" w:hAnsi="Times New Roman" w:eastAsia="仿宋_GB2312" w:cs="Times New Roman"/>
          <w:sz w:val="32"/>
          <w:szCs w:val="32"/>
        </w:rPr>
        <w:t>以上。强化建筑垃圾治理利用，持续提升建筑垃圾资源化综合利用水平，鼓励符合标准的建筑垃圾再生骨料及制品在建筑工程和道路工程中应用。以朝阳循环经济产业园为核心，推进餐厨扩能、建筑垃圾资源化中心升级，建成京津冀固废综合处置与循环利用示范基地。研究建立符合朝阳实际的“无废细胞”建设评估标准，持续推动“无废园区”“无废校园”“无废街区”等“无废细胞”建设，发挥示范引领作用。推动生活垃圾焚烧设施协同处置市政污泥等试点建设。</w:t>
      </w:r>
    </w:p>
    <w:p w14:paraId="7B6D59E2">
      <w:pPr>
        <w:pStyle w:val="36"/>
      </w:pPr>
      <w:r>
        <w:t xml:space="preserve">2. </w:t>
      </w:r>
      <w:r>
        <w:rPr>
          <w:rFonts w:hint="eastAsia"/>
        </w:rPr>
        <w:t>强化危险废物无害化处置</w:t>
      </w:r>
    </w:p>
    <w:p w14:paraId="2D1E2811">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提升危险废物收运处置能力，持续优化医疗废物收集处置模式，完善“小箱进大箱”等工作机制，健全小微医疗机构医废收运体系。健全覆盖危险废物产生、贮存、转移全过程的监管体系。开展生活垃圾焚烧飞灰回炉减量示范项目建设，推广</w:t>
      </w:r>
      <w:r>
        <w:rPr>
          <w:rFonts w:ascii="Times New Roman" w:hAnsi="Times New Roman" w:eastAsia="仿宋_GB2312" w:cs="Times New Roman"/>
          <w:sz w:val="32"/>
          <w:szCs w:val="32"/>
        </w:rPr>
        <w:t>AI</w:t>
      </w:r>
      <w:r>
        <w:rPr>
          <w:rFonts w:hint="eastAsia" w:ascii="Times New Roman" w:hAnsi="Times New Roman" w:eastAsia="仿宋_GB2312" w:cs="Times New Roman"/>
          <w:sz w:val="32"/>
          <w:szCs w:val="32"/>
        </w:rPr>
        <w:t>智能焚烧系统，推动飞灰“零填埋”。推动开展危险废物“五即”（即产生、即包装、即称重、即打码、即入库）规范化建设，</w:t>
      </w:r>
      <w:r>
        <w:rPr>
          <w:rFonts w:ascii="Times New Roman" w:hAnsi="Times New Roman" w:eastAsia="仿宋_GB2312" w:cs="Times New Roman"/>
          <w:sz w:val="32"/>
          <w:szCs w:val="32"/>
        </w:rPr>
        <w:t>实现重点监管单位“五即一码”全覆盖</w:t>
      </w:r>
      <w:r>
        <w:rPr>
          <w:rFonts w:hint="eastAsia" w:ascii="Times New Roman" w:hAnsi="Times New Roman" w:eastAsia="仿宋_GB2312" w:cs="Times New Roman"/>
          <w:sz w:val="32"/>
          <w:szCs w:val="32"/>
        </w:rPr>
        <w:t>。构建危险废物环境风险防控“底图”，分区域、差异化、精准管控危险废物环境风险。到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年，危险废物基本实现零填埋。</w:t>
      </w:r>
    </w:p>
    <w:p w14:paraId="78F3DC7A">
      <w:pPr>
        <w:pStyle w:val="4"/>
      </w:pPr>
      <w:bookmarkStart w:id="166" w:name="_Toc233040998"/>
      <w:r>
        <w:rPr>
          <w:rFonts w:hint="eastAsia"/>
        </w:rPr>
        <w:t>（二）加强新污染物与环境安全管理</w:t>
      </w:r>
      <w:bookmarkEnd w:id="166"/>
    </w:p>
    <w:p w14:paraId="3E5E3F63">
      <w:pPr>
        <w:pStyle w:val="36"/>
      </w:pPr>
      <w:r>
        <w:t xml:space="preserve">1. </w:t>
      </w:r>
      <w:r>
        <w:rPr>
          <w:rFonts w:hint="eastAsia"/>
        </w:rPr>
        <w:t>加快新污染物环境治理</w:t>
      </w:r>
    </w:p>
    <w:p w14:paraId="40B2979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实施新一轮化学物质环境信息统计调查，落实新化学物质环境管理登记办法。规范抗生素类药品使用管理，研究推动居民家庭废药品回收。严格管控具有环境持久性、生物累积性农药及助剂，推广应用高效低风险农药，实施兽用抗菌药使用减量化行动。持续推进涉优先控制化学品</w:t>
      </w:r>
      <w:r>
        <w:rPr>
          <w:rStyle w:val="23"/>
          <w:rFonts w:ascii="Times New Roman" w:hAnsi="Times New Roman" w:eastAsia="仿宋_GB2312" w:cs="Times New Roman"/>
          <w:sz w:val="32"/>
          <w:szCs w:val="32"/>
        </w:rPr>
        <w:footnoteReference w:id="3"/>
      </w:r>
      <w:r>
        <w:rPr>
          <w:rFonts w:hint="eastAsia" w:ascii="Times New Roman" w:hAnsi="Times New Roman" w:eastAsia="仿宋_GB2312" w:cs="Times New Roman"/>
          <w:sz w:val="32"/>
          <w:szCs w:val="32"/>
        </w:rPr>
        <w:t>、重点管控新污染物企业依法实施清洁生产审核，督促企业落实环境风险管理措施。</w:t>
      </w:r>
    </w:p>
    <w:p w14:paraId="1E6EB23C">
      <w:pPr>
        <w:pStyle w:val="36"/>
      </w:pPr>
      <w:r>
        <w:t xml:space="preserve">2. </w:t>
      </w:r>
      <w:r>
        <w:rPr>
          <w:rFonts w:hint="eastAsia"/>
        </w:rPr>
        <w:t>防范辐射环境安全风险</w:t>
      </w:r>
    </w:p>
    <w:p w14:paraId="17B85F9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辐射安全精细化监管，对辐射源应用进行分类监管。强化辐射安全隐患的自查自纠，完成重点单位的规范化管理。开展重点时期辐射安全专项检查工作，完成全区持证单位年度评估，规范辐射类经营主体健康发展。加强电磁环境管理，完善电磁辐射监管机制，加强建设项目事中事后监管。做好辐射安全许可审批及放射性同位素备案，深入实践探索并推广“不见面”辐射审批服务模式。</w:t>
      </w:r>
    </w:p>
    <w:p w14:paraId="1739169A">
      <w:pPr>
        <w:pStyle w:val="2"/>
        <w:rPr>
          <w:rFonts w:hint="eastAsia"/>
          <w:color w:val="auto"/>
        </w:rPr>
      </w:pPr>
    </w:p>
    <w:p w14:paraId="0424E27F"/>
    <w:p w14:paraId="1611DFBB">
      <w:pPr>
        <w:pStyle w:val="36"/>
      </w:pPr>
      <w:r>
        <w:t xml:space="preserve">3. </w:t>
      </w:r>
      <w:r>
        <w:rPr>
          <w:rFonts w:hint="eastAsia"/>
        </w:rPr>
        <w:t>严格落实环境应急风险防控</w:t>
      </w:r>
    </w:p>
    <w:p w14:paraId="46C0C83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加强环境应急管理，加强危险废物、重金属等环境隐患的排查与防控，重点监控医疗废物、工业废料、电子废物等，确保分类收集、规范储存与安全处理。聚焦应急保障、应急准备、响应时效等环节，进一步提升全区环境应急能力，健全突发环境事件全过程、多层级应急应对体系，增强环境风险全过程管控，基本建立全区环境应急物资储备体系，实现重点产业园区、行业企业、重点流域环境应急预案全覆盖。深化部门协同，健全应急协调联动机制和与专业处置队伍的应急协同机制。完善信息共享、联合会商等工作流程，开展联合定期演练，提高各部门在突发事件中的协同作战能力和应急处置效率。</w:t>
      </w:r>
    </w:p>
    <w:p w14:paraId="6CCF0561">
      <w:pPr>
        <w:pStyle w:val="4"/>
      </w:pPr>
      <w:bookmarkStart w:id="167" w:name="_Toc233040999"/>
      <w:r>
        <w:rPr>
          <w:rFonts w:hint="eastAsia"/>
        </w:rPr>
        <w:t>（三）强化重大设施环境风险防范</w:t>
      </w:r>
      <w:bookmarkEnd w:id="167"/>
    </w:p>
    <w:p w14:paraId="5D0E5B0A">
      <w:pPr>
        <w:pStyle w:val="36"/>
      </w:pPr>
      <w:r>
        <w:t xml:space="preserve">1. </w:t>
      </w:r>
      <w:r>
        <w:rPr>
          <w:rFonts w:hint="eastAsia"/>
        </w:rPr>
        <w:t>构建生活垃圾填埋场风险防控体系</w:t>
      </w:r>
    </w:p>
    <w:p w14:paraId="0AC771C4">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构建源头预防、过程严管与末端治理的全链条环境风险防控体系，实施隐患排查整治、渗滤液规范化处理、异味立体防控、防渗膜泄露快速动态监测等措施。严格管控渗滤液、填埋气稳定达标排放，落实填埋场土壤及地下水质量监测与风险管控。开展高安屯卫生填埋场环境污染隐患排查治理，科学评估填埋场风险状况，研究制定综合治理方案。</w:t>
      </w:r>
    </w:p>
    <w:p w14:paraId="20642B98">
      <w:pPr>
        <w:pStyle w:val="36"/>
      </w:pPr>
      <w:r>
        <w:t xml:space="preserve">2. </w:t>
      </w:r>
      <w:r>
        <w:rPr>
          <w:rFonts w:hint="eastAsia"/>
        </w:rPr>
        <w:t>防范餐厨（厨余）垃圾处理设施环境风险</w:t>
      </w:r>
    </w:p>
    <w:p w14:paraId="3DE93352">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餐厨（厨余）垃圾处理设施运行管理，坚持精准防控，聚焦预处理杂质高效去除、高温提油规范操作、厌氧发酵沼气稳定导排、管道输送渗漏隐患防治等关键环节，通过压实运营主体责任、健全全链条防控机制、强化日常监管巡查等，有效防范化解异味扩散、沼气泄漏、渗滤液污染等环境风险。</w:t>
      </w:r>
    </w:p>
    <w:p w14:paraId="3662A71B">
      <w:pPr>
        <w:pStyle w:val="36"/>
      </w:pPr>
      <w:r>
        <w:t xml:space="preserve">3. </w:t>
      </w:r>
      <w:r>
        <w:rPr>
          <w:rFonts w:hint="eastAsia"/>
        </w:rPr>
        <w:t>提升医疗废物处置安全监管能力</w:t>
      </w:r>
    </w:p>
    <w:p w14:paraId="01B19A3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医疗废物经营许可证持证单位监管，压实风险防控主体责任。持续开展危险废物管理规范化评估，提升医疗废物全过程规范化管理水平，推动开展“五即一码”管理，实现医疗废物全流程可追溯、可监管。严格落实医疗废物贮存设施运行环境管理和环境应急要求。高安屯医疗废物处理厂处置设施重新投产前，依法开展环境影响评价，规范完成“三同时”验收，严格落实排污许可管理制度。</w:t>
      </w:r>
    </w:p>
    <w:p w14:paraId="1576F16D">
      <w:pPr>
        <w:pStyle w:val="36"/>
      </w:pPr>
      <w:r>
        <w:t xml:space="preserve">4. </w:t>
      </w:r>
      <w:r>
        <w:rPr>
          <w:rFonts w:hint="eastAsia"/>
        </w:rPr>
        <w:t>强化污水处理和溢流风险防控</w:t>
      </w:r>
    </w:p>
    <w:p w14:paraId="0F189F38">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污水处理厂环境风险防控，聚焦危险化学品和危险废物泄露、厂界臭气超标及异味扰民等重点风险，严格防范因处理能力与进水负荷不匹配引发的溢流风险，及进水水质超出设计标准导致的超标排放风险，全面筑牢溢流与超标排放风险防线。同步加强厂区管网、污泥处置等关键环节的泄漏防控，杜绝地下水污染隐患。加快补齐处理设施短板，优化污水处理厂汛期防控措施，强化厂网一体化联调联动。雨前分级腾容、动态调配水量，扩大管网缓冲空间；雨中梯级调水、减量跨越，提升系统协同处置能力。通过健全风险防控机制，强化日常运行维护与监管，完善应急处置预案，提升处理设施运行效能，构建高效协同、快速响应的污水处理与溢流风险防控体系。</w:t>
      </w:r>
    </w:p>
    <w:p w14:paraId="3EA0EFCD">
      <w:pPr>
        <w:pStyle w:val="4"/>
      </w:pPr>
      <w:bookmarkStart w:id="168" w:name="_Toc233041000"/>
      <w:r>
        <w:rPr>
          <w:rFonts w:hint="eastAsia"/>
        </w:rPr>
        <w:t>（四）提升城市适应气候变化水平</w:t>
      </w:r>
      <w:bookmarkEnd w:id="168"/>
    </w:p>
    <w:p w14:paraId="3F1C57C0">
      <w:pPr>
        <w:pStyle w:val="36"/>
      </w:pPr>
      <w:r>
        <w:t xml:space="preserve">1. </w:t>
      </w:r>
      <w:r>
        <w:rPr>
          <w:rFonts w:hint="eastAsia"/>
        </w:rPr>
        <w:t>完善气候变化预警系统</w:t>
      </w:r>
    </w:p>
    <w:p w14:paraId="3D5F3725">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强化覆盖区、街（乡）、社区（村）和重点防御单位的高级别气象灾害预警“叫应”机制。深入实施“网格</w:t>
      </w:r>
      <w:r>
        <w:rPr>
          <w:rFonts w:ascii="Times New Roman" w:hAnsi="Times New Roman" w:eastAsia="仿宋_GB2312" w:cs="Times New Roman"/>
          <w:sz w:val="32"/>
          <w:szCs w:val="32"/>
        </w:rPr>
        <w:t>+气象”行动，将气象防灾纳入街乡等基层网格化管理，建立全区统一的基层气象信息员数据库</w:t>
      </w:r>
      <w:r>
        <w:rPr>
          <w:rFonts w:hint="eastAsia" w:ascii="Times New Roman" w:hAnsi="Times New Roman" w:eastAsia="仿宋_GB2312" w:cs="Times New Roman"/>
          <w:sz w:val="32"/>
          <w:szCs w:val="32"/>
        </w:rPr>
        <w:t>。完善气象灾害应急预案，明确不同风险等级下差异化响应措施。</w:t>
      </w:r>
    </w:p>
    <w:p w14:paraId="08D34A7B">
      <w:pPr>
        <w:pStyle w:val="36"/>
      </w:pPr>
      <w:r>
        <w:t xml:space="preserve">2. </w:t>
      </w:r>
      <w:r>
        <w:rPr>
          <w:rFonts w:hint="eastAsia"/>
        </w:rPr>
        <w:t>加快推进海绵城市建设</w:t>
      </w:r>
    </w:p>
    <w:p w14:paraId="2CDD0177">
      <w:pPr>
        <w:adjustRightInd w:val="0"/>
        <w:snapToGrid w:val="0"/>
        <w:spacing w:line="560" w:lineRule="exact"/>
        <w:ind w:firstLine="640" w:firstLineChars="200"/>
        <w:rPr>
          <w:rFonts w:ascii="Times New Roman" w:hAnsi="Times New Roman" w:eastAsia="仿宋_GB2312" w:cs="Times New Roman"/>
          <w:sz w:val="32"/>
          <w:szCs w:val="32"/>
        </w:rPr>
      </w:pPr>
      <w:bookmarkStart w:id="169" w:name="_Hlk225154562"/>
      <w:r>
        <w:rPr>
          <w:rFonts w:hint="eastAsia" w:ascii="Times New Roman" w:hAnsi="Times New Roman" w:eastAsia="仿宋_GB2312" w:cs="Times New Roman"/>
          <w:sz w:val="32"/>
          <w:szCs w:val="32"/>
        </w:rPr>
        <w:t>系统推进海绵道路、海绵公园、海绵社区等</w:t>
      </w:r>
      <w:bookmarkEnd w:id="169"/>
      <w:r>
        <w:rPr>
          <w:rFonts w:hint="eastAsia" w:ascii="Times New Roman" w:hAnsi="Times New Roman" w:eastAsia="仿宋_GB2312" w:cs="Times New Roman"/>
          <w:sz w:val="32"/>
          <w:szCs w:val="32"/>
        </w:rPr>
        <w:t>试点建设，到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年建成区实现海绵城市达标比例达</w:t>
      </w:r>
      <w:r>
        <w:rPr>
          <w:rFonts w:ascii="Times New Roman" w:hAnsi="Times New Roman" w:eastAsia="仿宋_GB2312" w:cs="Times New Roman"/>
          <w:sz w:val="32"/>
          <w:szCs w:val="32"/>
        </w:rPr>
        <w:t>60%</w:t>
      </w:r>
      <w:r>
        <w:rPr>
          <w:rFonts w:hint="eastAsia" w:ascii="Times New Roman" w:hAnsi="Times New Roman" w:eastAsia="仿宋_GB2312" w:cs="Times New Roman"/>
          <w:sz w:val="32"/>
          <w:szCs w:val="32"/>
        </w:rPr>
        <w:t>。谋划推进通惠河蓄洪区建设，谋划北小河蓄滞洪区等一批小型蓄滞洪区。持续推进</w:t>
      </w:r>
      <w:r>
        <w:rPr>
          <w:rFonts w:ascii="Times New Roman" w:hAnsi="Times New Roman" w:eastAsia="仿宋_GB2312" w:cs="Times New Roman"/>
          <w:sz w:val="32"/>
          <w:szCs w:val="32"/>
        </w:rPr>
        <w:t>CBD</w:t>
      </w:r>
      <w:r>
        <w:rPr>
          <w:rFonts w:hint="eastAsia" w:ascii="Times New Roman" w:hAnsi="Times New Roman" w:eastAsia="仿宋_GB2312" w:cs="Times New Roman"/>
          <w:sz w:val="32"/>
          <w:szCs w:val="32"/>
        </w:rPr>
        <w:t>核心区、金泰桥、红领巾桥、金家村铁路涵洞等积水治理工程，提升区域管网、泵站排涝能力。指导推进牛王庙等蓄涝区规划建设，持续完善区域蓄涝空间布局，提升雨水调蓄与内涝防控能力。</w:t>
      </w:r>
    </w:p>
    <w:p w14:paraId="358DEF39">
      <w:pPr>
        <w:pStyle w:val="36"/>
      </w:pPr>
      <w:r>
        <w:t xml:space="preserve">3. </w:t>
      </w:r>
      <w:r>
        <w:rPr>
          <w:rFonts w:hint="eastAsia"/>
        </w:rPr>
        <w:t>全面提升城市生态韧性</w:t>
      </w:r>
    </w:p>
    <w:p w14:paraId="211F3201">
      <w:pPr>
        <w:adjustRightInd w:val="0"/>
        <w:snapToGrid w:val="0"/>
        <w:spacing w:line="560" w:lineRule="exact"/>
        <w:ind w:firstLine="640" w:firstLineChars="200"/>
        <w:rPr>
          <w:rFonts w:ascii="Times New Roman" w:hAnsi="Times New Roman" w:eastAsia="仿宋_GB2312" w:cs="Times New Roman"/>
          <w:sz w:val="32"/>
          <w:szCs w:val="32"/>
        </w:rPr>
        <w:sectPr>
          <w:pgSz w:w="11906" w:h="16838"/>
          <w:pgMar w:top="1417" w:right="1474" w:bottom="1417" w:left="1587" w:header="851" w:footer="992" w:gutter="0"/>
          <w:cols w:space="720" w:num="1"/>
          <w:docGrid w:type="lines" w:linePitch="312" w:charSpace="0"/>
        </w:sectPr>
      </w:pPr>
      <w:r>
        <w:rPr>
          <w:rFonts w:hint="eastAsia" w:ascii="Times New Roman" w:hAnsi="Times New Roman" w:eastAsia="仿宋_GB2312" w:cs="Times New Roman"/>
          <w:sz w:val="32"/>
          <w:szCs w:val="32"/>
        </w:rPr>
        <w:t>构建分场景的智慧气象防灾减灾综合平台，实现气象灾害智能识别、气象产品自动化制作与融媒体精准发布。构建“气象灾害链”阻断体系，建立分灾种、分季节、分地域、分行业和重点承灾体的气象灾害综合风险预估指标体系，精准识别关键传导节点与断链瓶颈。提高应对极端天气能力，建立极端天气过程早期识别与概率预报机制。</w:t>
      </w:r>
    </w:p>
    <w:p w14:paraId="44CE111A">
      <w:pPr>
        <w:pStyle w:val="3"/>
        <w:spacing w:before="158" w:after="158"/>
      </w:pPr>
      <w:bookmarkStart w:id="170" w:name="_Toc233041001"/>
      <w:r>
        <w:rPr>
          <w:rFonts w:hint="eastAsia"/>
        </w:rPr>
        <w:t>九、创新数字智慧监管，提升治理能力现代化</w:t>
      </w:r>
      <w:bookmarkEnd w:id="170"/>
    </w:p>
    <w:p w14:paraId="3072E9E3">
      <w:pPr>
        <w:adjustRightInd w:val="0"/>
        <w:snapToGrid w:val="0"/>
        <w:spacing w:line="56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完善生态环境制度体系，全面深化实施“三监”联动，</w:t>
      </w:r>
      <w:bookmarkStart w:id="171" w:name="_Hlk224072677"/>
      <w:r>
        <w:rPr>
          <w:rFonts w:hint="eastAsia" w:ascii="Times New Roman" w:hAnsi="Times New Roman" w:eastAsia="仿宋_GB2312" w:cs="Times New Roman"/>
          <w:sz w:val="32"/>
          <w:szCs w:val="32"/>
        </w:rPr>
        <w:t>以科技创新为引领、以数字智慧为导向，通过“生态大脑”赋能生态环境数智治理，实施环境全要素统筹、全过程监管，提升生态环境治理体系和治理能力现代化水平。</w:t>
      </w:r>
      <w:bookmarkEnd w:id="171"/>
    </w:p>
    <w:p w14:paraId="43838254">
      <w:pPr>
        <w:pStyle w:val="4"/>
      </w:pPr>
      <w:bookmarkStart w:id="172" w:name="_Toc233041002"/>
      <w:r>
        <w:rPr>
          <w:rFonts w:hint="eastAsia"/>
        </w:rPr>
        <w:t>（一）健全环境治理责任体系</w:t>
      </w:r>
      <w:bookmarkEnd w:id="172"/>
    </w:p>
    <w:p w14:paraId="272BBAB1">
      <w:pPr>
        <w:pStyle w:val="36"/>
      </w:pPr>
      <w:r>
        <w:t xml:space="preserve">1. </w:t>
      </w:r>
      <w:r>
        <w:rPr>
          <w:rFonts w:hint="eastAsia"/>
        </w:rPr>
        <w:t>健全环境治理领导责任体系</w:t>
      </w:r>
    </w:p>
    <w:p w14:paraId="53A5DA89">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部门、各街乡将美丽朝阳建设作为事关全局的重大任务来抓，实行生态环境保护“党政同责、一岗双责”，严格落实生态环境保护工作职责分工规定。适当优化和调整评价体系，不断完善与促进生态环境保护评价指标更加符合要求与实绩。设置生态文明建设委员会专项工作小组，统一部署和组织推进全区生态文明建设工作。</w:t>
      </w:r>
    </w:p>
    <w:p w14:paraId="1CBDA97D">
      <w:pPr>
        <w:pStyle w:val="36"/>
      </w:pPr>
      <w:r>
        <w:t xml:space="preserve">2. </w:t>
      </w:r>
      <w:r>
        <w:rPr>
          <w:rFonts w:hint="eastAsia"/>
        </w:rPr>
        <w:t>健全环境治理企业责任体系</w:t>
      </w:r>
    </w:p>
    <w:p w14:paraId="331BF395">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健全“一证式”管理体系，加快落实以排污许可制为核心的固定污染源监管制度，实现“一证一源、精细管理”。督促重点排污企业安装使用在线监测设备并确保正常运行，杜绝监测数据造假。鼓励企业开展节能减碳、污染治理先进技术示范和应用，争做低碳环保领跑者。强化企业环境信息和数据公开的责任，建立企业环境信息公开化制度，监督企业按规定公开污染物排放自行监测信息，完善上市公司和发债企业强制性环境治理信息披露制度。</w:t>
      </w:r>
    </w:p>
    <w:p w14:paraId="525C666E">
      <w:pPr>
        <w:pStyle w:val="36"/>
      </w:pPr>
      <w:bookmarkStart w:id="173" w:name="OLE_LINK4"/>
      <w:r>
        <w:t xml:space="preserve">3. </w:t>
      </w:r>
      <w:r>
        <w:rPr>
          <w:rFonts w:hint="eastAsia"/>
        </w:rPr>
        <w:t>健全环境治理全民行动体系</w:t>
      </w:r>
    </w:p>
    <w:bookmarkEnd w:id="173"/>
    <w:p w14:paraId="3DD278DB">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积极开展生态环境科普活动，创建一批生态环境宣传教育实践基地，向公众提供生态环境保护宣传教育服务。培育一批专业性、常态化生态环境志愿服务队伍，打造朝阳区志愿服务品牌。优化“接诉即办”全流程工作机制，构建高效顺畅的诉求办理体系，深入推进“接诉即办”与超大城市治理、环境问题和民生工作的融合，坚持“每月一题”机制，统筹解决高频共性难题。发挥新闻媒体的舆论监督作用，及时报道环境治理进展，曝光环境违法行为和生态环境破坏问题。深入挖掘生态文化资源，将大运河文化、美丽朝阳建设与生态文化培育相结合，丰富生态文化产品和服务。践行绿色低碳生活方式，推进节约型机关、绿色家庭、绿色学校、绿色社区等创建行动。到</w:t>
      </w:r>
      <w:r>
        <w:rPr>
          <w:rFonts w:ascii="Times New Roman" w:hAnsi="Times New Roman" w:eastAsia="仿宋_GB2312" w:cs="Times New Roman"/>
          <w:sz w:val="32"/>
          <w:szCs w:val="32"/>
        </w:rPr>
        <w:t>2030</w:t>
      </w:r>
      <w:r>
        <w:rPr>
          <w:rFonts w:hint="eastAsia" w:ascii="Times New Roman" w:hAnsi="Times New Roman" w:eastAsia="仿宋_GB2312" w:cs="Times New Roman"/>
          <w:sz w:val="32"/>
          <w:szCs w:val="32"/>
        </w:rPr>
        <w:t>年，公众对生态环境质量满意程度达到</w:t>
      </w:r>
      <w:r>
        <w:rPr>
          <w:rFonts w:ascii="Times New Roman" w:hAnsi="Times New Roman" w:eastAsia="仿宋_GB2312" w:cs="Times New Roman"/>
          <w:sz w:val="32"/>
          <w:szCs w:val="32"/>
        </w:rPr>
        <w:t>90%</w:t>
      </w:r>
      <w:r>
        <w:rPr>
          <w:rFonts w:hint="eastAsia" w:ascii="Times New Roman" w:hAnsi="Times New Roman" w:eastAsia="仿宋_GB2312" w:cs="Times New Roman"/>
          <w:sz w:val="32"/>
          <w:szCs w:val="32"/>
        </w:rPr>
        <w:t>以上。</w:t>
      </w:r>
    </w:p>
    <w:p w14:paraId="4E733CCE">
      <w:pPr>
        <w:pStyle w:val="4"/>
      </w:pPr>
      <w:bookmarkStart w:id="174" w:name="_Toc233041003"/>
      <w:r>
        <w:rPr>
          <w:rFonts w:hint="eastAsia"/>
        </w:rPr>
        <w:t>（二）完善生态环境制度体系</w:t>
      </w:r>
      <w:bookmarkEnd w:id="174"/>
    </w:p>
    <w:p w14:paraId="35F07D1C">
      <w:pPr>
        <w:pStyle w:val="36"/>
      </w:pPr>
      <w:r>
        <w:t xml:space="preserve">1. </w:t>
      </w:r>
      <w:bookmarkStart w:id="175" w:name="_Hlk225154998"/>
      <w:r>
        <w:rPr>
          <w:rFonts w:hint="eastAsia"/>
        </w:rPr>
        <w:t>扎实做好生态环境法典贯彻落实</w:t>
      </w:r>
    </w:p>
    <w:bookmarkEnd w:id="175"/>
    <w:p w14:paraId="65FC5F94">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面贯彻落实好《中华人民共和国生态环境法典》，严格执行环境影响评价、排污许可、监测监控、损害赔偿和公益诉讼等制度，强化刚性约束，严厉打击破坏生态环境违法犯罪行为。以生态环境法典突出问题导向，积极回应人民群众对良好生态环境的新期待新要求。</w:t>
      </w:r>
      <w:bookmarkStart w:id="176" w:name="_Hlk225155072"/>
      <w:r>
        <w:rPr>
          <w:rFonts w:hint="eastAsia" w:ascii="Times New Roman" w:hAnsi="Times New Roman" w:eastAsia="仿宋_GB2312" w:cs="Times New Roman"/>
          <w:sz w:val="32"/>
          <w:szCs w:val="32"/>
        </w:rPr>
        <w:t>加大生态环境法典学习宣传力度</w:t>
      </w:r>
      <w:bookmarkEnd w:id="176"/>
      <w:r>
        <w:rPr>
          <w:rFonts w:hint="eastAsia" w:ascii="Times New Roman" w:hAnsi="Times New Roman" w:eastAsia="仿宋_GB2312" w:cs="Times New Roman"/>
          <w:sz w:val="32"/>
          <w:szCs w:val="32"/>
        </w:rPr>
        <w:t>，开展学习培训和多种形式的宣传活动。</w:t>
      </w:r>
    </w:p>
    <w:p w14:paraId="1DEBAAC0">
      <w:pPr>
        <w:pStyle w:val="36"/>
      </w:pPr>
      <w:r>
        <w:t xml:space="preserve">2. </w:t>
      </w:r>
      <w:r>
        <w:rPr>
          <w:rFonts w:hint="eastAsia"/>
        </w:rPr>
        <w:t>持续健全河长制、林长制、田长制</w:t>
      </w:r>
    </w:p>
    <w:p w14:paraId="7502567F">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落实河长制从“有名有责”向“有能有效”升级。总结基层河长工作模式，形成基层河长制亮点案例。完善“区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街乡</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社区（村）”三级林长网络，实行分级管护与科学增绿。全面落实《北京市关于全面推行“田长制”的实施意见》，积极督促属地政府履职尽责，从严查处各类新增违法违规占用耕地或改变耕地用途行为。</w:t>
      </w:r>
    </w:p>
    <w:p w14:paraId="75BD42AA">
      <w:pPr>
        <w:pStyle w:val="36"/>
      </w:pPr>
      <w:r>
        <w:t xml:space="preserve">3. </w:t>
      </w:r>
      <w:bookmarkStart w:id="177" w:name="_Hlk225155088"/>
      <w:r>
        <w:rPr>
          <w:rFonts w:hint="eastAsia"/>
        </w:rPr>
        <w:t>构建标准引领的污染源管理体系</w:t>
      </w:r>
    </w:p>
    <w:bookmarkEnd w:id="177"/>
    <w:p w14:paraId="78B36FC3">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严格落实以排污许可证为核心的固定污染源监管制度，推进污染源管理系统化、</w:t>
      </w:r>
      <w:r>
        <w:rPr>
          <w:rFonts w:hint="eastAsia" w:ascii="Times New Roman" w:hAnsi="Times New Roman" w:eastAsia="仿宋_GB2312" w:cs="Times New Roman"/>
          <w:sz w:val="32"/>
          <w:szCs w:val="32"/>
          <w:highlight w:val="none"/>
        </w:rPr>
        <w:t>法</w:t>
      </w:r>
      <w:r>
        <w:rPr>
          <w:rFonts w:hint="eastAsia" w:ascii="Times New Roman" w:hAnsi="Times New Roman" w:eastAsia="仿宋_GB2312" w:cs="Times New Roman"/>
          <w:sz w:val="32"/>
          <w:szCs w:val="32"/>
          <w:highlight w:val="none"/>
          <w:lang w:eastAsia="zh-CN"/>
        </w:rPr>
        <w:t>治</w:t>
      </w:r>
      <w:r>
        <w:rPr>
          <w:rFonts w:hint="eastAsia" w:ascii="Times New Roman" w:hAnsi="Times New Roman" w:eastAsia="仿宋_GB2312" w:cs="Times New Roman"/>
          <w:sz w:val="32"/>
          <w:szCs w:val="32"/>
          <w:highlight w:val="none"/>
        </w:rPr>
        <w:t>化</w:t>
      </w:r>
      <w:r>
        <w:rPr>
          <w:rFonts w:hint="eastAsia" w:ascii="Times New Roman" w:hAnsi="Times New Roman" w:eastAsia="仿宋_GB2312" w:cs="Times New Roman"/>
          <w:sz w:val="32"/>
          <w:szCs w:val="32"/>
        </w:rPr>
        <w:t>、全局化。深入推进热力生产和供应等重点行业及锅炉、水处理等四个通用工序全部纳入排污许可管理，实现固定污染源排污许可分类管理目录全覆盖。按照《朝阳区污染源全流程监管指南》，深化污染源清单化管理，落实“一单一证”“一户一档”“一厂一策”。</w:t>
      </w:r>
      <w:bookmarkStart w:id="181" w:name="_GoBack"/>
      <w:bookmarkEnd w:id="181"/>
    </w:p>
    <w:p w14:paraId="16D37D5C">
      <w:pPr>
        <w:pStyle w:val="36"/>
      </w:pPr>
      <w:r>
        <w:t xml:space="preserve">4. </w:t>
      </w:r>
      <w:r>
        <w:rPr>
          <w:rFonts w:hint="eastAsia"/>
        </w:rPr>
        <w:t>健全生态环境保护联席工作机制</w:t>
      </w:r>
    </w:p>
    <w:p w14:paraId="4A7CED17">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成立中共北京市朝阳区委生态文明建设委员会，统筹推进生态文明建设和生态环境保护各项重点任务落实。深化落实生态环境保护联席工作机制，整合生态环境、规划、住建、水务、园林等多部门职能，针对“多头管理、责任虚化”难题，定期召开联席会议协调跨领域矛盾，加强数据共享、共商共治、联合调查、科技支撑、合力宣传等方面，确保政策衔接与行动同步，</w:t>
      </w:r>
      <w:r>
        <w:rPr>
          <w:rFonts w:hint="eastAsia" w:ascii="仿宋_GB2312" w:hAnsi="Times New Roman" w:eastAsia="仿宋_GB2312" w:cs="Times New Roman"/>
          <w:sz w:val="32"/>
          <w:szCs w:val="32"/>
        </w:rPr>
        <w:t>形成“规划-执行-监督-反馈”闭环管理机制，全面提升生态环境</w:t>
      </w:r>
      <w:r>
        <w:rPr>
          <w:rFonts w:hint="eastAsia" w:ascii="Times New Roman" w:hAnsi="Times New Roman" w:eastAsia="仿宋_GB2312" w:cs="Times New Roman"/>
          <w:sz w:val="32"/>
          <w:szCs w:val="32"/>
        </w:rPr>
        <w:t>治理系统化、精细化水平。</w:t>
      </w:r>
    </w:p>
    <w:p w14:paraId="35A06DD0">
      <w:pPr>
        <w:pStyle w:val="4"/>
      </w:pPr>
      <w:bookmarkStart w:id="178" w:name="_Toc233041004"/>
      <w:r>
        <w:rPr>
          <w:rFonts w:hint="eastAsia"/>
        </w:rPr>
        <w:t>（三）深化实施“三监”联动机制</w:t>
      </w:r>
      <w:bookmarkEnd w:id="178"/>
    </w:p>
    <w:p w14:paraId="66A191F6">
      <w:pPr>
        <w:pStyle w:val="36"/>
      </w:pPr>
      <w:r>
        <w:t xml:space="preserve">1. </w:t>
      </w:r>
      <w:r>
        <w:rPr>
          <w:rFonts w:hint="eastAsia"/>
        </w:rPr>
        <w:t>建立现代化监测体系</w:t>
      </w:r>
    </w:p>
    <w:p w14:paraId="5F697C8E">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拓展生物多样性、水生态、土壤、地下水等环境要素的监测网络建设，一张网构建全要素生态环境监测网络。依托“生态大脑”搭建非现场监控指挥中心，借助手工监测、在线监测、在线监控、走航监测、遥测、卫星等多种手段，建立“</w:t>
      </w:r>
      <w:r>
        <w:rPr>
          <w:rFonts w:ascii="Times New Roman" w:hAnsi="Times New Roman" w:eastAsia="仿宋_GB2312" w:cs="Times New Roman"/>
          <w:sz w:val="32"/>
          <w:szCs w:val="32"/>
        </w:rPr>
        <w:t>X</w:t>
      </w:r>
      <w:r>
        <w:rPr>
          <w:rFonts w:hint="eastAsia" w:ascii="Times New Roman" w:hAnsi="Times New Roman" w:eastAsia="仿宋_GB2312" w:cs="Times New Roman"/>
          <w:sz w:val="32"/>
          <w:szCs w:val="32"/>
        </w:rPr>
        <w:t>个数据库”，构建多手段、多要素、全流程一体化运行管理平台，形成全区污染源“一张网”。重点开展水质指标全自动无人化实验室的建设，打造现代化智能实验室。建成北京市地下水特色站，扩充底栖动物、浮游动物等水生态监测能力，开展水中有机污染物、新污染物调查监测，提高新污染物监测筛查能力。持续推进区域生态安全监测观测系统建设，提升生态安全风险监测能力。</w:t>
      </w:r>
    </w:p>
    <w:p w14:paraId="6CDC4CE4">
      <w:pPr>
        <w:pStyle w:val="36"/>
      </w:pPr>
      <w:r>
        <w:t xml:space="preserve">2. </w:t>
      </w:r>
      <w:r>
        <w:rPr>
          <w:rFonts w:hint="eastAsia"/>
        </w:rPr>
        <w:t>助推非现场精准执法</w:t>
      </w:r>
    </w:p>
    <w:p w14:paraId="5A7EC9F4">
      <w:pPr>
        <w:adjustRightInd w:val="0"/>
        <w:snapToGrid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建设“互联网</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监管”系统，强化热点网格、在线监控系统、移动执法系统应用，提升执法效能。深入推行“一码智管”，对“白名单”企业落实无事不扰措施，深化一体化综合监管。依托数字平台实现执法数据互通、监管标准互认，构建“高位协调</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专业执行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跟踪反馈”全链条治理模式。深化对街乡的执法指导与联动协作，建立执法人才培养机制，选拔执法骨干重点培养，建立队内人才库。</w:t>
      </w:r>
    </w:p>
    <w:p w14:paraId="4D166AAF">
      <w:pPr>
        <w:pStyle w:val="4"/>
      </w:pPr>
      <w:bookmarkStart w:id="179" w:name="_Toc233041005"/>
      <w:r>
        <w:rPr>
          <w:rFonts w:hint="eastAsia"/>
        </w:rPr>
        <w:t>（四）探索环境治理“数智”转型</w:t>
      </w:r>
      <w:bookmarkEnd w:id="179"/>
    </w:p>
    <w:p w14:paraId="70079BA1">
      <w:pPr>
        <w:pStyle w:val="36"/>
      </w:pPr>
      <w:r>
        <w:t xml:space="preserve">1. </w:t>
      </w:r>
      <w:r>
        <w:rPr>
          <w:rFonts w:hint="eastAsia"/>
        </w:rPr>
        <w:t>智慧科技赋能“生态大脑”</w:t>
      </w:r>
    </w:p>
    <w:p w14:paraId="6EEA6A71">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加快“生态大脑”智慧平台迭代升级，打造多源数据驱动的智慧决策中枢。加快推进相关部门数据深度贯通，建立综合性环境数据库，开展跨部门数据联合分析与关联挖掘，实现智能化指挥调度平台的环境全要素统筹、全过程监管。拓展智慧决策应用场景，基于多源数据融合分析等模型，为精准治污、绿色转型等提供科学依据。推动大数据、人工智能、卫星遥感等新一代信息技术在环境治理中的深度应用，支持利用智能监测设备和移动互联网，持续完善全天候、多层次的智能感知体系。</w:t>
      </w:r>
    </w:p>
    <w:p w14:paraId="3202741A">
      <w:pPr>
        <w:pStyle w:val="36"/>
      </w:pPr>
      <w:r>
        <w:t xml:space="preserve">2. </w:t>
      </w:r>
      <w:r>
        <w:rPr>
          <w:rFonts w:hint="eastAsia"/>
        </w:rPr>
        <w:t>打造数据场景应用高地</w:t>
      </w:r>
    </w:p>
    <w:p w14:paraId="232CD773">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围绕智能环境监测、污染源精准溯源等数智环保技术，实施一批重大技术成果场景示范应用工程，推动数智环保科技成果和先进适用技术集成及转化应用。高标准建设奥林匹克中心区智慧示范园区、温榆河公园等生态环保应用场景项目，大力支持创建一批可视性强、显示度高的大型应用场景示范项目。着重聚焦朝阳园北区、金盏国际合作服务区，率先推动布局一批新型储能、零碳负碳建筑等技术应用场景示范区，加快打造常态化的新技术新产品集中应用示范场，大力支持各类先进适用的绿色低碳技术就地转化。</w:t>
      </w:r>
    </w:p>
    <w:p w14:paraId="0A520DA1">
      <w:pPr>
        <w:pStyle w:val="4"/>
      </w:pPr>
      <w:bookmarkStart w:id="180" w:name="_Toc233041006"/>
      <w:r>
        <w:rPr>
          <w:rFonts w:hint="eastAsia"/>
        </w:rPr>
        <w:t>（五）健全规划支撑保障机制</w:t>
      </w:r>
      <w:bookmarkEnd w:id="180"/>
    </w:p>
    <w:p w14:paraId="08E18B78">
      <w:pPr>
        <w:pStyle w:val="36"/>
      </w:pPr>
      <w:r>
        <w:rPr>
          <w:rFonts w:hint="eastAsia"/>
        </w:rPr>
        <w:t>1.</w:t>
      </w:r>
      <w:r>
        <w:t xml:space="preserve"> </w:t>
      </w:r>
      <w:r>
        <w:rPr>
          <w:rFonts w:hint="eastAsia"/>
        </w:rPr>
        <w:t>严格规划实施管理</w:t>
      </w:r>
    </w:p>
    <w:p w14:paraId="4FB033FD">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强化规划实施统筹协调，健全清单化管理、项目化推进工作机制，细化分解目标任务，明确责任单位、时间节点和实施路径，推动各项任务有序落实。健全规划实施监督反馈机制，加强全过程跟踪调度和协调督导，及时研究解决推进中的重点难点问题。加强年度计划与发展规划有效衔接，编制美丽朝阳建设年度实施计划，将规划确定的主要指标、重点任务和重大工程纳入年度计划和重点工作安排，形成上下贯通、协同推进的工作体系。</w:t>
      </w:r>
    </w:p>
    <w:p w14:paraId="35C74FFF">
      <w:pPr>
        <w:pStyle w:val="36"/>
      </w:pPr>
      <w:r>
        <w:t xml:space="preserve">2. </w:t>
      </w:r>
      <w:r>
        <w:rPr>
          <w:rFonts w:hint="eastAsia"/>
        </w:rPr>
        <w:t>做好资金投入保障</w:t>
      </w:r>
    </w:p>
    <w:p w14:paraId="3A54B05F">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积极争取国家和北京市污染防治专项资金与政策支持，持续加大区级财政对生态环境领域的支持力度。制定以奖代补、示范引导等支持政策，引导企业主动开展污染治理和“创绿”提级。健全资金全过程绩效管理机制，强化重点领域、重点项目资金统筹保障，提高资金配置效率和使用效益。拓展投融资渠道，鼓励和吸引社会资本参与污染治理、生态修复及环境基础设施建设运营，推动形成多元化投入机制。积极发展绿色金融，探索设立绿色发展基金，推广绿色信贷、绿色债券等绿色金融产品，进一步拓宽绿色产业投融资渠道。</w:t>
      </w:r>
    </w:p>
    <w:p w14:paraId="5DFEF1F8">
      <w:pPr>
        <w:pStyle w:val="36"/>
      </w:pPr>
      <w:r>
        <w:t xml:space="preserve">3. </w:t>
      </w:r>
      <w:r>
        <w:rPr>
          <w:rFonts w:hint="eastAsia"/>
        </w:rPr>
        <w:t>完善动态评估机制</w:t>
      </w:r>
    </w:p>
    <w:p w14:paraId="18959F8C">
      <w:pPr>
        <w:tabs>
          <w:tab w:val="left" w:pos="567"/>
        </w:tabs>
        <w:adjustRightInd w:val="0"/>
        <w:snapToGrid w:val="0"/>
        <w:spacing w:line="560" w:lineRule="exact"/>
        <w:ind w:firstLine="640" w:firstLineChars="200"/>
        <w:rPr>
          <w:rFonts w:ascii="Times New Roman" w:hAnsi="Times New Roman" w:eastAsia="仿宋_GB2312" w:cs="Times New Roman"/>
          <w:sz w:val="32"/>
        </w:rPr>
      </w:pPr>
      <w:r>
        <w:rPr>
          <w:rFonts w:hint="eastAsia" w:ascii="Times New Roman" w:hAnsi="Times New Roman" w:eastAsia="仿宋_GB2312" w:cs="Times New Roman"/>
          <w:sz w:val="32"/>
        </w:rPr>
        <w:t>健全目标分解落实机制，细化责任主体和时序安排，压紧压实各方责任。建立年度监测、中期评估与终期总结相衔接的动态评估机制，强化规划实施全过程跟踪督导，对任务推进滞后事项及时预警、督促整改，确保规划目标任务有序推进、如期实现。加强第三方独立评估，提升规划实施评估的客观性、科学性和权威性，推动规划各项任务落地见效。</w:t>
      </w:r>
    </w:p>
    <w:p w14:paraId="3F167947">
      <w:pPr>
        <w:tabs>
          <w:tab w:val="left" w:pos="567"/>
        </w:tabs>
        <w:adjustRightInd w:val="0"/>
        <w:snapToGrid w:val="0"/>
        <w:spacing w:line="560" w:lineRule="exact"/>
        <w:ind w:firstLine="640" w:firstLineChars="200"/>
        <w:rPr>
          <w:rFonts w:ascii="Times New Roman" w:hAnsi="Times New Roman" w:eastAsia="仿宋_GB2312" w:cs="Times New Roman"/>
          <w:sz w:val="32"/>
        </w:rPr>
      </w:pPr>
    </w:p>
    <w:p w14:paraId="45422F70">
      <w:pPr>
        <w:pStyle w:val="2"/>
        <w:rPr>
          <w:rFonts w:hint="eastAsia"/>
          <w:color w:val="auto"/>
        </w:rPr>
      </w:pPr>
    </w:p>
    <w:sectPr>
      <w:footerReference r:id="rId9" w:type="default"/>
      <w:pgSz w:w="11906" w:h="16838"/>
      <w:pgMar w:top="1417" w:right="1474" w:bottom="1417" w:left="1587" w:header="851"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等线">
    <w:altName w:val="原版宋体"/>
    <w:panose1 w:val="02010600030101010101"/>
    <w:charset w:val="86"/>
    <w:family w:val="auto"/>
    <w:pitch w:val="default"/>
    <w:sig w:usb0="00000000" w:usb1="00000000" w:usb2="00000016" w:usb3="00000000" w:csb0="0004000F" w:csb1="00000000"/>
  </w:font>
  <w:font w:name="原版宋体">
    <w:panose1 w:val="02010600030101010101"/>
    <w:charset w:val="86"/>
    <w:family w:val="auto"/>
    <w:pitch w:val="default"/>
    <w:sig w:usb0="00000003" w:usb1="080E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微软雅黑">
    <w:altName w:val="黑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9F636">
    <w:pPr>
      <w:jc w:val="center"/>
      <w:rPr>
        <w:rFonts w:ascii="Times New Roman" w:hAnsi="Times New Roman" w:eastAsia="等线" w:cs="Times New Roman"/>
        <w:szCs w:val="2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6" name="文本框 2054"/>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47DD0F49">
                          <w:pPr>
                            <w:pStyle w:val="10"/>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anchor>
          </w:drawing>
        </mc:Choice>
        <mc:Fallback>
          <w:pict>
            <v:shape id="文本框 2054"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1u5d9AAAAACAQAADwAAAAAAAAABACAAAAAiAAAAZHJz&#10;L2Rvd25yZXYueG1sUEsBAhQAFAAAAAgAh07iQBp5WtQMAgAABAQAAA4AAAAAAAAAAQAgAAAAHwEA&#10;AGRycy9lMm9Eb2MueG1sUEsFBgAAAAAGAAYAWQEAAJ0FAAAAAA==&#10;">
              <v:fill on="f" focussize="0,0"/>
              <v:stroke on="f"/>
              <v:imagedata o:title=""/>
              <o:lock v:ext="edit" aspectratio="f"/>
              <v:textbox inset="0mm,0mm,0mm,0mm" style="mso-fit-shape-to-text:t;">
                <w:txbxContent>
                  <w:p w14:paraId="47DD0F49">
                    <w:pPr>
                      <w:pStyle w:val="1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8FDA8">
    <w:pPr>
      <w:jc w:val="center"/>
      <w:rPr>
        <w:rFonts w:ascii="Times New Roman" w:hAnsi="Times New Roman" w:eastAsia="等线" w:cs="Times New Roman"/>
        <w:szCs w:val="2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5" name="文本框 205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4E055115">
                          <w:pPr>
                            <w:pStyle w:val="1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055"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1u5d9AAAAACAQAADwAAAAAAAAABACAAAAAiAAAAZHJz&#10;L2Rvd25yZXYueG1sUEsBAhQAFAAAAAgAh07iQK5/T1wMAgAABAQAAA4AAAAAAAAAAQAgAAAAHwEA&#10;AGRycy9lMm9Eb2MueG1sUEsFBgAAAAAGAAYAWQEAAJ0FAAAAAA==&#10;">
              <v:fill on="f" focussize="0,0"/>
              <v:stroke on="f"/>
              <v:imagedata o:title=""/>
              <o:lock v:ext="edit" aspectratio="f"/>
              <v:textbox inset="0mm,0mm,0mm,0mm" style="mso-fit-shape-to-text:t;">
                <w:txbxContent>
                  <w:p w14:paraId="4E05511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9C938">
    <w:pPr>
      <w:tabs>
        <w:tab w:val="center" w:pos="4153"/>
        <w:tab w:val="right" w:pos="8306"/>
      </w:tabs>
      <w:snapToGrid w:val="0"/>
      <w:ind w:firstLine="640"/>
      <w:jc w:val="center"/>
      <w:rPr>
        <w:rFonts w:ascii="Times New Roman" w:hAnsi="Times New Roman" w:eastAsia="等线"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2056"/>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6EE45C33">
                          <w:pPr>
                            <w:pStyle w:val="10"/>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文本框 2056" o:spid="_x0000_s1026" o:spt="202" type="#_x0000_t202" style="position:absolute;left:0pt;margin-top:0pt;height:11pt;width:4.6pt;mso-position-horizontal:center;mso-position-horizontal-relative:margin;mso-wrap-style:none;z-index:251661312;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1u5d9AAAAACAQAADwAAAAAAAAABACAAAAAiAAAAZHJz&#10;L2Rvd25yZXYueG1sUEsBAhQAFAAAAAgAh07iQK0CzKEMAgAABAQAAA4AAAAAAAAAAQAgAAAAHwEA&#10;AGRycy9lMm9Eb2MueG1sUEsFBgAAAAAGAAYAWQEAAJ0FAAAAAA==&#10;">
              <v:fill on="f" focussize="0,0"/>
              <v:stroke on="f"/>
              <v:imagedata o:title=""/>
              <o:lock v:ext="edit" aspectratio="f"/>
              <v:textbox inset="0mm,0mm,0mm,0mm" style="mso-fit-shape-to-text:t;">
                <w:txbxContent>
                  <w:p w14:paraId="6EE45C33">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FCD19">
    <w:pPr>
      <w:jc w:val="center"/>
      <w:rPr>
        <w:rFonts w:ascii="Times New Roman" w:hAnsi="Times New Roman" w:eastAsia="等线"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10185" cy="150495"/>
              <wp:effectExtent l="0" t="0" r="0" b="1905"/>
              <wp:wrapNone/>
              <wp:docPr id="3" name="文本框 2057"/>
              <wp:cNvGraphicFramePr/>
              <a:graphic xmlns:a="http://schemas.openxmlformats.org/drawingml/2006/main">
                <a:graphicData uri="http://schemas.microsoft.com/office/word/2010/wordprocessingShape">
                  <wps:wsp>
                    <wps:cNvSpPr txBox="1">
                      <a:spLocks noChangeArrowheads="1"/>
                    </wps:cNvSpPr>
                    <wps:spPr bwMode="auto">
                      <a:xfrm>
                        <a:off x="0" y="0"/>
                        <a:ext cx="210185" cy="150495"/>
                      </a:xfrm>
                      <a:prstGeom prst="rect">
                        <a:avLst/>
                      </a:prstGeom>
                      <a:noFill/>
                      <a:ln>
                        <a:noFill/>
                      </a:ln>
                    </wps:spPr>
                    <wps:txbx>
                      <w:txbxContent>
                        <w:p w14:paraId="5004BE93">
                          <w:pPr>
                            <w:jc w:val="center"/>
                          </w:pPr>
                          <w:r>
                            <w:rPr>
                              <w:rFonts w:ascii="Times New Roman" w:hAnsi="Times New Roman" w:eastAsia="等线" w:cs="Times New Roman"/>
                              <w:sz w:val="18"/>
                              <w:szCs w:val="18"/>
                            </w:rPr>
                            <w:fldChar w:fldCharType="begin"/>
                          </w:r>
                          <w:r>
                            <w:rPr>
                              <w:rFonts w:ascii="Times New Roman" w:hAnsi="Times New Roman" w:eastAsia="等线" w:cs="Times New Roman"/>
                              <w:sz w:val="18"/>
                              <w:szCs w:val="18"/>
                            </w:rPr>
                            <w:instrText xml:space="preserve">PAGE   \* MERGEFORMAT</w:instrText>
                          </w:r>
                          <w:r>
                            <w:rPr>
                              <w:rFonts w:ascii="Times New Roman" w:hAnsi="Times New Roman" w:eastAsia="等线" w:cs="Times New Roman"/>
                              <w:sz w:val="18"/>
                              <w:szCs w:val="18"/>
                            </w:rPr>
                            <w:fldChar w:fldCharType="separate"/>
                          </w:r>
                          <w:r>
                            <w:rPr>
                              <w:rFonts w:ascii="Times New Roman" w:hAnsi="Times New Roman" w:eastAsia="等线" w:cs="Times New Roman"/>
                              <w:sz w:val="18"/>
                              <w:szCs w:val="18"/>
                              <w:lang w:val="zh-CN"/>
                            </w:rPr>
                            <w:t>10</w:t>
                          </w:r>
                          <w:r>
                            <w:rPr>
                              <w:rFonts w:ascii="Times New Roman" w:hAnsi="Times New Roman" w:eastAsia="等线" w:cs="Times New Roman"/>
                              <w:sz w:val="18"/>
                              <w:szCs w:val="18"/>
                            </w:rPr>
                            <w:fldChar w:fldCharType="end"/>
                          </w:r>
                        </w:p>
                      </w:txbxContent>
                    </wps:txbx>
                    <wps:bodyPr rot="0" vert="horz" wrap="square" lIns="0" tIns="0" rIns="0" bIns="0" anchor="t" anchorCtr="0" upright="1">
                      <a:noAutofit/>
                    </wps:bodyPr>
                  </wps:wsp>
                </a:graphicData>
              </a:graphic>
            </wp:anchor>
          </w:drawing>
        </mc:Choice>
        <mc:Fallback>
          <w:pict>
            <v:shape id="文本框 2057" o:spid="_x0000_s1026" o:spt="202" type="#_x0000_t202" style="position:absolute;left:0pt;margin-top:0pt;height:11.85pt;width:16.55pt;mso-position-horizontal:center;mso-position-horizontal-relative:margin;z-index:251662336;mso-width-relative:page;mso-height-relative:page;" filled="f" stroked="f" coordsize="21600,21600" o:gfxdata="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knxv+1AAAAAMBAAAPAAAAAAAAAAEAIAAA&#10;ACIAAABkcnMvZG93bnJldi54bWxQSwECFAAUAAAACACHTuJAtczj2hACAAAHBAAADgAAAAAAAAAB&#10;ACAAAAAjAQAAZHJzL2Uyb0RvYy54bWxQSwUGAAAAAAYABgBZAQAApQUAAAAA&#10;">
              <v:fill on="f" focussize="0,0"/>
              <v:stroke on="f"/>
              <v:imagedata o:title=""/>
              <o:lock v:ext="edit" aspectratio="f"/>
              <v:textbox inset="0mm,0mm,0mm,0mm">
                <w:txbxContent>
                  <w:p w14:paraId="5004BE93">
                    <w:pPr>
                      <w:jc w:val="center"/>
                    </w:pPr>
                    <w:r>
                      <w:rPr>
                        <w:rFonts w:ascii="Times New Roman" w:hAnsi="Times New Roman" w:eastAsia="等线" w:cs="Times New Roman"/>
                        <w:sz w:val="18"/>
                        <w:szCs w:val="18"/>
                      </w:rPr>
                      <w:fldChar w:fldCharType="begin"/>
                    </w:r>
                    <w:r>
                      <w:rPr>
                        <w:rFonts w:ascii="Times New Roman" w:hAnsi="Times New Roman" w:eastAsia="等线" w:cs="Times New Roman"/>
                        <w:sz w:val="18"/>
                        <w:szCs w:val="18"/>
                      </w:rPr>
                      <w:instrText xml:space="preserve">PAGE   \* MERGEFORMAT</w:instrText>
                    </w:r>
                    <w:r>
                      <w:rPr>
                        <w:rFonts w:ascii="Times New Roman" w:hAnsi="Times New Roman" w:eastAsia="等线" w:cs="Times New Roman"/>
                        <w:sz w:val="18"/>
                        <w:szCs w:val="18"/>
                      </w:rPr>
                      <w:fldChar w:fldCharType="separate"/>
                    </w:r>
                    <w:r>
                      <w:rPr>
                        <w:rFonts w:ascii="Times New Roman" w:hAnsi="Times New Roman" w:eastAsia="等线" w:cs="Times New Roman"/>
                        <w:sz w:val="18"/>
                        <w:szCs w:val="18"/>
                        <w:lang w:val="zh-CN"/>
                      </w:rPr>
                      <w:t>10</w:t>
                    </w:r>
                    <w:r>
                      <w:rPr>
                        <w:rFonts w:ascii="Times New Roman" w:hAnsi="Times New Roman" w:eastAsia="等线" w:cs="Times New Roman"/>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C7F7E">
    <w:pPr>
      <w:pStyle w:val="10"/>
      <w:jc w:val="center"/>
      <w:rPr>
        <w:rFonts w:ascii="Times New Roman" w:hAnsi="Times New Roman" w:cs="Times New Roman"/>
        <w:sz w:val="21"/>
        <w:szCs w:val="22"/>
        <w:lang w:val="zh-CN"/>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3985" cy="153035"/>
              <wp:effectExtent l="0" t="0" r="0" b="0"/>
              <wp:wrapNone/>
              <wp:docPr id="1" name="文本框 2058"/>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wps:spPr>
                    <wps:txbx>
                      <w:txbxContent>
                        <w:p w14:paraId="57370338">
                          <w:pPr>
                            <w:pStyle w:val="10"/>
                            <w:jc w:val="center"/>
                          </w:pPr>
                          <w:r>
                            <w:rPr>
                              <w:rFonts w:ascii="Times New Roman" w:hAnsi="Times New Roman" w:cs="Times New Roman"/>
                              <w:sz w:val="21"/>
                              <w:szCs w:val="22"/>
                              <w:lang w:val="zh-CN"/>
                            </w:rPr>
                            <w:fldChar w:fldCharType="begin"/>
                          </w:r>
                          <w:r>
                            <w:rPr>
                              <w:rFonts w:ascii="Times New Roman" w:hAnsi="Times New Roman" w:cs="Times New Roman"/>
                              <w:sz w:val="21"/>
                              <w:szCs w:val="22"/>
                              <w:lang w:val="zh-CN"/>
                            </w:rPr>
                            <w:instrText xml:space="preserve">PAGE   \* MERGEFORMAT</w:instrText>
                          </w:r>
                          <w:r>
                            <w:rPr>
                              <w:rFonts w:ascii="Times New Roman" w:hAnsi="Times New Roman" w:cs="Times New Roman"/>
                              <w:sz w:val="21"/>
                              <w:szCs w:val="22"/>
                              <w:lang w:val="zh-CN"/>
                            </w:rPr>
                            <w:fldChar w:fldCharType="separate"/>
                          </w:r>
                          <w:r>
                            <w:rPr>
                              <w:rFonts w:ascii="Times New Roman" w:hAnsi="Times New Roman" w:cs="Times New Roman"/>
                              <w:sz w:val="21"/>
                              <w:szCs w:val="22"/>
                              <w:lang w:val="zh-CN"/>
                            </w:rPr>
                            <w:t>2</w:t>
                          </w:r>
                          <w:r>
                            <w:rPr>
                              <w:rFonts w:ascii="Times New Roman" w:hAnsi="Times New Roman" w:cs="Times New Roman"/>
                              <w:sz w:val="21"/>
                              <w:szCs w:val="22"/>
                              <w:lang w:val="zh-CN"/>
                            </w:rPr>
                            <w:fldChar w:fldCharType="end"/>
                          </w:r>
                        </w:p>
                      </w:txbxContent>
                    </wps:txbx>
                    <wps:bodyPr rot="0" vert="horz" wrap="none" lIns="0" tIns="0" rIns="0" bIns="0" anchor="t" anchorCtr="0" upright="1">
                      <a:spAutoFit/>
                    </wps:bodyPr>
                  </wps:wsp>
                </a:graphicData>
              </a:graphic>
            </wp:anchor>
          </w:drawing>
        </mc:Choice>
        <mc:Fallback>
          <w:pict>
            <v:shape id="文本框 2058" o:spid="_x0000_s1026" o:spt="202" type="#_x0000_t202" style="position:absolute;left:0pt;margin-top:0pt;height:12.05pt;width:10.55pt;mso-position-horizontal:center;mso-position-horizontal-relative:margin;mso-wrap-style:none;z-index:251663360;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HtdM9AAAAADAQAADwAAAAAAAAABACAAAAAiAAAAZHJz&#10;L2Rvd25yZXYueG1sUEsBAhQAFAAAAAgAh07iQD6c30MMAgAABQQAAA4AAAAAAAAAAQAgAAAAHwEA&#10;AGRycy9lMm9Eb2MueG1sUEsFBgAAAAAGAAYAWQEAAJ0FAAAAAA==&#10;">
              <v:fill on="f" focussize="0,0"/>
              <v:stroke on="f"/>
              <v:imagedata o:title=""/>
              <o:lock v:ext="edit" aspectratio="f"/>
              <v:textbox inset="0mm,0mm,0mm,0mm" style="mso-fit-shape-to-text:t;">
                <w:txbxContent>
                  <w:p w14:paraId="57370338">
                    <w:pPr>
                      <w:pStyle w:val="10"/>
                      <w:jc w:val="center"/>
                    </w:pPr>
                    <w:r>
                      <w:rPr>
                        <w:rFonts w:ascii="Times New Roman" w:hAnsi="Times New Roman" w:cs="Times New Roman"/>
                        <w:sz w:val="21"/>
                        <w:szCs w:val="22"/>
                        <w:lang w:val="zh-CN"/>
                      </w:rPr>
                      <w:fldChar w:fldCharType="begin"/>
                    </w:r>
                    <w:r>
                      <w:rPr>
                        <w:rFonts w:ascii="Times New Roman" w:hAnsi="Times New Roman" w:cs="Times New Roman"/>
                        <w:sz w:val="21"/>
                        <w:szCs w:val="22"/>
                        <w:lang w:val="zh-CN"/>
                      </w:rPr>
                      <w:instrText xml:space="preserve">PAGE   \* MERGEFORMAT</w:instrText>
                    </w:r>
                    <w:r>
                      <w:rPr>
                        <w:rFonts w:ascii="Times New Roman" w:hAnsi="Times New Roman" w:cs="Times New Roman"/>
                        <w:sz w:val="21"/>
                        <w:szCs w:val="22"/>
                        <w:lang w:val="zh-CN"/>
                      </w:rPr>
                      <w:fldChar w:fldCharType="separate"/>
                    </w:r>
                    <w:r>
                      <w:rPr>
                        <w:rFonts w:ascii="Times New Roman" w:hAnsi="Times New Roman" w:cs="Times New Roman"/>
                        <w:sz w:val="21"/>
                        <w:szCs w:val="22"/>
                        <w:lang w:val="zh-CN"/>
                      </w:rPr>
                      <w:t>2</w:t>
                    </w:r>
                    <w:r>
                      <w:rPr>
                        <w:rFonts w:ascii="Times New Roman" w:hAnsi="Times New Roman" w:cs="Times New Roman"/>
                        <w:sz w:val="21"/>
                        <w:szCs w:val="22"/>
                        <w:lang w:val="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33FF4F00">
      <w:pPr>
        <w:keepNext/>
        <w:keepLines/>
        <w:widowControl/>
        <w:snapToGrid w:val="0"/>
        <w:jc w:val="both"/>
        <w:rPr>
          <w:rFonts w:hint="eastAsia" w:ascii="宋体" w:hAnsi="宋体" w:cs="Times New Roman"/>
          <w:sz w:val="18"/>
          <w:szCs w:val="18"/>
        </w:rPr>
      </w:pPr>
      <w:r>
        <w:rPr>
          <w:rFonts w:ascii="Times New Roman" w:hAnsi="Times New Roman" w:eastAsia="仿宋_GB2312" w:cs="Times New Roman"/>
          <w:szCs w:val="21"/>
          <w:vertAlign w:val="superscript"/>
        </w:rPr>
        <w:footnoteRef/>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两环：第一道绿化隔离地区城市公园环和第</w:t>
      </w:r>
      <w:r>
        <w:rPr>
          <w:rFonts w:ascii="Times New Roman" w:hAnsi="Times New Roman" w:eastAsia="仿宋_GB2312" w:cs="Times New Roman"/>
          <w:szCs w:val="21"/>
        </w:rPr>
        <w:t>二道绿化隔离地区郊野公园环</w:t>
      </w:r>
      <w:r>
        <w:rPr>
          <w:rFonts w:hint="eastAsia" w:ascii="Times New Roman" w:hAnsi="Times New Roman" w:eastAsia="仿宋_GB2312" w:cs="Times New Roman"/>
          <w:szCs w:val="21"/>
        </w:rPr>
        <w:t>；六楔：六条贯穿朝阳区与外围区域的楔形生态</w:t>
      </w:r>
      <w:r>
        <w:rPr>
          <w:rFonts w:ascii="Times New Roman" w:hAnsi="Times New Roman" w:eastAsia="仿宋_GB2312" w:cs="Times New Roman"/>
          <w:szCs w:val="21"/>
        </w:rPr>
        <w:t>空间</w:t>
      </w:r>
      <w:r>
        <w:rPr>
          <w:rFonts w:hint="eastAsia" w:ascii="Times New Roman" w:hAnsi="Times New Roman" w:eastAsia="仿宋_GB2312" w:cs="Times New Roman"/>
          <w:szCs w:val="21"/>
        </w:rPr>
        <w:t>；五河：温榆河、清河、坝河、通惠河及萧太后河</w:t>
      </w:r>
      <w:r>
        <w:rPr>
          <w:rFonts w:ascii="Times New Roman" w:hAnsi="Times New Roman" w:eastAsia="仿宋_GB2312" w:cs="Times New Roman"/>
          <w:szCs w:val="21"/>
        </w:rPr>
        <w:t>（凉水河支流）五条主要河道</w:t>
      </w:r>
      <w:r>
        <w:rPr>
          <w:rFonts w:hint="eastAsia" w:ascii="Times New Roman" w:hAnsi="Times New Roman" w:eastAsia="仿宋_GB2312" w:cs="Times New Roman"/>
          <w:szCs w:val="21"/>
        </w:rPr>
        <w:t>；十园：在两环与六楔交汇处形成的十个超大公园。</w:t>
      </w:r>
    </w:p>
  </w:footnote>
  <w:footnote w:id="1">
    <w:p w14:paraId="08B58800">
      <w:pPr>
        <w:pStyle w:val="13"/>
        <w:ind w:firstLine="640"/>
        <w:rPr>
          <w:rFonts w:ascii="仿宋_GB2312" w:eastAsia="仿宋_GB2312"/>
          <w:sz w:val="21"/>
          <w:szCs w:val="21"/>
        </w:rPr>
      </w:pPr>
      <w:r>
        <w:rPr>
          <w:rStyle w:val="23"/>
          <w:rFonts w:hint="eastAsia" w:ascii="Times New Roman" w:hAnsi="Times New Roman" w:eastAsia="仿宋_GB2312" w:cs="Times New Roman"/>
          <w:sz w:val="21"/>
          <w:szCs w:val="21"/>
        </w:rPr>
        <w:footnoteRef/>
      </w:r>
      <w:r>
        <w:rPr>
          <w:rFonts w:hint="eastAsia" w:ascii="仿宋_GB2312" w:eastAsia="仿宋_GB2312"/>
          <w:sz w:val="21"/>
          <w:szCs w:val="21"/>
        </w:rPr>
        <w:t xml:space="preserve"> 绿化、 彩化、 立体化</w:t>
      </w:r>
    </w:p>
  </w:footnote>
  <w:footnote w:id="2">
    <w:p w14:paraId="7C790B50">
      <w:pPr>
        <w:pStyle w:val="13"/>
      </w:pPr>
      <w:r>
        <w:rPr>
          <w:rStyle w:val="23"/>
          <w:rFonts w:ascii="Times New Roman" w:hAnsi="Times New Roman" w:cs="Times New Roman"/>
        </w:rPr>
        <w:footnoteRef/>
      </w:r>
      <w:r>
        <w:rPr>
          <w:rFonts w:ascii="Times New Roman" w:hAnsi="Times New Roman" w:cs="Times New Roman"/>
        </w:rPr>
        <w:t xml:space="preserve"> </w:t>
      </w:r>
      <w:r>
        <w:rPr>
          <w:rFonts w:hint="eastAsia" w:ascii="Times New Roman" w:hAnsi="Times New Roman" w:eastAsia="仿宋_GB2312" w:cs="Times New Roman"/>
          <w:sz w:val="21"/>
          <w:szCs w:val="21"/>
        </w:rPr>
        <w:t>一种人造灌木丛，基于野地生存观念与自然演替规律发明。</w:t>
      </w:r>
    </w:p>
  </w:footnote>
  <w:footnote w:id="3">
    <w:p w14:paraId="7C792CB0">
      <w:pPr>
        <w:pStyle w:val="13"/>
      </w:pPr>
      <w:r>
        <w:rPr>
          <w:rStyle w:val="23"/>
          <w:rFonts w:ascii="Times New Roman" w:hAnsi="Times New Roman" w:cs="Times New Roman"/>
        </w:rPr>
        <w:footnoteRef/>
      </w:r>
      <w:r>
        <w:rPr>
          <w:rFonts w:ascii="Times New Roman" w:hAnsi="Times New Roman" w:cs="Times New Roman"/>
        </w:rPr>
        <w:t xml:space="preserve"> </w:t>
      </w:r>
      <w:r>
        <w:rPr>
          <w:rFonts w:hint="eastAsia" w:ascii="Times New Roman" w:hAnsi="Times New Roman" w:eastAsia="仿宋_GB2312" w:cs="Times New Roman"/>
          <w:sz w:val="21"/>
          <w:szCs w:val="21"/>
        </w:rPr>
        <w:t>中国已发布三批《优先控制化学品名录》，共涵盖</w:t>
      </w:r>
      <w:r>
        <w:rPr>
          <w:rFonts w:ascii="Times New Roman" w:hAnsi="Times New Roman" w:eastAsia="仿宋_GB2312" w:cs="Times New Roman"/>
          <w:sz w:val="21"/>
          <w:szCs w:val="21"/>
        </w:rPr>
        <w:t>63类化学物质（第一批22类、第二批18类、第三批23类）</w:t>
      </w:r>
      <w:r>
        <w:rPr>
          <w:rFonts w:hint="eastAsia" w:ascii="Times New Roman" w:hAnsi="Times New Roman" w:eastAsia="仿宋_GB2312" w:cs="Times New Roman"/>
          <w:sz w:val="21"/>
          <w:szCs w:val="21"/>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707A9">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2C5089"/>
    <w:multiLevelType w:val="multilevel"/>
    <w:tmpl w:val="4A2C50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9"/>
  <w:displayVerticalDrawingGridEvery w:val="2"/>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FA7"/>
    <w:rsid w:val="00001FEB"/>
    <w:rsid w:val="000029D7"/>
    <w:rsid w:val="000036A9"/>
    <w:rsid w:val="0001683B"/>
    <w:rsid w:val="000258F1"/>
    <w:rsid w:val="0003107D"/>
    <w:rsid w:val="00031CFE"/>
    <w:rsid w:val="0003241B"/>
    <w:rsid w:val="00033890"/>
    <w:rsid w:val="00034C54"/>
    <w:rsid w:val="000371C0"/>
    <w:rsid w:val="00037F1B"/>
    <w:rsid w:val="000433DF"/>
    <w:rsid w:val="00044B06"/>
    <w:rsid w:val="00044F49"/>
    <w:rsid w:val="00051147"/>
    <w:rsid w:val="00067E53"/>
    <w:rsid w:val="00073926"/>
    <w:rsid w:val="000747AD"/>
    <w:rsid w:val="000758DD"/>
    <w:rsid w:val="0008554C"/>
    <w:rsid w:val="00086328"/>
    <w:rsid w:val="00094229"/>
    <w:rsid w:val="00096475"/>
    <w:rsid w:val="000A6AC7"/>
    <w:rsid w:val="000A782C"/>
    <w:rsid w:val="000C5049"/>
    <w:rsid w:val="000C67FA"/>
    <w:rsid w:val="000D2CB5"/>
    <w:rsid w:val="000D36B1"/>
    <w:rsid w:val="000D4C05"/>
    <w:rsid w:val="000E10EA"/>
    <w:rsid w:val="000E2D42"/>
    <w:rsid w:val="000E2FDD"/>
    <w:rsid w:val="000F7378"/>
    <w:rsid w:val="000F76DF"/>
    <w:rsid w:val="000F796C"/>
    <w:rsid w:val="00101BC2"/>
    <w:rsid w:val="00103F05"/>
    <w:rsid w:val="001100B5"/>
    <w:rsid w:val="00112C88"/>
    <w:rsid w:val="00115613"/>
    <w:rsid w:val="0012329B"/>
    <w:rsid w:val="001246C0"/>
    <w:rsid w:val="00131EFA"/>
    <w:rsid w:val="001378C5"/>
    <w:rsid w:val="0014446B"/>
    <w:rsid w:val="00150409"/>
    <w:rsid w:val="001565CE"/>
    <w:rsid w:val="00157A13"/>
    <w:rsid w:val="00162709"/>
    <w:rsid w:val="00164853"/>
    <w:rsid w:val="00171B2D"/>
    <w:rsid w:val="00175852"/>
    <w:rsid w:val="001760D0"/>
    <w:rsid w:val="001769BA"/>
    <w:rsid w:val="001854E7"/>
    <w:rsid w:val="001878E6"/>
    <w:rsid w:val="00190C9C"/>
    <w:rsid w:val="001940CA"/>
    <w:rsid w:val="001A067C"/>
    <w:rsid w:val="001A2428"/>
    <w:rsid w:val="001A2E46"/>
    <w:rsid w:val="001A3C7C"/>
    <w:rsid w:val="001A71EB"/>
    <w:rsid w:val="001B40D0"/>
    <w:rsid w:val="001B5AFB"/>
    <w:rsid w:val="001B681C"/>
    <w:rsid w:val="001C67CC"/>
    <w:rsid w:val="001D03DC"/>
    <w:rsid w:val="001D209D"/>
    <w:rsid w:val="001D2AD7"/>
    <w:rsid w:val="001E0571"/>
    <w:rsid w:val="001E134A"/>
    <w:rsid w:val="001E14A5"/>
    <w:rsid w:val="001E2DCA"/>
    <w:rsid w:val="001E65E7"/>
    <w:rsid w:val="001F0880"/>
    <w:rsid w:val="001F42AA"/>
    <w:rsid w:val="001F7CDA"/>
    <w:rsid w:val="00206DD7"/>
    <w:rsid w:val="002074AF"/>
    <w:rsid w:val="00207C38"/>
    <w:rsid w:val="00212EED"/>
    <w:rsid w:val="00214592"/>
    <w:rsid w:val="0022078B"/>
    <w:rsid w:val="00221A35"/>
    <w:rsid w:val="002238C9"/>
    <w:rsid w:val="002250FC"/>
    <w:rsid w:val="002253C5"/>
    <w:rsid w:val="0023147D"/>
    <w:rsid w:val="00232DD4"/>
    <w:rsid w:val="00244A08"/>
    <w:rsid w:val="00247725"/>
    <w:rsid w:val="002518C0"/>
    <w:rsid w:val="00255A9E"/>
    <w:rsid w:val="0026069E"/>
    <w:rsid w:val="00274523"/>
    <w:rsid w:val="002774FC"/>
    <w:rsid w:val="00277B89"/>
    <w:rsid w:val="00284CFF"/>
    <w:rsid w:val="002854CC"/>
    <w:rsid w:val="0029318C"/>
    <w:rsid w:val="00297560"/>
    <w:rsid w:val="0029775E"/>
    <w:rsid w:val="002A1E99"/>
    <w:rsid w:val="002A43F2"/>
    <w:rsid w:val="002A5384"/>
    <w:rsid w:val="002A6641"/>
    <w:rsid w:val="002A746E"/>
    <w:rsid w:val="002B2D60"/>
    <w:rsid w:val="002B7EE7"/>
    <w:rsid w:val="002C0FBB"/>
    <w:rsid w:val="002C3141"/>
    <w:rsid w:val="002C331C"/>
    <w:rsid w:val="002C5839"/>
    <w:rsid w:val="002C5F7C"/>
    <w:rsid w:val="002D533E"/>
    <w:rsid w:val="002D5BCE"/>
    <w:rsid w:val="002E48FB"/>
    <w:rsid w:val="002E6D9B"/>
    <w:rsid w:val="00300416"/>
    <w:rsid w:val="003008EB"/>
    <w:rsid w:val="00303702"/>
    <w:rsid w:val="00305142"/>
    <w:rsid w:val="00305A59"/>
    <w:rsid w:val="00307FAC"/>
    <w:rsid w:val="003118DA"/>
    <w:rsid w:val="00314711"/>
    <w:rsid w:val="00321E21"/>
    <w:rsid w:val="00333055"/>
    <w:rsid w:val="00333FE2"/>
    <w:rsid w:val="0033480F"/>
    <w:rsid w:val="00343CF3"/>
    <w:rsid w:val="00344169"/>
    <w:rsid w:val="0034520A"/>
    <w:rsid w:val="00347A67"/>
    <w:rsid w:val="003540BF"/>
    <w:rsid w:val="00355316"/>
    <w:rsid w:val="0035620B"/>
    <w:rsid w:val="00356BE7"/>
    <w:rsid w:val="00360279"/>
    <w:rsid w:val="00361EEE"/>
    <w:rsid w:val="00370456"/>
    <w:rsid w:val="00372624"/>
    <w:rsid w:val="00372866"/>
    <w:rsid w:val="00374959"/>
    <w:rsid w:val="0038045E"/>
    <w:rsid w:val="0038653C"/>
    <w:rsid w:val="003A27E0"/>
    <w:rsid w:val="003B11AA"/>
    <w:rsid w:val="003B50DB"/>
    <w:rsid w:val="003D2662"/>
    <w:rsid w:val="003D6418"/>
    <w:rsid w:val="003E0F4E"/>
    <w:rsid w:val="003E3EB6"/>
    <w:rsid w:val="003F0506"/>
    <w:rsid w:val="003F6387"/>
    <w:rsid w:val="00402604"/>
    <w:rsid w:val="0041097A"/>
    <w:rsid w:val="004113B6"/>
    <w:rsid w:val="004203EB"/>
    <w:rsid w:val="0042043D"/>
    <w:rsid w:val="004249A2"/>
    <w:rsid w:val="00424BAB"/>
    <w:rsid w:val="00430C0E"/>
    <w:rsid w:val="00432604"/>
    <w:rsid w:val="00432F9A"/>
    <w:rsid w:val="00434AB4"/>
    <w:rsid w:val="0044492B"/>
    <w:rsid w:val="00452932"/>
    <w:rsid w:val="00453D01"/>
    <w:rsid w:val="00454CDA"/>
    <w:rsid w:val="00456506"/>
    <w:rsid w:val="00457C40"/>
    <w:rsid w:val="0046074B"/>
    <w:rsid w:val="00463EC8"/>
    <w:rsid w:val="0046413B"/>
    <w:rsid w:val="00465779"/>
    <w:rsid w:val="00476103"/>
    <w:rsid w:val="00477F19"/>
    <w:rsid w:val="004A47F5"/>
    <w:rsid w:val="004B3C7B"/>
    <w:rsid w:val="004B42B1"/>
    <w:rsid w:val="004C064A"/>
    <w:rsid w:val="004D259C"/>
    <w:rsid w:val="004D3E47"/>
    <w:rsid w:val="004D42EE"/>
    <w:rsid w:val="004D45F9"/>
    <w:rsid w:val="004D50E0"/>
    <w:rsid w:val="004D7FE4"/>
    <w:rsid w:val="004E0185"/>
    <w:rsid w:val="004E1BCF"/>
    <w:rsid w:val="004E78C3"/>
    <w:rsid w:val="004F458A"/>
    <w:rsid w:val="004F5CD1"/>
    <w:rsid w:val="005041C5"/>
    <w:rsid w:val="00506061"/>
    <w:rsid w:val="0050708F"/>
    <w:rsid w:val="00507C8C"/>
    <w:rsid w:val="00516463"/>
    <w:rsid w:val="005176BE"/>
    <w:rsid w:val="005234E3"/>
    <w:rsid w:val="00542F45"/>
    <w:rsid w:val="00547F90"/>
    <w:rsid w:val="00556D50"/>
    <w:rsid w:val="00557FA4"/>
    <w:rsid w:val="00561D11"/>
    <w:rsid w:val="005649A9"/>
    <w:rsid w:val="00566370"/>
    <w:rsid w:val="00570AE7"/>
    <w:rsid w:val="00572724"/>
    <w:rsid w:val="00580B2E"/>
    <w:rsid w:val="0058317B"/>
    <w:rsid w:val="00585798"/>
    <w:rsid w:val="00587175"/>
    <w:rsid w:val="00593C6C"/>
    <w:rsid w:val="005A0AEA"/>
    <w:rsid w:val="005A13C6"/>
    <w:rsid w:val="005A17F6"/>
    <w:rsid w:val="005B20C8"/>
    <w:rsid w:val="005B320F"/>
    <w:rsid w:val="005D1042"/>
    <w:rsid w:val="005D1F01"/>
    <w:rsid w:val="005E7DA6"/>
    <w:rsid w:val="005F2C3F"/>
    <w:rsid w:val="005F6F03"/>
    <w:rsid w:val="006004FA"/>
    <w:rsid w:val="00602130"/>
    <w:rsid w:val="006037D9"/>
    <w:rsid w:val="006059A8"/>
    <w:rsid w:val="0061198F"/>
    <w:rsid w:val="006125CF"/>
    <w:rsid w:val="00616363"/>
    <w:rsid w:val="006174FD"/>
    <w:rsid w:val="00622C77"/>
    <w:rsid w:val="00624EAC"/>
    <w:rsid w:val="00626106"/>
    <w:rsid w:val="00626BEF"/>
    <w:rsid w:val="006343EB"/>
    <w:rsid w:val="006374DB"/>
    <w:rsid w:val="006378B2"/>
    <w:rsid w:val="0064515E"/>
    <w:rsid w:val="006455CB"/>
    <w:rsid w:val="00646BA3"/>
    <w:rsid w:val="00650FC4"/>
    <w:rsid w:val="00654FEF"/>
    <w:rsid w:val="0065530B"/>
    <w:rsid w:val="00655D90"/>
    <w:rsid w:val="0067030D"/>
    <w:rsid w:val="006822D3"/>
    <w:rsid w:val="00682D0D"/>
    <w:rsid w:val="006A0F83"/>
    <w:rsid w:val="006A182C"/>
    <w:rsid w:val="006A365F"/>
    <w:rsid w:val="006A78B0"/>
    <w:rsid w:val="006A7A50"/>
    <w:rsid w:val="006A7C46"/>
    <w:rsid w:val="006B5595"/>
    <w:rsid w:val="006B712E"/>
    <w:rsid w:val="006C5A18"/>
    <w:rsid w:val="006C700E"/>
    <w:rsid w:val="006C7527"/>
    <w:rsid w:val="006D2053"/>
    <w:rsid w:val="006D516A"/>
    <w:rsid w:val="006D53A4"/>
    <w:rsid w:val="006D7277"/>
    <w:rsid w:val="006E27AC"/>
    <w:rsid w:val="006F1F47"/>
    <w:rsid w:val="006F6B18"/>
    <w:rsid w:val="00702088"/>
    <w:rsid w:val="00706D0B"/>
    <w:rsid w:val="00713D0D"/>
    <w:rsid w:val="00726C88"/>
    <w:rsid w:val="00733FA7"/>
    <w:rsid w:val="00737D45"/>
    <w:rsid w:val="007419E3"/>
    <w:rsid w:val="00744455"/>
    <w:rsid w:val="00744C17"/>
    <w:rsid w:val="007561FC"/>
    <w:rsid w:val="00756AD7"/>
    <w:rsid w:val="00756B75"/>
    <w:rsid w:val="007573A4"/>
    <w:rsid w:val="0076022C"/>
    <w:rsid w:val="00761C59"/>
    <w:rsid w:val="0076684B"/>
    <w:rsid w:val="0076760A"/>
    <w:rsid w:val="00772B90"/>
    <w:rsid w:val="007738AD"/>
    <w:rsid w:val="00773F57"/>
    <w:rsid w:val="00777E4E"/>
    <w:rsid w:val="00784E81"/>
    <w:rsid w:val="00791321"/>
    <w:rsid w:val="00791ABA"/>
    <w:rsid w:val="007928F9"/>
    <w:rsid w:val="0079736E"/>
    <w:rsid w:val="007A2810"/>
    <w:rsid w:val="007B0D79"/>
    <w:rsid w:val="007B3167"/>
    <w:rsid w:val="007C09CD"/>
    <w:rsid w:val="007C55E1"/>
    <w:rsid w:val="007C5647"/>
    <w:rsid w:val="007C56CC"/>
    <w:rsid w:val="007D57A9"/>
    <w:rsid w:val="007D7B4E"/>
    <w:rsid w:val="007E0F5C"/>
    <w:rsid w:val="007E6D69"/>
    <w:rsid w:val="007E7934"/>
    <w:rsid w:val="007F150D"/>
    <w:rsid w:val="008020C1"/>
    <w:rsid w:val="00803BEF"/>
    <w:rsid w:val="0080499C"/>
    <w:rsid w:val="00813A5D"/>
    <w:rsid w:val="00817EAF"/>
    <w:rsid w:val="00823492"/>
    <w:rsid w:val="00824AB1"/>
    <w:rsid w:val="00831AFE"/>
    <w:rsid w:val="00852DC1"/>
    <w:rsid w:val="008549F0"/>
    <w:rsid w:val="00860B7F"/>
    <w:rsid w:val="00875C89"/>
    <w:rsid w:val="00877FCC"/>
    <w:rsid w:val="0088018E"/>
    <w:rsid w:val="00880205"/>
    <w:rsid w:val="0088585D"/>
    <w:rsid w:val="00892FCA"/>
    <w:rsid w:val="008930FC"/>
    <w:rsid w:val="008B1F7C"/>
    <w:rsid w:val="008B5740"/>
    <w:rsid w:val="008C1BEC"/>
    <w:rsid w:val="008C6F0D"/>
    <w:rsid w:val="008D262F"/>
    <w:rsid w:val="008D3843"/>
    <w:rsid w:val="008E0503"/>
    <w:rsid w:val="008E3845"/>
    <w:rsid w:val="008F139A"/>
    <w:rsid w:val="008F287A"/>
    <w:rsid w:val="008F3026"/>
    <w:rsid w:val="008F6051"/>
    <w:rsid w:val="008F63EA"/>
    <w:rsid w:val="00903DA3"/>
    <w:rsid w:val="00907E10"/>
    <w:rsid w:val="009125A4"/>
    <w:rsid w:val="0091713D"/>
    <w:rsid w:val="009202C0"/>
    <w:rsid w:val="00922B2F"/>
    <w:rsid w:val="00923996"/>
    <w:rsid w:val="00925E02"/>
    <w:rsid w:val="00926997"/>
    <w:rsid w:val="00935738"/>
    <w:rsid w:val="00937655"/>
    <w:rsid w:val="009413AF"/>
    <w:rsid w:val="009434B1"/>
    <w:rsid w:val="0094547A"/>
    <w:rsid w:val="00960938"/>
    <w:rsid w:val="00965978"/>
    <w:rsid w:val="00977183"/>
    <w:rsid w:val="00984740"/>
    <w:rsid w:val="00986B7B"/>
    <w:rsid w:val="00990439"/>
    <w:rsid w:val="0099046B"/>
    <w:rsid w:val="009A6743"/>
    <w:rsid w:val="009B1AC3"/>
    <w:rsid w:val="009C0A6B"/>
    <w:rsid w:val="009C1792"/>
    <w:rsid w:val="009C2C13"/>
    <w:rsid w:val="009D5C73"/>
    <w:rsid w:val="009E072F"/>
    <w:rsid w:val="009E09FE"/>
    <w:rsid w:val="009E44DC"/>
    <w:rsid w:val="009F0150"/>
    <w:rsid w:val="009F06C2"/>
    <w:rsid w:val="009F6CA7"/>
    <w:rsid w:val="009F76B5"/>
    <w:rsid w:val="00A05717"/>
    <w:rsid w:val="00A05F8C"/>
    <w:rsid w:val="00A06F73"/>
    <w:rsid w:val="00A1172E"/>
    <w:rsid w:val="00A13BC5"/>
    <w:rsid w:val="00A15A95"/>
    <w:rsid w:val="00A26F08"/>
    <w:rsid w:val="00A329E7"/>
    <w:rsid w:val="00A33EA6"/>
    <w:rsid w:val="00A36F8A"/>
    <w:rsid w:val="00A4275F"/>
    <w:rsid w:val="00A4374D"/>
    <w:rsid w:val="00A449B2"/>
    <w:rsid w:val="00A51CF2"/>
    <w:rsid w:val="00A5441E"/>
    <w:rsid w:val="00A57B7A"/>
    <w:rsid w:val="00A607A7"/>
    <w:rsid w:val="00A607FA"/>
    <w:rsid w:val="00A641F8"/>
    <w:rsid w:val="00A64361"/>
    <w:rsid w:val="00A71742"/>
    <w:rsid w:val="00A719B1"/>
    <w:rsid w:val="00A809FE"/>
    <w:rsid w:val="00A84D2A"/>
    <w:rsid w:val="00A87E03"/>
    <w:rsid w:val="00A93A80"/>
    <w:rsid w:val="00A95C82"/>
    <w:rsid w:val="00A961F4"/>
    <w:rsid w:val="00AA0A72"/>
    <w:rsid w:val="00AA2C20"/>
    <w:rsid w:val="00AB28AA"/>
    <w:rsid w:val="00AC0837"/>
    <w:rsid w:val="00AC086A"/>
    <w:rsid w:val="00AD4882"/>
    <w:rsid w:val="00AD6DA9"/>
    <w:rsid w:val="00AE7F9E"/>
    <w:rsid w:val="00AF27B5"/>
    <w:rsid w:val="00AF62F2"/>
    <w:rsid w:val="00B02CEE"/>
    <w:rsid w:val="00B03DF9"/>
    <w:rsid w:val="00B123DD"/>
    <w:rsid w:val="00B13139"/>
    <w:rsid w:val="00B132F2"/>
    <w:rsid w:val="00B15B45"/>
    <w:rsid w:val="00B24BCD"/>
    <w:rsid w:val="00B26DCD"/>
    <w:rsid w:val="00B30298"/>
    <w:rsid w:val="00B35264"/>
    <w:rsid w:val="00B354AA"/>
    <w:rsid w:val="00B47C82"/>
    <w:rsid w:val="00B51341"/>
    <w:rsid w:val="00B53646"/>
    <w:rsid w:val="00B61A39"/>
    <w:rsid w:val="00B6322A"/>
    <w:rsid w:val="00B63F30"/>
    <w:rsid w:val="00B642E8"/>
    <w:rsid w:val="00B651B9"/>
    <w:rsid w:val="00B7111B"/>
    <w:rsid w:val="00B76399"/>
    <w:rsid w:val="00B76CB9"/>
    <w:rsid w:val="00B83C09"/>
    <w:rsid w:val="00B868E4"/>
    <w:rsid w:val="00B93A4E"/>
    <w:rsid w:val="00B9425D"/>
    <w:rsid w:val="00B97EAF"/>
    <w:rsid w:val="00BA013F"/>
    <w:rsid w:val="00BA122B"/>
    <w:rsid w:val="00BA5526"/>
    <w:rsid w:val="00BA5E0A"/>
    <w:rsid w:val="00BA6163"/>
    <w:rsid w:val="00BB03A5"/>
    <w:rsid w:val="00BB1098"/>
    <w:rsid w:val="00BB11E8"/>
    <w:rsid w:val="00BB426A"/>
    <w:rsid w:val="00BB666F"/>
    <w:rsid w:val="00BD0815"/>
    <w:rsid w:val="00BD2397"/>
    <w:rsid w:val="00BD5A61"/>
    <w:rsid w:val="00BD5E2B"/>
    <w:rsid w:val="00BD6CEB"/>
    <w:rsid w:val="00BE1910"/>
    <w:rsid w:val="00BE2F4A"/>
    <w:rsid w:val="00BE3338"/>
    <w:rsid w:val="00BF3B65"/>
    <w:rsid w:val="00BF5A3A"/>
    <w:rsid w:val="00C0038B"/>
    <w:rsid w:val="00C05772"/>
    <w:rsid w:val="00C127E7"/>
    <w:rsid w:val="00C169C3"/>
    <w:rsid w:val="00C1715E"/>
    <w:rsid w:val="00C17E73"/>
    <w:rsid w:val="00C226E2"/>
    <w:rsid w:val="00C24E8B"/>
    <w:rsid w:val="00C31912"/>
    <w:rsid w:val="00C35759"/>
    <w:rsid w:val="00C53401"/>
    <w:rsid w:val="00C541BF"/>
    <w:rsid w:val="00C55BAE"/>
    <w:rsid w:val="00C5749F"/>
    <w:rsid w:val="00C639FC"/>
    <w:rsid w:val="00C67A0B"/>
    <w:rsid w:val="00C72586"/>
    <w:rsid w:val="00C828EB"/>
    <w:rsid w:val="00C85636"/>
    <w:rsid w:val="00C861AC"/>
    <w:rsid w:val="00C94D81"/>
    <w:rsid w:val="00C9785A"/>
    <w:rsid w:val="00CA0163"/>
    <w:rsid w:val="00CA09A6"/>
    <w:rsid w:val="00CA3619"/>
    <w:rsid w:val="00CB00BE"/>
    <w:rsid w:val="00CC05D9"/>
    <w:rsid w:val="00CC0A2F"/>
    <w:rsid w:val="00CC238E"/>
    <w:rsid w:val="00CC7A85"/>
    <w:rsid w:val="00CD12C8"/>
    <w:rsid w:val="00CD72F2"/>
    <w:rsid w:val="00CE126A"/>
    <w:rsid w:val="00CE3E15"/>
    <w:rsid w:val="00CE45AE"/>
    <w:rsid w:val="00CE6BD5"/>
    <w:rsid w:val="00CE6CC9"/>
    <w:rsid w:val="00CE7831"/>
    <w:rsid w:val="00CF2377"/>
    <w:rsid w:val="00CF2492"/>
    <w:rsid w:val="00CF6C66"/>
    <w:rsid w:val="00D0560F"/>
    <w:rsid w:val="00D05D6F"/>
    <w:rsid w:val="00D06F10"/>
    <w:rsid w:val="00D100A2"/>
    <w:rsid w:val="00D15569"/>
    <w:rsid w:val="00D17C75"/>
    <w:rsid w:val="00D20101"/>
    <w:rsid w:val="00D202A5"/>
    <w:rsid w:val="00D22AF3"/>
    <w:rsid w:val="00D25721"/>
    <w:rsid w:val="00D27218"/>
    <w:rsid w:val="00D27CC5"/>
    <w:rsid w:val="00D30A56"/>
    <w:rsid w:val="00D32C05"/>
    <w:rsid w:val="00D32F03"/>
    <w:rsid w:val="00D344EA"/>
    <w:rsid w:val="00D348DA"/>
    <w:rsid w:val="00D36687"/>
    <w:rsid w:val="00D3792E"/>
    <w:rsid w:val="00D47C5D"/>
    <w:rsid w:val="00D55FCB"/>
    <w:rsid w:val="00D66509"/>
    <w:rsid w:val="00D70FFB"/>
    <w:rsid w:val="00D84593"/>
    <w:rsid w:val="00D84D72"/>
    <w:rsid w:val="00D87829"/>
    <w:rsid w:val="00D93A92"/>
    <w:rsid w:val="00D943D9"/>
    <w:rsid w:val="00DA337A"/>
    <w:rsid w:val="00DB1E6C"/>
    <w:rsid w:val="00DB573F"/>
    <w:rsid w:val="00DC19B2"/>
    <w:rsid w:val="00DC4F79"/>
    <w:rsid w:val="00DD7C42"/>
    <w:rsid w:val="00DE1D2D"/>
    <w:rsid w:val="00DE3D38"/>
    <w:rsid w:val="00DE49B5"/>
    <w:rsid w:val="00DF50D2"/>
    <w:rsid w:val="00E03295"/>
    <w:rsid w:val="00E06264"/>
    <w:rsid w:val="00E10152"/>
    <w:rsid w:val="00E10742"/>
    <w:rsid w:val="00E13551"/>
    <w:rsid w:val="00E23C53"/>
    <w:rsid w:val="00E25574"/>
    <w:rsid w:val="00E319B1"/>
    <w:rsid w:val="00E32E4B"/>
    <w:rsid w:val="00E3321A"/>
    <w:rsid w:val="00E360CF"/>
    <w:rsid w:val="00E36FC9"/>
    <w:rsid w:val="00E469F7"/>
    <w:rsid w:val="00E47F0B"/>
    <w:rsid w:val="00E55DB6"/>
    <w:rsid w:val="00E62949"/>
    <w:rsid w:val="00E63A86"/>
    <w:rsid w:val="00E63F52"/>
    <w:rsid w:val="00E65BE4"/>
    <w:rsid w:val="00E672E5"/>
    <w:rsid w:val="00E67AD3"/>
    <w:rsid w:val="00E735E6"/>
    <w:rsid w:val="00E742CA"/>
    <w:rsid w:val="00E74F1D"/>
    <w:rsid w:val="00E762ED"/>
    <w:rsid w:val="00E827E5"/>
    <w:rsid w:val="00E82C51"/>
    <w:rsid w:val="00E86A48"/>
    <w:rsid w:val="00E947B8"/>
    <w:rsid w:val="00E972DA"/>
    <w:rsid w:val="00EA1DF1"/>
    <w:rsid w:val="00EB4BF4"/>
    <w:rsid w:val="00EB4D17"/>
    <w:rsid w:val="00EB5B9F"/>
    <w:rsid w:val="00EB5CA3"/>
    <w:rsid w:val="00EB7D9E"/>
    <w:rsid w:val="00EC1351"/>
    <w:rsid w:val="00EC73F5"/>
    <w:rsid w:val="00ED1B3A"/>
    <w:rsid w:val="00EF29D3"/>
    <w:rsid w:val="00EF5685"/>
    <w:rsid w:val="00EF60CB"/>
    <w:rsid w:val="00EF6CD5"/>
    <w:rsid w:val="00F00B4E"/>
    <w:rsid w:val="00F01D61"/>
    <w:rsid w:val="00F04769"/>
    <w:rsid w:val="00F05C8F"/>
    <w:rsid w:val="00F06779"/>
    <w:rsid w:val="00F06823"/>
    <w:rsid w:val="00F10FCC"/>
    <w:rsid w:val="00F15AA4"/>
    <w:rsid w:val="00F24E7F"/>
    <w:rsid w:val="00F24EC5"/>
    <w:rsid w:val="00F329AA"/>
    <w:rsid w:val="00F3331B"/>
    <w:rsid w:val="00F3515A"/>
    <w:rsid w:val="00F43F28"/>
    <w:rsid w:val="00F5206F"/>
    <w:rsid w:val="00F57340"/>
    <w:rsid w:val="00F57F0A"/>
    <w:rsid w:val="00F61FE4"/>
    <w:rsid w:val="00F65988"/>
    <w:rsid w:val="00F74DD2"/>
    <w:rsid w:val="00F83C63"/>
    <w:rsid w:val="00F91B3F"/>
    <w:rsid w:val="00F94803"/>
    <w:rsid w:val="00FA2B83"/>
    <w:rsid w:val="00FA47BA"/>
    <w:rsid w:val="00FB055E"/>
    <w:rsid w:val="00FB221D"/>
    <w:rsid w:val="00FC38EC"/>
    <w:rsid w:val="00FC6BD4"/>
    <w:rsid w:val="00FD7372"/>
    <w:rsid w:val="00FE1DC3"/>
    <w:rsid w:val="00FE2198"/>
    <w:rsid w:val="00FE4035"/>
    <w:rsid w:val="00FE4B40"/>
    <w:rsid w:val="00FE6B39"/>
    <w:rsid w:val="00FF18AB"/>
    <w:rsid w:val="00FF4EBE"/>
    <w:rsid w:val="01641F5B"/>
    <w:rsid w:val="02295D8A"/>
    <w:rsid w:val="02C7022A"/>
    <w:rsid w:val="0328580A"/>
    <w:rsid w:val="036659DE"/>
    <w:rsid w:val="045E3A6C"/>
    <w:rsid w:val="04AD7A32"/>
    <w:rsid w:val="0524517A"/>
    <w:rsid w:val="05BB4FDF"/>
    <w:rsid w:val="065C0D59"/>
    <w:rsid w:val="069B7852"/>
    <w:rsid w:val="072A1918"/>
    <w:rsid w:val="07982A43"/>
    <w:rsid w:val="079B4BFB"/>
    <w:rsid w:val="089F2050"/>
    <w:rsid w:val="08CA5960"/>
    <w:rsid w:val="08F8591E"/>
    <w:rsid w:val="09113D59"/>
    <w:rsid w:val="0A8E207C"/>
    <w:rsid w:val="0AB449CB"/>
    <w:rsid w:val="0BCC4844"/>
    <w:rsid w:val="0C732047"/>
    <w:rsid w:val="0C853C4F"/>
    <w:rsid w:val="0CAD428F"/>
    <w:rsid w:val="0CD1274F"/>
    <w:rsid w:val="0D1C01D9"/>
    <w:rsid w:val="0DAC1494"/>
    <w:rsid w:val="0E181E3E"/>
    <w:rsid w:val="0F8E0376"/>
    <w:rsid w:val="0FA71FA2"/>
    <w:rsid w:val="0FD51361"/>
    <w:rsid w:val="1026121B"/>
    <w:rsid w:val="111A5DFF"/>
    <w:rsid w:val="112F26B4"/>
    <w:rsid w:val="11D42738"/>
    <w:rsid w:val="12FF14C7"/>
    <w:rsid w:val="13770E9B"/>
    <w:rsid w:val="149366FD"/>
    <w:rsid w:val="151E04FC"/>
    <w:rsid w:val="15DE37B9"/>
    <w:rsid w:val="1605306E"/>
    <w:rsid w:val="166125B6"/>
    <w:rsid w:val="16685B75"/>
    <w:rsid w:val="168A3BFA"/>
    <w:rsid w:val="17566E0E"/>
    <w:rsid w:val="176136E2"/>
    <w:rsid w:val="179A3EF5"/>
    <w:rsid w:val="17A3315C"/>
    <w:rsid w:val="17CE5705"/>
    <w:rsid w:val="18151125"/>
    <w:rsid w:val="1963648E"/>
    <w:rsid w:val="1AA3304A"/>
    <w:rsid w:val="1B0174FD"/>
    <w:rsid w:val="1B2B3584"/>
    <w:rsid w:val="1B582AE7"/>
    <w:rsid w:val="1B5B0AFE"/>
    <w:rsid w:val="1BC259EC"/>
    <w:rsid w:val="1BDC2012"/>
    <w:rsid w:val="1C474B1A"/>
    <w:rsid w:val="1CDFFA32"/>
    <w:rsid w:val="1DD53CC6"/>
    <w:rsid w:val="1DFC38E6"/>
    <w:rsid w:val="1E087305"/>
    <w:rsid w:val="1E962B13"/>
    <w:rsid w:val="1F04597B"/>
    <w:rsid w:val="1FBB2E24"/>
    <w:rsid w:val="1FF7C7F0"/>
    <w:rsid w:val="1FFD35BA"/>
    <w:rsid w:val="205A1532"/>
    <w:rsid w:val="208A3228"/>
    <w:rsid w:val="220048A2"/>
    <w:rsid w:val="23404D6A"/>
    <w:rsid w:val="255C37BA"/>
    <w:rsid w:val="256853FF"/>
    <w:rsid w:val="260013CF"/>
    <w:rsid w:val="26664A70"/>
    <w:rsid w:val="26EB773D"/>
    <w:rsid w:val="26F81EC8"/>
    <w:rsid w:val="274E09D3"/>
    <w:rsid w:val="274E4850"/>
    <w:rsid w:val="27661972"/>
    <w:rsid w:val="27BA2438"/>
    <w:rsid w:val="28AB69B8"/>
    <w:rsid w:val="29C7069E"/>
    <w:rsid w:val="29CE2D1D"/>
    <w:rsid w:val="2ACE5F98"/>
    <w:rsid w:val="2B081D8C"/>
    <w:rsid w:val="2B111841"/>
    <w:rsid w:val="2B7A1187"/>
    <w:rsid w:val="2D23184F"/>
    <w:rsid w:val="2D363457"/>
    <w:rsid w:val="2D7B4905"/>
    <w:rsid w:val="2DA4117C"/>
    <w:rsid w:val="2DEA747F"/>
    <w:rsid w:val="2DF3A609"/>
    <w:rsid w:val="2EFF00B1"/>
    <w:rsid w:val="2F515928"/>
    <w:rsid w:val="2F68364F"/>
    <w:rsid w:val="2F766129"/>
    <w:rsid w:val="2FAE4F3C"/>
    <w:rsid w:val="2FE038D8"/>
    <w:rsid w:val="3014145D"/>
    <w:rsid w:val="301673AC"/>
    <w:rsid w:val="316A3DAE"/>
    <w:rsid w:val="31735A22"/>
    <w:rsid w:val="31A26F3A"/>
    <w:rsid w:val="31B57E25"/>
    <w:rsid w:val="31CA5882"/>
    <w:rsid w:val="31E17BB1"/>
    <w:rsid w:val="320820A7"/>
    <w:rsid w:val="324E62F2"/>
    <w:rsid w:val="326B0BBD"/>
    <w:rsid w:val="33177DC7"/>
    <w:rsid w:val="334D3641"/>
    <w:rsid w:val="33A16036"/>
    <w:rsid w:val="348F5B91"/>
    <w:rsid w:val="350C271D"/>
    <w:rsid w:val="35D36CDC"/>
    <w:rsid w:val="35D46D15"/>
    <w:rsid w:val="36661F6E"/>
    <w:rsid w:val="36BA415A"/>
    <w:rsid w:val="37042E91"/>
    <w:rsid w:val="374222BA"/>
    <w:rsid w:val="37B02EEF"/>
    <w:rsid w:val="37D91215"/>
    <w:rsid w:val="37DFE3FC"/>
    <w:rsid w:val="37FA0B65"/>
    <w:rsid w:val="37FD108F"/>
    <w:rsid w:val="382F1907"/>
    <w:rsid w:val="38FC15CB"/>
    <w:rsid w:val="39C268BC"/>
    <w:rsid w:val="3BB30232"/>
    <w:rsid w:val="3C0A509F"/>
    <w:rsid w:val="3CA77568"/>
    <w:rsid w:val="3D3E0C40"/>
    <w:rsid w:val="3D6D7DD2"/>
    <w:rsid w:val="3DDEAEB5"/>
    <w:rsid w:val="3DFE3BD9"/>
    <w:rsid w:val="3E026E22"/>
    <w:rsid w:val="3F2B263E"/>
    <w:rsid w:val="3F6E0F3F"/>
    <w:rsid w:val="3FE1483D"/>
    <w:rsid w:val="404D1821"/>
    <w:rsid w:val="40F52D25"/>
    <w:rsid w:val="41DC741B"/>
    <w:rsid w:val="41FF035F"/>
    <w:rsid w:val="42006DA8"/>
    <w:rsid w:val="429E5FCA"/>
    <w:rsid w:val="4322697C"/>
    <w:rsid w:val="43807F10"/>
    <w:rsid w:val="442800CB"/>
    <w:rsid w:val="444A137D"/>
    <w:rsid w:val="449154E6"/>
    <w:rsid w:val="44B570FE"/>
    <w:rsid w:val="455E1EDF"/>
    <w:rsid w:val="46B3684D"/>
    <w:rsid w:val="46BB6C06"/>
    <w:rsid w:val="46F56FE6"/>
    <w:rsid w:val="476D30EC"/>
    <w:rsid w:val="47CC4D18"/>
    <w:rsid w:val="48A43319"/>
    <w:rsid w:val="48A87244"/>
    <w:rsid w:val="48DC72C7"/>
    <w:rsid w:val="49430710"/>
    <w:rsid w:val="494F38BA"/>
    <w:rsid w:val="494F59D3"/>
    <w:rsid w:val="49995342"/>
    <w:rsid w:val="4A2E3EA9"/>
    <w:rsid w:val="4A34692D"/>
    <w:rsid w:val="4AA36C93"/>
    <w:rsid w:val="4BEA49B9"/>
    <w:rsid w:val="4CE6191C"/>
    <w:rsid w:val="4D006C28"/>
    <w:rsid w:val="4D3A1DC0"/>
    <w:rsid w:val="4E535464"/>
    <w:rsid w:val="4E7A35D4"/>
    <w:rsid w:val="4EC22983"/>
    <w:rsid w:val="4F620F76"/>
    <w:rsid w:val="4FAE36EA"/>
    <w:rsid w:val="4FDB77CB"/>
    <w:rsid w:val="502B709D"/>
    <w:rsid w:val="50425119"/>
    <w:rsid w:val="50AF2EEC"/>
    <w:rsid w:val="517B523E"/>
    <w:rsid w:val="522D4EEF"/>
    <w:rsid w:val="525A49A4"/>
    <w:rsid w:val="538C3C51"/>
    <w:rsid w:val="53AE66B9"/>
    <w:rsid w:val="53C00459"/>
    <w:rsid w:val="5403021A"/>
    <w:rsid w:val="544E6290"/>
    <w:rsid w:val="5473651E"/>
    <w:rsid w:val="555C4E82"/>
    <w:rsid w:val="56135517"/>
    <w:rsid w:val="568A7256"/>
    <w:rsid w:val="57732242"/>
    <w:rsid w:val="578B4ADC"/>
    <w:rsid w:val="57FFF2B9"/>
    <w:rsid w:val="58373784"/>
    <w:rsid w:val="58431522"/>
    <w:rsid w:val="58B41BCF"/>
    <w:rsid w:val="591F775F"/>
    <w:rsid w:val="59A166D5"/>
    <w:rsid w:val="59EE34F1"/>
    <w:rsid w:val="5A3F7257"/>
    <w:rsid w:val="5AD518E5"/>
    <w:rsid w:val="5BBD0627"/>
    <w:rsid w:val="5BD438E8"/>
    <w:rsid w:val="5C3311CE"/>
    <w:rsid w:val="5C673457"/>
    <w:rsid w:val="5D4608CC"/>
    <w:rsid w:val="5D941D16"/>
    <w:rsid w:val="5DDC4E44"/>
    <w:rsid w:val="5E8E1EA9"/>
    <w:rsid w:val="5EF40988"/>
    <w:rsid w:val="5FA40465"/>
    <w:rsid w:val="5FD805C6"/>
    <w:rsid w:val="5FFF1022"/>
    <w:rsid w:val="6007774C"/>
    <w:rsid w:val="60E426ED"/>
    <w:rsid w:val="60E96871"/>
    <w:rsid w:val="613730E8"/>
    <w:rsid w:val="61884C58"/>
    <w:rsid w:val="61E912AC"/>
    <w:rsid w:val="6284524A"/>
    <w:rsid w:val="63042271"/>
    <w:rsid w:val="63726C26"/>
    <w:rsid w:val="638B7DCA"/>
    <w:rsid w:val="63F112CA"/>
    <w:rsid w:val="64113F94"/>
    <w:rsid w:val="645351E4"/>
    <w:rsid w:val="646A0045"/>
    <w:rsid w:val="64A51BE3"/>
    <w:rsid w:val="65143462"/>
    <w:rsid w:val="652026B6"/>
    <w:rsid w:val="65B023CE"/>
    <w:rsid w:val="65B25EA7"/>
    <w:rsid w:val="66545F0C"/>
    <w:rsid w:val="670B65A7"/>
    <w:rsid w:val="671810E8"/>
    <w:rsid w:val="677D4264"/>
    <w:rsid w:val="67D04F92"/>
    <w:rsid w:val="67DB4C9C"/>
    <w:rsid w:val="68423E52"/>
    <w:rsid w:val="693E43B1"/>
    <w:rsid w:val="69986555"/>
    <w:rsid w:val="69B52B99"/>
    <w:rsid w:val="6A7F1126"/>
    <w:rsid w:val="6AC0781D"/>
    <w:rsid w:val="6AC45E62"/>
    <w:rsid w:val="6B02318B"/>
    <w:rsid w:val="6B03002A"/>
    <w:rsid w:val="6B7D6AC4"/>
    <w:rsid w:val="6BCA6678"/>
    <w:rsid w:val="6C8E5743"/>
    <w:rsid w:val="6CF36819"/>
    <w:rsid w:val="6D250FCF"/>
    <w:rsid w:val="6DF627A8"/>
    <w:rsid w:val="6E271260"/>
    <w:rsid w:val="6E6B9285"/>
    <w:rsid w:val="6E83095B"/>
    <w:rsid w:val="6EE81FC0"/>
    <w:rsid w:val="6FAEE9BF"/>
    <w:rsid w:val="6FDDB957"/>
    <w:rsid w:val="70A24967"/>
    <w:rsid w:val="70F764E1"/>
    <w:rsid w:val="71073B82"/>
    <w:rsid w:val="71260C65"/>
    <w:rsid w:val="7133549F"/>
    <w:rsid w:val="7185408D"/>
    <w:rsid w:val="71BE0F7E"/>
    <w:rsid w:val="734E14E8"/>
    <w:rsid w:val="73923B78"/>
    <w:rsid w:val="73FA0175"/>
    <w:rsid w:val="7403017C"/>
    <w:rsid w:val="74CF5E36"/>
    <w:rsid w:val="74D52F6C"/>
    <w:rsid w:val="7567126A"/>
    <w:rsid w:val="75935A8C"/>
    <w:rsid w:val="75A54310"/>
    <w:rsid w:val="75A93345"/>
    <w:rsid w:val="75D6395C"/>
    <w:rsid w:val="7613767C"/>
    <w:rsid w:val="763430B2"/>
    <w:rsid w:val="764C08A5"/>
    <w:rsid w:val="76A67969"/>
    <w:rsid w:val="76D52DE4"/>
    <w:rsid w:val="7723716C"/>
    <w:rsid w:val="77394D07"/>
    <w:rsid w:val="779A18A4"/>
    <w:rsid w:val="779C1B09"/>
    <w:rsid w:val="77C9729C"/>
    <w:rsid w:val="77FF74DD"/>
    <w:rsid w:val="787A7DEC"/>
    <w:rsid w:val="78F6023A"/>
    <w:rsid w:val="79A2101B"/>
    <w:rsid w:val="7A901610"/>
    <w:rsid w:val="7A98254F"/>
    <w:rsid w:val="7B787DD9"/>
    <w:rsid w:val="7BE97BAF"/>
    <w:rsid w:val="7C2C0E25"/>
    <w:rsid w:val="7C8417B6"/>
    <w:rsid w:val="7CD274F9"/>
    <w:rsid w:val="7CF8123A"/>
    <w:rsid w:val="7D4C5B3D"/>
    <w:rsid w:val="7DF901C6"/>
    <w:rsid w:val="7DFFD0BF"/>
    <w:rsid w:val="7EBF8CFE"/>
    <w:rsid w:val="7ED220DF"/>
    <w:rsid w:val="7F366E90"/>
    <w:rsid w:val="7F3B0BEC"/>
    <w:rsid w:val="7F77550C"/>
    <w:rsid w:val="7FAF3F65"/>
    <w:rsid w:val="7FEE4EE9"/>
    <w:rsid w:val="83EFDFEC"/>
    <w:rsid w:val="A75B2D56"/>
    <w:rsid w:val="A9FE2D63"/>
    <w:rsid w:val="AC1DFA36"/>
    <w:rsid w:val="B1DD908F"/>
    <w:rsid w:val="B7AE4C8A"/>
    <w:rsid w:val="BFFFFDC4"/>
    <w:rsid w:val="CEFF17D3"/>
    <w:rsid w:val="D46E05E8"/>
    <w:rsid w:val="D8FE407B"/>
    <w:rsid w:val="DA7E5FC3"/>
    <w:rsid w:val="DD798A38"/>
    <w:rsid w:val="DD7F7041"/>
    <w:rsid w:val="DF8DCB09"/>
    <w:rsid w:val="DF978000"/>
    <w:rsid w:val="DFE3124A"/>
    <w:rsid w:val="DFEE54BD"/>
    <w:rsid w:val="ECDDD58C"/>
    <w:rsid w:val="EDC66F7C"/>
    <w:rsid w:val="EDDFD054"/>
    <w:rsid w:val="F5FF0E31"/>
    <w:rsid w:val="FBDE7696"/>
    <w:rsid w:val="FBF223E2"/>
    <w:rsid w:val="FBF7440D"/>
    <w:rsid w:val="FD784F8E"/>
    <w:rsid w:val="FDFF71AF"/>
    <w:rsid w:val="FEDD2086"/>
    <w:rsid w:val="FFFB8900"/>
    <w:rsid w:val="FFFCB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paragraph" w:styleId="3">
    <w:name w:val="heading 1"/>
    <w:basedOn w:val="1"/>
    <w:next w:val="1"/>
    <w:link w:val="24"/>
    <w:qFormat/>
    <w:uiPriority w:val="9"/>
    <w:pPr>
      <w:adjustRightInd w:val="0"/>
      <w:snapToGrid w:val="0"/>
      <w:spacing w:before="156" w:beforeLines="50" w:after="156" w:afterLines="50"/>
      <w:jc w:val="center"/>
      <w:outlineLvl w:val="0"/>
    </w:pPr>
    <w:rPr>
      <w:rFonts w:ascii="Times New Roman" w:hAnsi="Times New Roman" w:eastAsia="黑体" w:cs="黑体"/>
      <w:kern w:val="0"/>
      <w:sz w:val="32"/>
      <w:szCs w:val="32"/>
    </w:rPr>
  </w:style>
  <w:style w:type="paragraph" w:styleId="4">
    <w:name w:val="heading 2"/>
    <w:basedOn w:val="1"/>
    <w:next w:val="1"/>
    <w:link w:val="25"/>
    <w:qFormat/>
    <w:uiPriority w:val="9"/>
    <w:pPr>
      <w:adjustRightInd w:val="0"/>
      <w:snapToGrid w:val="0"/>
      <w:spacing w:line="560" w:lineRule="exact"/>
      <w:ind w:firstLine="641"/>
      <w:jc w:val="left"/>
      <w:outlineLvl w:val="1"/>
    </w:pPr>
    <w:rPr>
      <w:rFonts w:ascii="Times New Roman" w:hAnsi="Times New Roman" w:eastAsia="楷体_GB2312" w:cs="黑体"/>
      <w:kern w:val="0"/>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宋体"/>
      <w:color w:val="000000"/>
      <w:kern w:val="0"/>
      <w:sz w:val="20"/>
      <w:szCs w:val="21"/>
    </w:rPr>
  </w:style>
  <w:style w:type="paragraph" w:styleId="5">
    <w:name w:val="annotation text"/>
    <w:basedOn w:val="1"/>
    <w:link w:val="41"/>
    <w:qFormat/>
    <w:uiPriority w:val="0"/>
    <w:pPr>
      <w:jc w:val="left"/>
    </w:pPr>
  </w:style>
  <w:style w:type="paragraph" w:styleId="6">
    <w:name w:val="Body Text"/>
    <w:basedOn w:val="1"/>
    <w:next w:val="1"/>
    <w:qFormat/>
    <w:uiPriority w:val="0"/>
    <w:pPr>
      <w:spacing w:before="190"/>
    </w:pPr>
    <w:rPr>
      <w:sz w:val="32"/>
      <w:szCs w:val="32"/>
    </w:rPr>
  </w:style>
  <w:style w:type="paragraph" w:styleId="7">
    <w:name w:val="Body Text Indent"/>
    <w:basedOn w:val="1"/>
    <w:link w:val="26"/>
    <w:qFormat/>
    <w:uiPriority w:val="0"/>
    <w:pPr>
      <w:spacing w:line="560" w:lineRule="exact"/>
      <w:ind w:firstLine="640" w:firstLineChars="200"/>
    </w:pPr>
    <w:rPr>
      <w:rFonts w:eastAsia="仿宋_GB2312"/>
      <w:sz w:val="32"/>
    </w:rPr>
  </w:style>
  <w:style w:type="paragraph" w:styleId="8">
    <w:name w:val="Date"/>
    <w:basedOn w:val="1"/>
    <w:next w:val="1"/>
    <w:qFormat/>
    <w:uiPriority w:val="0"/>
    <w:pPr>
      <w:ind w:left="100" w:leftChars="2500"/>
    </w:pPr>
    <w:rPr>
      <w:rFonts w:ascii="仿宋_GB2312" w:eastAsia="仿宋_GB2312"/>
      <w:spacing w:val="-6"/>
      <w:sz w:val="32"/>
    </w:rPr>
  </w:style>
  <w:style w:type="paragraph" w:styleId="9">
    <w:name w:val="Balloon Text"/>
    <w:basedOn w:val="1"/>
    <w:semiHidden/>
    <w:qFormat/>
    <w:uiPriority w:val="0"/>
    <w:rPr>
      <w:sz w:val="18"/>
      <w:szCs w:val="18"/>
    </w:r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835"/>
      </w:tabs>
    </w:pPr>
    <w:rPr>
      <w:rFonts w:ascii="黑体" w:hAnsi="黑体" w:eastAsia="黑体"/>
      <w:sz w:val="32"/>
      <w:szCs w:val="32"/>
    </w:rPr>
  </w:style>
  <w:style w:type="paragraph" w:styleId="13">
    <w:name w:val="footnote text"/>
    <w:basedOn w:val="1"/>
    <w:link w:val="40"/>
    <w:unhideWhenUsed/>
    <w:qFormat/>
    <w:uiPriority w:val="99"/>
    <w:pPr>
      <w:snapToGrid w:val="0"/>
      <w:jc w:val="left"/>
    </w:pPr>
    <w:rPr>
      <w:sz w:val="18"/>
      <w:szCs w:val="18"/>
    </w:rPr>
  </w:style>
  <w:style w:type="paragraph" w:styleId="14">
    <w:name w:val="toc 2"/>
    <w:basedOn w:val="1"/>
    <w:next w:val="1"/>
    <w:unhideWhenUsed/>
    <w:qFormat/>
    <w:uiPriority w:val="39"/>
    <w:pPr>
      <w:ind w:left="420" w:leftChars="200"/>
    </w:pPr>
  </w:style>
  <w:style w:type="paragraph" w:styleId="15">
    <w:name w:val="annotation subject"/>
    <w:basedOn w:val="5"/>
    <w:next w:val="5"/>
    <w:link w:val="42"/>
    <w:qFormat/>
    <w:uiPriority w:val="0"/>
    <w:rPr>
      <w:b/>
      <w:bCs/>
    </w:rPr>
  </w:style>
  <w:style w:type="paragraph" w:styleId="16">
    <w:name w:val="Body Text First Indent 2"/>
    <w:basedOn w:val="7"/>
    <w:qFormat/>
    <w:uiPriority w:val="0"/>
    <w:pPr>
      <w:tabs>
        <w:tab w:val="left" w:pos="0"/>
        <w:tab w:val="left" w:pos="284"/>
        <w:tab w:val="left" w:pos="720"/>
      </w:tabs>
      <w:ind w:firstLine="42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character" w:styleId="21">
    <w:name w:val="Hyperlink"/>
    <w:unhideWhenUsed/>
    <w:qFormat/>
    <w:uiPriority w:val="99"/>
    <w:rPr>
      <w:color w:val="0563C1"/>
      <w:u w:val="single"/>
    </w:rPr>
  </w:style>
  <w:style w:type="character" w:styleId="22">
    <w:name w:val="annotation reference"/>
    <w:basedOn w:val="19"/>
    <w:qFormat/>
    <w:uiPriority w:val="0"/>
    <w:rPr>
      <w:sz w:val="21"/>
      <w:szCs w:val="21"/>
    </w:rPr>
  </w:style>
  <w:style w:type="character" w:styleId="23">
    <w:name w:val="footnote reference"/>
    <w:basedOn w:val="19"/>
    <w:unhideWhenUsed/>
    <w:qFormat/>
    <w:uiPriority w:val="99"/>
    <w:rPr>
      <w:vertAlign w:val="superscript"/>
    </w:rPr>
  </w:style>
  <w:style w:type="character" w:customStyle="1" w:styleId="24">
    <w:name w:val="标题 1 字符"/>
    <w:link w:val="3"/>
    <w:qFormat/>
    <w:uiPriority w:val="9"/>
    <w:rPr>
      <w:rFonts w:ascii="Times New Roman" w:hAnsi="Times New Roman" w:eastAsia="黑体" w:cs="黑体"/>
      <w:sz w:val="32"/>
      <w:szCs w:val="32"/>
    </w:rPr>
  </w:style>
  <w:style w:type="character" w:customStyle="1" w:styleId="25">
    <w:name w:val="标题 2 字符"/>
    <w:link w:val="4"/>
    <w:qFormat/>
    <w:uiPriority w:val="9"/>
    <w:rPr>
      <w:rFonts w:ascii="Times New Roman" w:hAnsi="Times New Roman" w:eastAsia="楷体_GB2312" w:cs="黑体"/>
      <w:sz w:val="32"/>
      <w:szCs w:val="32"/>
    </w:rPr>
  </w:style>
  <w:style w:type="character" w:customStyle="1" w:styleId="26">
    <w:name w:val="正文文本缩进 字符"/>
    <w:link w:val="7"/>
    <w:qFormat/>
    <w:uiPriority w:val="0"/>
    <w:rPr>
      <w:rFonts w:eastAsia="仿宋_GB2312"/>
      <w:kern w:val="2"/>
      <w:sz w:val="32"/>
      <w:szCs w:val="24"/>
    </w:rPr>
  </w:style>
  <w:style w:type="character" w:customStyle="1" w:styleId="27">
    <w:name w:val="页脚 字符"/>
    <w:link w:val="10"/>
    <w:qFormat/>
    <w:uiPriority w:val="0"/>
    <w:rPr>
      <w:kern w:val="2"/>
      <w:sz w:val="18"/>
      <w:szCs w:val="18"/>
    </w:rPr>
  </w:style>
  <w:style w:type="character" w:customStyle="1" w:styleId="28">
    <w:name w:val="页眉 字符"/>
    <w:link w:val="11"/>
    <w:qFormat/>
    <w:uiPriority w:val="0"/>
    <w:rPr>
      <w:kern w:val="2"/>
      <w:sz w:val="18"/>
      <w:szCs w:val="18"/>
    </w:rPr>
  </w:style>
  <w:style w:type="character" w:customStyle="1" w:styleId="29">
    <w:name w:val="font31"/>
    <w:qFormat/>
    <w:uiPriority w:val="0"/>
    <w:rPr>
      <w:rFonts w:hint="eastAsia" w:ascii="仿宋" w:hAnsi="仿宋" w:eastAsia="仿宋" w:cs="仿宋"/>
      <w:color w:val="000000"/>
      <w:sz w:val="32"/>
      <w:szCs w:val="32"/>
      <w:u w:val="none"/>
    </w:rPr>
  </w:style>
  <w:style w:type="paragraph" w:customStyle="1" w:styleId="30">
    <w:name w:val="列表段落11"/>
    <w:basedOn w:val="1"/>
    <w:qFormat/>
    <w:uiPriority w:val="34"/>
    <w:pPr>
      <w:ind w:firstLine="420" w:firstLineChars="200"/>
    </w:pPr>
  </w:style>
  <w:style w:type="paragraph" w:customStyle="1" w:styleId="31">
    <w:name w:val="Char"/>
    <w:basedOn w:val="1"/>
    <w:qFormat/>
    <w:uiPriority w:val="0"/>
    <w:rPr>
      <w:rFonts w:ascii="宋体" w:hAnsi="宋体" w:cs="Courier New"/>
      <w:sz w:val="32"/>
      <w:szCs w:val="32"/>
    </w:rPr>
  </w:style>
  <w:style w:type="paragraph" w:customStyle="1" w:styleId="32">
    <w:name w:val="列出段落1"/>
    <w:basedOn w:val="1"/>
    <w:qFormat/>
    <w:uiPriority w:val="99"/>
    <w:pPr>
      <w:ind w:firstLine="420" w:firstLineChars="200"/>
    </w:pPr>
    <w:rPr>
      <w:rFonts w:ascii="Times New Roman"/>
      <w:kern w:val="0"/>
      <w:sz w:val="24"/>
      <w:szCs w:val="22"/>
    </w:rPr>
  </w:style>
  <w:style w:type="paragraph" w:customStyle="1" w:styleId="33">
    <w:name w:val="默认段落字体 Para Char"/>
    <w:basedOn w:val="1"/>
    <w:qFormat/>
    <w:uiPriority w:val="0"/>
    <w:pPr>
      <w:adjustRightInd w:val="0"/>
      <w:spacing w:line="360" w:lineRule="auto"/>
    </w:pPr>
    <w:rPr>
      <w:kern w:val="0"/>
      <w:szCs w:val="20"/>
    </w:rPr>
  </w:style>
  <w:style w:type="paragraph" w:customStyle="1" w:styleId="34">
    <w:name w:val="样式 样式 四号 行距: 固定值 25 磅 + 首行缩进:  2 字符"/>
    <w:basedOn w:val="1"/>
    <w:qFormat/>
    <w:uiPriority w:val="99"/>
    <w:pPr>
      <w:spacing w:line="500" w:lineRule="atLeast"/>
      <w:ind w:firstLine="560" w:firstLineChars="200"/>
    </w:pPr>
    <w:rPr>
      <w:rFonts w:ascii="Times New Roman"/>
      <w:sz w:val="28"/>
      <w:szCs w:val="28"/>
    </w:rPr>
  </w:style>
  <w:style w:type="paragraph" w:customStyle="1" w:styleId="35">
    <w:name w:val="Y正文"/>
    <w:basedOn w:val="1"/>
    <w:qFormat/>
    <w:uiPriority w:val="0"/>
    <w:pPr>
      <w:tabs>
        <w:tab w:val="left" w:pos="567"/>
      </w:tabs>
      <w:snapToGrid w:val="0"/>
      <w:spacing w:before="50" w:beforeLines="50" w:line="300" w:lineRule="auto"/>
      <w:ind w:firstLine="200" w:firstLineChars="200"/>
    </w:pPr>
    <w:rPr>
      <w:rFonts w:eastAsia="仿宋" w:cs="Times New Roman"/>
      <w:sz w:val="32"/>
    </w:rPr>
  </w:style>
  <w:style w:type="paragraph" w:customStyle="1" w:styleId="36">
    <w:name w:val="标题3"/>
    <w:basedOn w:val="1"/>
    <w:link w:val="37"/>
    <w:qFormat/>
    <w:uiPriority w:val="0"/>
    <w:pPr>
      <w:adjustRightInd w:val="0"/>
      <w:snapToGrid w:val="0"/>
      <w:spacing w:line="560" w:lineRule="exact"/>
      <w:ind w:firstLine="641"/>
      <w:jc w:val="left"/>
      <w:outlineLvl w:val="2"/>
    </w:pPr>
    <w:rPr>
      <w:rFonts w:ascii="Times New Roman" w:hAnsi="Times New Roman" w:eastAsia="仿宋_GB2312" w:cs="黑体"/>
      <w:kern w:val="0"/>
      <w:sz w:val="32"/>
      <w:szCs w:val="32"/>
    </w:rPr>
  </w:style>
  <w:style w:type="character" w:customStyle="1" w:styleId="37">
    <w:name w:val="标题3 字符"/>
    <w:link w:val="36"/>
    <w:qFormat/>
    <w:uiPriority w:val="0"/>
    <w:rPr>
      <w:rFonts w:ascii="Times New Roman" w:hAnsi="Times New Roman" w:eastAsia="仿宋_GB2312" w:cs="黑体"/>
      <w:sz w:val="32"/>
      <w:szCs w:val="32"/>
    </w:rPr>
  </w:style>
  <w:style w:type="paragraph" w:styleId="38">
    <w:name w:val="List Paragraph"/>
    <w:basedOn w:val="1"/>
    <w:qFormat/>
    <w:uiPriority w:val="99"/>
    <w:pPr>
      <w:ind w:firstLine="420" w:firstLineChars="200"/>
    </w:pPr>
  </w:style>
  <w:style w:type="paragraph" w:customStyle="1" w:styleId="39">
    <w:name w:val="Revision"/>
    <w:hidden/>
    <w:unhideWhenUsed/>
    <w:qFormat/>
    <w:uiPriority w:val="99"/>
    <w:rPr>
      <w:rFonts w:ascii="Calibri" w:hAnsi="Calibri" w:eastAsia="宋体" w:cs="宋体"/>
      <w:kern w:val="2"/>
      <w:sz w:val="21"/>
      <w:szCs w:val="24"/>
      <w:lang w:val="en-US" w:eastAsia="zh-CN" w:bidi="ar-SA"/>
    </w:rPr>
  </w:style>
  <w:style w:type="character" w:customStyle="1" w:styleId="40">
    <w:name w:val="脚注文本 字符"/>
    <w:basedOn w:val="19"/>
    <w:link w:val="13"/>
    <w:qFormat/>
    <w:uiPriority w:val="99"/>
    <w:rPr>
      <w:kern w:val="2"/>
      <w:sz w:val="18"/>
      <w:szCs w:val="18"/>
    </w:rPr>
  </w:style>
  <w:style w:type="character" w:customStyle="1" w:styleId="41">
    <w:name w:val="批注文字 字符"/>
    <w:basedOn w:val="19"/>
    <w:link w:val="5"/>
    <w:qFormat/>
    <w:uiPriority w:val="0"/>
    <w:rPr>
      <w:kern w:val="2"/>
      <w:sz w:val="21"/>
      <w:szCs w:val="24"/>
    </w:rPr>
  </w:style>
  <w:style w:type="character" w:customStyle="1" w:styleId="42">
    <w:name w:val="批注主题 字符"/>
    <w:basedOn w:val="41"/>
    <w:link w:val="15"/>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9F9E61-98BC-4B50-9AED-E421160E3706}">
  <ds:schemaRefs/>
</ds:datastoreItem>
</file>

<file path=docProps/app.xml><?xml version="1.0" encoding="utf-8"?>
<Properties xmlns="http://schemas.openxmlformats.org/officeDocument/2006/extended-properties" xmlns:vt="http://schemas.openxmlformats.org/officeDocument/2006/docPropsVTypes">
  <Template>Normal.dotm</Template>
  <Pages>50</Pages>
  <Words>19682</Words>
  <Characters>20076</Characters>
  <Lines>1434</Lines>
  <Paragraphs>993</Paragraphs>
  <TotalTime>522</TotalTime>
  <ScaleCrop>false</ScaleCrop>
  <LinksUpToDate>false</LinksUpToDate>
  <CharactersWithSpaces>38765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2026-06-28T17:21:00Z</dcterms:created>
  <dc:creator>user</dc:creator>
  <cp:lastModifiedBy>uos</cp:lastModifiedBy>
  <cp:lastPrinted>2021-04-26T01:04:00Z</cp:lastPrinted>
  <dcterms:modified xsi:type="dcterms:W3CDTF">2026-09-02T16:19:05Z</dcterms:modified>
  <dc:title>北京市朝阳区人民政府办公室</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eyJoZGlkIjoiYjc1ZGIwMWE2MzRlMzA0MTYyNjYwZjhhNzExNGZhYTkiLCJ1c2VySWQiOiIxNzY0OTA5NTM2In0=</vt:lpwstr>
  </property>
  <property fmtid="{D5CDD505-2E9C-101B-9397-08002B2CF9AE}" pid="4" name="ICV">
    <vt:lpwstr>EFA53E6C5FB445458FB646B7BFED4192_12</vt:lpwstr>
  </property>
</Properties>
</file>