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C3F08B">
      <w:pPr>
        <w:spacing w:line="480" w:lineRule="auto"/>
        <w:jc w:val="center"/>
        <w:rPr>
          <w:rFonts w:hint="eastAsia" w:ascii="黑体" w:eastAsia="黑体"/>
          <w:sz w:val="32"/>
          <w:szCs w:val="32"/>
          <w:lang w:val="en-US" w:eastAsia="zh-CN"/>
        </w:rPr>
      </w:pPr>
    </w:p>
    <w:p w14:paraId="6A00383B">
      <w:pPr>
        <w:spacing w:line="480" w:lineRule="auto"/>
        <w:jc w:val="center"/>
        <w:rPr>
          <w:rFonts w:hint="eastAsia" w:ascii="黑体" w:eastAsia="黑体"/>
          <w:sz w:val="32"/>
          <w:szCs w:val="32"/>
          <w:lang w:val="en-US" w:eastAsia="zh-CN"/>
        </w:rPr>
      </w:pPr>
    </w:p>
    <w:p w14:paraId="46839D85">
      <w:pPr>
        <w:spacing w:line="480" w:lineRule="auto"/>
        <w:jc w:val="center"/>
        <w:rPr>
          <w:rFonts w:hint="eastAsia" w:ascii="黑体" w:eastAsia="黑体"/>
          <w:sz w:val="32"/>
          <w:szCs w:val="32"/>
          <w:lang w:val="en-US" w:eastAsia="zh-CN"/>
        </w:rPr>
      </w:pPr>
      <w:r>
        <w:rPr>
          <w:rFonts w:hint="eastAsia" w:ascii="黑体" w:eastAsia="黑体"/>
          <w:sz w:val="32"/>
          <w:szCs w:val="32"/>
          <w:lang w:val="en-US" w:eastAsia="zh-CN"/>
        </w:rPr>
        <w:t>北京市市级预算部门整体支出</w:t>
      </w:r>
    </w:p>
    <w:p w14:paraId="03492121">
      <w:pPr>
        <w:spacing w:line="480" w:lineRule="auto"/>
        <w:jc w:val="center"/>
        <w:rPr>
          <w:rFonts w:hint="eastAsia" w:ascii="黑体" w:eastAsia="黑体"/>
          <w:sz w:val="32"/>
          <w:szCs w:val="32"/>
          <w:lang w:val="en-US" w:eastAsia="zh-CN"/>
        </w:rPr>
      </w:pPr>
      <w:r>
        <w:rPr>
          <w:rFonts w:hint="eastAsia" w:ascii="黑体" w:eastAsia="黑体"/>
          <w:sz w:val="32"/>
          <w:szCs w:val="32"/>
          <w:lang w:val="en-US" w:eastAsia="zh-CN"/>
        </w:rPr>
        <w:t>绩效评价报告</w:t>
      </w:r>
    </w:p>
    <w:p w14:paraId="3F58A437">
      <w:pPr>
        <w:spacing w:line="480" w:lineRule="auto"/>
        <w:jc w:val="center"/>
        <w:rPr>
          <w:rFonts w:hint="eastAsia" w:ascii="黑体" w:eastAsia="黑体"/>
          <w:sz w:val="32"/>
          <w:szCs w:val="32"/>
          <w:lang w:val="en-US" w:eastAsia="zh-CN"/>
        </w:rPr>
      </w:pPr>
    </w:p>
    <w:p w14:paraId="5525E46C">
      <w:pPr>
        <w:spacing w:line="480" w:lineRule="auto"/>
        <w:jc w:val="center"/>
        <w:rPr>
          <w:rFonts w:hint="eastAsia" w:ascii="黑体" w:eastAsia="黑体"/>
          <w:sz w:val="32"/>
          <w:szCs w:val="32"/>
          <w:lang w:val="en-US" w:eastAsia="zh-CN"/>
        </w:rPr>
      </w:pPr>
    </w:p>
    <w:p w14:paraId="5701799F">
      <w:pPr>
        <w:spacing w:line="480" w:lineRule="auto"/>
        <w:jc w:val="center"/>
        <w:rPr>
          <w:rFonts w:hint="eastAsia" w:ascii="黑体" w:eastAsia="黑体"/>
          <w:sz w:val="32"/>
          <w:szCs w:val="32"/>
          <w:lang w:val="en-US" w:eastAsia="zh-CN"/>
        </w:rPr>
      </w:pPr>
    </w:p>
    <w:p w14:paraId="2E1936F0">
      <w:pPr>
        <w:spacing w:line="480" w:lineRule="auto"/>
        <w:jc w:val="center"/>
        <w:rPr>
          <w:rFonts w:hint="eastAsia" w:ascii="黑体" w:eastAsia="黑体"/>
          <w:sz w:val="32"/>
          <w:szCs w:val="32"/>
          <w:lang w:val="en-US" w:eastAsia="zh-CN"/>
        </w:rPr>
      </w:pPr>
    </w:p>
    <w:p w14:paraId="66BBA749">
      <w:pPr>
        <w:spacing w:line="480" w:lineRule="auto"/>
        <w:jc w:val="center"/>
        <w:rPr>
          <w:rFonts w:hint="eastAsia" w:ascii="黑体" w:eastAsia="黑体"/>
          <w:sz w:val="32"/>
          <w:szCs w:val="32"/>
          <w:lang w:val="en-US" w:eastAsia="zh-CN"/>
        </w:rPr>
      </w:pPr>
    </w:p>
    <w:p w14:paraId="2939ED30">
      <w:pPr>
        <w:spacing w:line="480" w:lineRule="auto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北京北燃实业集团有限公司</w:t>
      </w:r>
    </w:p>
    <w:p w14:paraId="1213A2D2">
      <w:pPr>
        <w:spacing w:line="480" w:lineRule="auto"/>
        <w:jc w:val="center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2026年8月</w:t>
      </w:r>
    </w:p>
    <w:p w14:paraId="2017006A">
      <w:pPr>
        <w:spacing w:line="480" w:lineRule="auto"/>
        <w:jc w:val="center"/>
        <w:rPr>
          <w:rFonts w:hint="default" w:ascii="黑体" w:eastAsia="黑体"/>
          <w:sz w:val="32"/>
          <w:szCs w:val="32"/>
          <w:lang w:val="en-US" w:eastAsia="zh-CN"/>
        </w:rPr>
      </w:pPr>
    </w:p>
    <w:p w14:paraId="4CC7B038">
      <w:pPr>
        <w:spacing w:line="480" w:lineRule="auto"/>
        <w:rPr>
          <w:rFonts w:hint="eastAsia" w:ascii="黑体" w:hAnsi="Times New Roman" w:eastAsia="黑体" w:cs="Times New Roman"/>
          <w:sz w:val="28"/>
          <w:szCs w:val="28"/>
          <w:lang w:val="en-US" w:eastAsia="zh-CN"/>
          <w14:ligatures w14:val="none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456FC62D">
      <w:pPr>
        <w:spacing w:line="480" w:lineRule="auto"/>
        <w:jc w:val="center"/>
        <w:rPr>
          <w:rFonts w:hint="eastAsia" w:ascii="黑体" w:hAnsi="Times New Roman" w:eastAsia="黑体" w:cs="Times New Roman"/>
          <w:sz w:val="28"/>
          <w:szCs w:val="28"/>
          <w:lang w:val="en-US" w:eastAsia="zh-CN"/>
          <w14:ligatures w14:val="none"/>
        </w:rPr>
      </w:pPr>
      <w:r>
        <w:rPr>
          <w:rFonts w:hint="eastAsia" w:ascii="黑体" w:hAnsi="Times New Roman" w:eastAsia="黑体" w:cs="Times New Roman"/>
          <w:sz w:val="28"/>
          <w:szCs w:val="28"/>
          <w:lang w:val="en-US" w:eastAsia="zh-CN"/>
          <w14:ligatures w14:val="none"/>
        </w:rPr>
        <w:t>目       录</w:t>
      </w:r>
    </w:p>
    <w:p w14:paraId="7B6FF846">
      <w:pPr>
        <w:numPr>
          <w:ilvl w:val="0"/>
          <w:numId w:val="0"/>
        </w:numPr>
        <w:spacing w:line="480" w:lineRule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一、部门概况...................................................................................1</w:t>
      </w:r>
    </w:p>
    <w:p w14:paraId="412C07EB">
      <w:pPr>
        <w:numPr>
          <w:ilvl w:val="0"/>
          <w:numId w:val="0"/>
        </w:numPr>
        <w:spacing w:line="480" w:lineRule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（一）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机构设置及职责工作任务情况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...............................................................1</w:t>
      </w:r>
    </w:p>
    <w:p w14:paraId="5588F928">
      <w:pPr>
        <w:numPr>
          <w:ilvl w:val="0"/>
          <w:numId w:val="0"/>
        </w:numPr>
        <w:spacing w:line="480" w:lineRule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（二）部门整体绩效目标设立情况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.................................................................1</w:t>
      </w:r>
    </w:p>
    <w:p w14:paraId="451A379D">
      <w:pPr>
        <w:numPr>
          <w:ilvl w:val="0"/>
          <w:numId w:val="0"/>
        </w:numPr>
        <w:spacing w:line="480" w:lineRule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二、当年预算执行情况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...........................................................................2</w:t>
      </w:r>
    </w:p>
    <w:p w14:paraId="5C05BE22">
      <w:pPr>
        <w:numPr>
          <w:ilvl w:val="0"/>
          <w:numId w:val="0"/>
        </w:numPr>
        <w:spacing w:line="480" w:lineRule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三</w:t>
      </w:r>
      <w:r>
        <w:rPr>
          <w:rFonts w:hint="eastAsia" w:ascii="宋体" w:hAnsi="宋体" w:eastAsia="宋体" w:cs="宋体"/>
          <w:sz w:val="28"/>
          <w:szCs w:val="28"/>
        </w:rPr>
        <w:t>、</w:t>
      </w:r>
      <w:r>
        <w:rPr>
          <w:rFonts w:ascii="宋体" w:hAnsi="宋体" w:eastAsia="宋体" w:cs="宋体"/>
          <w:sz w:val="28"/>
          <w:szCs w:val="28"/>
        </w:rPr>
        <w:t>整体绩效目标实现情况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.......................................................................2</w:t>
      </w:r>
    </w:p>
    <w:p w14:paraId="0103C4D1">
      <w:pPr>
        <w:numPr>
          <w:ilvl w:val="0"/>
          <w:numId w:val="0"/>
        </w:numPr>
        <w:spacing w:line="480" w:lineRule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四</w:t>
      </w:r>
      <w:r>
        <w:rPr>
          <w:rFonts w:hint="eastAsia" w:ascii="宋体" w:hAnsi="宋体" w:eastAsia="宋体" w:cs="宋体"/>
          <w:sz w:val="28"/>
          <w:szCs w:val="28"/>
        </w:rPr>
        <w:t>、预算管理情况分析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...........................................................................3</w:t>
      </w:r>
    </w:p>
    <w:p w14:paraId="5A4139A7">
      <w:pPr>
        <w:numPr>
          <w:ilvl w:val="0"/>
          <w:numId w:val="0"/>
        </w:numPr>
        <w:spacing w:line="480" w:lineRule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五、</w:t>
      </w:r>
      <w:r>
        <w:rPr>
          <w:rFonts w:hint="eastAsia" w:ascii="宋体" w:hAnsi="宋体" w:eastAsia="宋体" w:cs="宋体"/>
          <w:sz w:val="28"/>
          <w:szCs w:val="28"/>
        </w:rPr>
        <w:t>总体评价结论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...............................................................................4</w:t>
      </w:r>
    </w:p>
    <w:p w14:paraId="19DF69C5">
      <w:pPr>
        <w:numPr>
          <w:ilvl w:val="0"/>
          <w:numId w:val="0"/>
        </w:numPr>
        <w:spacing w:line="480" w:lineRule="auto"/>
        <w:rPr>
          <w:rFonts w:ascii="宋体" w:hAnsi="宋体" w:eastAsia="宋体" w:cs="宋体"/>
          <w:sz w:val="28"/>
          <w:szCs w:val="28"/>
        </w:rPr>
      </w:pPr>
    </w:p>
    <w:p w14:paraId="2B279D2B">
      <w:pPr>
        <w:numPr>
          <w:ilvl w:val="0"/>
          <w:numId w:val="0"/>
        </w:numPr>
        <w:spacing w:line="480" w:lineRule="auto"/>
        <w:rPr>
          <w:rFonts w:hint="default" w:ascii="宋体" w:hAnsi="宋体" w:eastAsia="宋体" w:cs="宋体"/>
          <w:sz w:val="28"/>
          <w:szCs w:val="28"/>
          <w:lang w:val="en-US" w:eastAsia="zh-CN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pgNumType w:start="1"/>
          <w:cols w:space="425" w:num="1"/>
          <w:docGrid w:type="lines" w:linePitch="312" w:charSpace="0"/>
        </w:sectPr>
      </w:pPr>
    </w:p>
    <w:p w14:paraId="327A01A3">
      <w:pPr>
        <w:spacing w:line="48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一、部门概况</w:t>
      </w:r>
    </w:p>
    <w:p w14:paraId="6AB3490B">
      <w:pPr>
        <w:spacing w:line="480" w:lineRule="auto"/>
        <w:ind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（一）机构设置及职责工作任务情况</w:t>
      </w:r>
    </w:p>
    <w:p w14:paraId="595CCA96">
      <w:pPr>
        <w:spacing w:line="48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</w:t>
      </w:r>
      <w:r>
        <w:rPr>
          <w:rFonts w:hint="eastAsia" w:ascii="宋体" w:hAnsi="宋体" w:eastAsia="宋体" w:cs="宋体"/>
          <w:sz w:val="28"/>
          <w:szCs w:val="28"/>
        </w:rPr>
        <w:t>北京北燃实业集团有限公司所属2个部门预算单位分别为北京北燃特种设备检验检测有限公司（由于业务不断发展，于2026年4月29日完成单位名称变更，更名后为北京燃气集团特检技术发展有限公司，以下简称北燃特检）和北京市公用事业科学研究所有限公司（以下简称科研所公司）。</w:t>
      </w:r>
    </w:p>
    <w:p w14:paraId="72AE4F48">
      <w:pPr>
        <w:spacing w:line="48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北燃特检内设机构为：综合办公室、财务管理部、安全技术部、检验业务一部、检验业务二部、培训业务部、无损检测部。</w:t>
      </w:r>
    </w:p>
    <w:p w14:paraId="03243B87">
      <w:pPr>
        <w:spacing w:line="48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科研所设置5个职能部门和2个中心，分别为：党群工作部、办公室、人力资源部、企业管理部、财务管理部、科技研发中心和检验检测中心。</w:t>
      </w:r>
      <w:bookmarkStart w:id="0" w:name="_GoBack"/>
      <w:bookmarkEnd w:id="0"/>
    </w:p>
    <w:p w14:paraId="3A1D8027">
      <w:pPr>
        <w:spacing w:line="48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</w:t>
      </w:r>
      <w:r>
        <w:rPr>
          <w:rFonts w:hint="eastAsia" w:ascii="宋体" w:hAnsi="宋体" w:eastAsia="宋体" w:cs="宋体"/>
          <w:sz w:val="28"/>
          <w:szCs w:val="28"/>
        </w:rPr>
        <w:t>职责工作任务情况</w:t>
      </w:r>
    </w:p>
    <w:p w14:paraId="467E4411">
      <w:pPr>
        <w:spacing w:line="48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>北京北燃特种设备检验检测有限公司主要是特种设备检验检测；检验检测服务；安全评价业务；安全咨询服务；技术服务；技术开发；技术咨询；技术交流；技术转让；技术推广等。</w:t>
      </w:r>
    </w:p>
    <w:p w14:paraId="034C8BF1">
      <w:pPr>
        <w:spacing w:line="48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北京市公用事业科学研究所有限公司主要开展检验检测服务；安全评价业务。自然科学研究和试验发展；安全咨询服务；信息技术咨询服务；环保咨询服务；节能管理服务；信息系统集成服务；技术服务、技术开发、技术咨询、技术交流、技术转让、技术推广；软件开发；电子产品销售；五金产品零售；通用设备修理；电子、机械设备维护（不含特种设备）。</w:t>
      </w:r>
    </w:p>
    <w:p w14:paraId="7EA664A8">
      <w:pPr>
        <w:spacing w:line="48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>部门整体绩效目标设立情况</w:t>
      </w:r>
    </w:p>
    <w:p w14:paraId="2F2DFD79">
      <w:pPr>
        <w:spacing w:line="48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1.绩效目标设立依据</w:t>
      </w:r>
    </w:p>
    <w:p w14:paraId="7FB09156">
      <w:pPr>
        <w:spacing w:line="48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本部门围绕部门职责及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2025年</w:t>
      </w:r>
      <w:r>
        <w:rPr>
          <w:rFonts w:hint="eastAsia" w:ascii="宋体" w:hAnsi="宋体" w:eastAsia="宋体" w:cs="宋体"/>
          <w:sz w:val="28"/>
          <w:szCs w:val="28"/>
        </w:rPr>
        <w:t>重点工作任务设立绩效目标，符合相关法律法规的要求及部门整体支出的客观实际，目标依据充分。</w:t>
      </w:r>
    </w:p>
    <w:p w14:paraId="09DAD393">
      <w:pPr>
        <w:spacing w:line="48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2.目标与职责任务匹配情况</w:t>
      </w:r>
    </w:p>
    <w:p w14:paraId="17B2426F">
      <w:pPr>
        <w:spacing w:line="48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绩效目标设定符合国家相关要求，指标设定与部门职能任务匹配。</w:t>
      </w:r>
    </w:p>
    <w:p w14:paraId="71118E8C">
      <w:pPr>
        <w:spacing w:line="48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09606A19">
      <w:pPr>
        <w:spacing w:line="48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二</w:t>
      </w:r>
      <w:r>
        <w:rPr>
          <w:rFonts w:hint="eastAsia" w:ascii="宋体" w:hAnsi="宋体" w:eastAsia="宋体" w:cs="宋体"/>
          <w:sz w:val="28"/>
          <w:szCs w:val="28"/>
        </w:rPr>
        <w:t>、当年预算执行情况</w:t>
      </w:r>
    </w:p>
    <w:p w14:paraId="2699EECD">
      <w:pPr>
        <w:spacing w:line="480" w:lineRule="auto"/>
        <w:ind w:firstLine="56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2025年</w:t>
      </w:r>
      <w:r>
        <w:rPr>
          <w:rFonts w:hint="eastAsia" w:ascii="宋体" w:hAnsi="宋体" w:eastAsia="宋体" w:cs="宋体"/>
          <w:sz w:val="28"/>
          <w:szCs w:val="28"/>
        </w:rPr>
        <w:t>本部门预算仅涉及下属两单位的改革过渡期政策保障经费项目。</w:t>
      </w:r>
    </w:p>
    <w:p w14:paraId="6527EE26">
      <w:pPr>
        <w:spacing w:line="48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经费总额</w:t>
      </w:r>
      <w:r>
        <w:rPr>
          <w:rFonts w:hint="eastAsia" w:ascii="宋体" w:hAnsi="宋体" w:eastAsia="宋体" w:cs="宋体"/>
          <w:sz w:val="28"/>
          <w:szCs w:val="28"/>
        </w:rPr>
        <w:t>：</w:t>
      </w:r>
      <w:r>
        <w:rPr>
          <w:rFonts w:ascii="宋体" w:hAnsi="宋体" w:eastAsia="宋体" w:cs="宋体"/>
          <w:sz w:val="28"/>
          <w:szCs w:val="28"/>
        </w:rPr>
        <w:t>3169.98万元，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为下属单位的改革过渡期政策保障经费，</w:t>
      </w:r>
      <w:r>
        <w:rPr>
          <w:rFonts w:ascii="宋体" w:hAnsi="宋体" w:eastAsia="宋体" w:cs="宋体"/>
          <w:sz w:val="28"/>
          <w:szCs w:val="28"/>
        </w:rPr>
        <w:t>其中北燃特检为827.80万元，科研所公司为2342.18万元。</w:t>
      </w:r>
      <w:r>
        <w:rPr>
          <w:rFonts w:hint="eastAsia" w:ascii="宋体" w:hAnsi="宋体" w:eastAsia="宋体" w:cs="宋体"/>
          <w:sz w:val="28"/>
          <w:szCs w:val="28"/>
        </w:rPr>
        <w:t>以上预算在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2025年</w:t>
      </w:r>
      <w:r>
        <w:rPr>
          <w:rFonts w:hint="eastAsia" w:ascii="宋体" w:hAnsi="宋体" w:eastAsia="宋体" w:cs="宋体"/>
          <w:sz w:val="28"/>
          <w:szCs w:val="28"/>
        </w:rPr>
        <w:t>度全部执行完毕，预算执行率100%。</w:t>
      </w:r>
    </w:p>
    <w:p w14:paraId="45CB5ED2">
      <w:pPr>
        <w:spacing w:line="48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2CDCCFDB">
      <w:pPr>
        <w:spacing w:line="48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三</w:t>
      </w:r>
      <w:r>
        <w:rPr>
          <w:rFonts w:hint="eastAsia" w:ascii="宋体" w:hAnsi="宋体" w:eastAsia="宋体" w:cs="宋体"/>
          <w:sz w:val="28"/>
          <w:szCs w:val="28"/>
        </w:rPr>
        <w:t>、</w:t>
      </w:r>
      <w:r>
        <w:rPr>
          <w:rFonts w:ascii="宋体" w:hAnsi="宋体" w:eastAsia="宋体" w:cs="宋体"/>
          <w:sz w:val="28"/>
          <w:szCs w:val="28"/>
        </w:rPr>
        <w:t>整体绩效目标实现情况</w:t>
      </w:r>
    </w:p>
    <w:p w14:paraId="36B98140">
      <w:pPr>
        <w:spacing w:line="480" w:lineRule="auto"/>
        <w:ind w:firstLine="56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1、本部门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2025年</w:t>
      </w:r>
      <w:r>
        <w:rPr>
          <w:rFonts w:hint="eastAsia" w:ascii="宋体" w:hAnsi="宋体" w:eastAsia="宋体" w:cs="宋体"/>
          <w:sz w:val="28"/>
          <w:szCs w:val="28"/>
        </w:rPr>
        <w:t>预算执行率为100%</w:t>
      </w:r>
    </w:p>
    <w:p w14:paraId="771451CD">
      <w:pPr>
        <w:spacing w:line="480" w:lineRule="auto"/>
        <w:ind w:firstLine="56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2、本部门完成了保证改革过渡期平稳过渡的绩效目标。</w:t>
      </w:r>
    </w:p>
    <w:p w14:paraId="4A3746E2">
      <w:pPr>
        <w:pStyle w:val="10"/>
        <w:spacing w:line="480" w:lineRule="auto"/>
        <w:ind w:firstLine="560"/>
      </w:pPr>
      <w:r>
        <w:rPr>
          <w:rFonts w:hint="eastAsia" w:hAnsi="宋体" w:cs="宋体"/>
          <w:kern w:val="2"/>
          <w:sz w:val="28"/>
          <w:szCs w:val="28"/>
        </w:rPr>
        <w:t>3、本部门预算管理符合预定要求。</w:t>
      </w:r>
    </w:p>
    <w:p w14:paraId="6CCE7EFC">
      <w:pPr>
        <w:spacing w:line="48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四</w:t>
      </w:r>
      <w:r>
        <w:rPr>
          <w:rFonts w:hint="eastAsia" w:ascii="宋体" w:hAnsi="宋体" w:eastAsia="宋体" w:cs="宋体"/>
          <w:sz w:val="28"/>
          <w:szCs w:val="28"/>
        </w:rPr>
        <w:t>、预算管理情况分析</w:t>
      </w:r>
    </w:p>
    <w:p w14:paraId="66D8C3DD">
      <w:pPr>
        <w:spacing w:line="480" w:lineRule="auto"/>
        <w:ind w:firstLine="56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1、财务管理</w:t>
      </w:r>
    </w:p>
    <w:p w14:paraId="5919929F">
      <w:pPr>
        <w:spacing w:line="480" w:lineRule="auto"/>
        <w:ind w:firstLine="56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1）</w:t>
      </w:r>
      <w:r>
        <w:rPr>
          <w:rFonts w:ascii="宋体" w:hAnsi="宋体" w:eastAsia="宋体" w:cs="宋体"/>
          <w:sz w:val="28"/>
          <w:szCs w:val="28"/>
        </w:rPr>
        <w:t>财务管理制度健全性</w:t>
      </w:r>
    </w:p>
    <w:p w14:paraId="11220398">
      <w:pPr>
        <w:spacing w:line="480" w:lineRule="auto"/>
        <w:ind w:firstLine="560"/>
        <w:rPr>
          <w:rFonts w:hint="eastAsia"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为进一步提高财务管理能力和水平，提高财政资金使用效益，</w:t>
      </w:r>
      <w:r>
        <w:rPr>
          <w:rFonts w:hint="eastAsia" w:ascii="宋体" w:hAnsi="宋体" w:eastAsia="宋体" w:cs="宋体"/>
          <w:sz w:val="28"/>
          <w:szCs w:val="28"/>
        </w:rPr>
        <w:t>本部门依据相关规定</w:t>
      </w:r>
      <w:r>
        <w:rPr>
          <w:rFonts w:ascii="宋体" w:hAnsi="宋体" w:eastAsia="宋体" w:cs="宋体"/>
          <w:sz w:val="28"/>
          <w:szCs w:val="28"/>
        </w:rPr>
        <w:t>，建立了完善的财务管理制度体系，保障了日常工作有章可循、稳步推进。</w:t>
      </w:r>
    </w:p>
    <w:p w14:paraId="3EC4112C">
      <w:pPr>
        <w:spacing w:line="480" w:lineRule="auto"/>
        <w:ind w:firstLine="560"/>
        <w:rPr>
          <w:rFonts w:hint="eastAsia"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2</w:t>
      </w:r>
      <w:r>
        <w:rPr>
          <w:rFonts w:hint="eastAsia" w:ascii="宋体" w:hAnsi="宋体" w:eastAsia="宋体" w:cs="宋体"/>
          <w:sz w:val="28"/>
          <w:szCs w:val="28"/>
        </w:rPr>
        <w:t>）</w:t>
      </w:r>
      <w:r>
        <w:rPr>
          <w:rFonts w:ascii="宋体" w:hAnsi="宋体" w:eastAsia="宋体" w:cs="宋体"/>
          <w:sz w:val="28"/>
          <w:szCs w:val="28"/>
        </w:rPr>
        <w:t>资金使用合规性和安全性</w:t>
      </w:r>
    </w:p>
    <w:p w14:paraId="64A1C6C1">
      <w:pPr>
        <w:spacing w:line="480" w:lineRule="auto"/>
        <w:ind w:firstLine="560"/>
        <w:rPr>
          <w:rFonts w:hint="eastAsia"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资金使用严格遵照国家法律法规和有关管理制度执行，资金拨付审批程序完整规范，资金使用安全合规。内部审计和监督机制完善，审计监督全面、纵深发展，为资金高效安全的使用保驾护航。</w:t>
      </w:r>
    </w:p>
    <w:p w14:paraId="1623FBAE">
      <w:pPr>
        <w:spacing w:line="480" w:lineRule="auto"/>
        <w:ind w:firstLine="560"/>
        <w:rPr>
          <w:rFonts w:hint="eastAsia"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3</w:t>
      </w:r>
      <w:r>
        <w:rPr>
          <w:rFonts w:hint="eastAsia" w:ascii="宋体" w:hAnsi="宋体" w:eastAsia="宋体" w:cs="宋体"/>
          <w:sz w:val="28"/>
          <w:szCs w:val="28"/>
        </w:rPr>
        <w:t>）</w:t>
      </w:r>
      <w:r>
        <w:rPr>
          <w:rFonts w:ascii="宋体" w:hAnsi="宋体" w:eastAsia="宋体" w:cs="宋体"/>
          <w:sz w:val="28"/>
          <w:szCs w:val="28"/>
        </w:rPr>
        <w:t>会计基础信息完善性</w:t>
      </w:r>
    </w:p>
    <w:p w14:paraId="144EA0E4">
      <w:pPr>
        <w:spacing w:line="480" w:lineRule="auto"/>
        <w:ind w:firstLine="560"/>
        <w:rPr>
          <w:rFonts w:hint="eastAsia"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在费用报销及合同付款过程中，严格审核原始凭证，确保了会计基础信息真实、准确、完整。</w:t>
      </w:r>
    </w:p>
    <w:p w14:paraId="4CBC424B">
      <w:pPr>
        <w:spacing w:line="480" w:lineRule="auto"/>
        <w:ind w:firstLine="56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2、</w:t>
      </w:r>
      <w:r>
        <w:rPr>
          <w:rFonts w:ascii="宋体" w:hAnsi="宋体" w:eastAsia="宋体" w:cs="宋体"/>
          <w:sz w:val="28"/>
          <w:szCs w:val="28"/>
        </w:rPr>
        <w:t>资产管理</w:t>
      </w:r>
    </w:p>
    <w:p w14:paraId="45C4DA18">
      <w:pPr>
        <w:spacing w:line="480" w:lineRule="auto"/>
        <w:ind w:firstLine="560"/>
        <w:rPr>
          <w:rFonts w:hint="eastAsia"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为进一步提升资产管理水平，</w:t>
      </w:r>
      <w:r>
        <w:rPr>
          <w:rFonts w:hint="eastAsia" w:ascii="宋体" w:hAnsi="宋体" w:eastAsia="宋体" w:cs="宋体"/>
          <w:sz w:val="28"/>
          <w:szCs w:val="28"/>
        </w:rPr>
        <w:t>本部门制定了各种资产管理</w:t>
      </w:r>
      <w:r>
        <w:rPr>
          <w:rFonts w:ascii="宋体" w:hAnsi="宋体" w:eastAsia="宋体" w:cs="宋体"/>
          <w:sz w:val="28"/>
          <w:szCs w:val="28"/>
        </w:rPr>
        <w:t>制度，细化了具体工作程序和标准；同时建立了资产与预算管理相结合的工作运行机制，编制资产购置指南，强化资产购置预算管理能力。</w:t>
      </w:r>
    </w:p>
    <w:p w14:paraId="7FDDD9E2">
      <w:pPr>
        <w:spacing w:line="480" w:lineRule="auto"/>
        <w:ind w:firstLine="56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3、</w:t>
      </w:r>
      <w:r>
        <w:rPr>
          <w:rFonts w:ascii="宋体" w:hAnsi="宋体" w:eastAsia="宋体" w:cs="宋体"/>
          <w:sz w:val="28"/>
          <w:szCs w:val="28"/>
        </w:rPr>
        <w:t>绩效管理</w:t>
      </w:r>
    </w:p>
    <w:p w14:paraId="0E1CC635">
      <w:pPr>
        <w:spacing w:line="480" w:lineRule="auto"/>
        <w:ind w:firstLine="56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本部门</w:t>
      </w:r>
      <w:r>
        <w:rPr>
          <w:rFonts w:ascii="宋体" w:hAnsi="宋体" w:eastAsia="宋体" w:cs="宋体"/>
          <w:sz w:val="28"/>
          <w:szCs w:val="28"/>
        </w:rPr>
        <w:t>将绩效理念深度融入预算编制、执行和监督全过程，构建事前、事中、事后绩效管理闭环系统，创新预算管理方式，扎实做好各项绩效管理工作。在《市级部门预算编报指南》的指导下，</w:t>
      </w:r>
      <w:r>
        <w:rPr>
          <w:rFonts w:hint="eastAsia" w:ascii="宋体" w:hAnsi="宋体" w:eastAsia="宋体" w:cs="宋体"/>
          <w:sz w:val="28"/>
          <w:szCs w:val="28"/>
        </w:rPr>
        <w:t>本部门</w:t>
      </w:r>
      <w:r>
        <w:rPr>
          <w:rFonts w:ascii="宋体" w:hAnsi="宋体" w:eastAsia="宋体" w:cs="宋体"/>
          <w:sz w:val="28"/>
          <w:szCs w:val="28"/>
        </w:rPr>
        <w:t>开展绩效目标编制、事中绩效监控及事后自评等工作，统筹预算绩效管理工作的全流程。</w:t>
      </w:r>
    </w:p>
    <w:p w14:paraId="71B8FC7F">
      <w:pPr>
        <w:numPr>
          <w:ilvl w:val="0"/>
          <w:numId w:val="1"/>
        </w:numPr>
        <w:spacing w:line="480" w:lineRule="auto"/>
        <w:ind w:firstLine="56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结转结余率</w:t>
      </w:r>
    </w:p>
    <w:p w14:paraId="1A9419B7">
      <w:pPr>
        <w:spacing w:line="480" w:lineRule="auto"/>
        <w:ind w:firstLine="56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本部门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2025年</w:t>
      </w:r>
      <w:r>
        <w:rPr>
          <w:rFonts w:hint="eastAsia" w:ascii="宋体" w:hAnsi="宋体" w:eastAsia="宋体" w:cs="宋体"/>
          <w:sz w:val="28"/>
          <w:szCs w:val="28"/>
        </w:rPr>
        <w:t>预算全部执行完毕，无结转结存。</w:t>
      </w:r>
    </w:p>
    <w:p w14:paraId="674C764E">
      <w:pPr>
        <w:numPr>
          <w:ilvl w:val="0"/>
          <w:numId w:val="1"/>
        </w:numPr>
        <w:spacing w:line="480" w:lineRule="auto"/>
        <w:ind w:firstLine="560"/>
        <w:rPr>
          <w:rFonts w:hint="eastAsia"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部门预决算差异率</w:t>
      </w:r>
    </w:p>
    <w:p w14:paraId="23061235">
      <w:pPr>
        <w:spacing w:line="480" w:lineRule="auto"/>
        <w:ind w:left="56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本部门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2025年</w:t>
      </w:r>
      <w:r>
        <w:rPr>
          <w:rFonts w:hint="eastAsia" w:ascii="宋体" w:hAnsi="宋体" w:eastAsia="宋体" w:cs="宋体"/>
          <w:sz w:val="28"/>
          <w:szCs w:val="28"/>
        </w:rPr>
        <w:t>预决算金额一致，无差异率。</w:t>
      </w:r>
    </w:p>
    <w:p w14:paraId="4BB91483">
      <w:pPr>
        <w:numPr>
          <w:ilvl w:val="0"/>
          <w:numId w:val="0"/>
        </w:numPr>
        <w:spacing w:line="48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1373976B">
      <w:pPr>
        <w:numPr>
          <w:ilvl w:val="0"/>
          <w:numId w:val="0"/>
        </w:numPr>
        <w:spacing w:line="48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五、</w:t>
      </w:r>
      <w:r>
        <w:rPr>
          <w:rFonts w:hint="eastAsia" w:ascii="宋体" w:hAnsi="宋体" w:eastAsia="宋体" w:cs="宋体"/>
          <w:sz w:val="28"/>
          <w:szCs w:val="28"/>
        </w:rPr>
        <w:t>总体评价结论</w:t>
      </w:r>
    </w:p>
    <w:p w14:paraId="790C39DD">
      <w:pPr>
        <w:numPr>
          <w:ilvl w:val="0"/>
          <w:numId w:val="2"/>
        </w:numPr>
        <w:spacing w:line="48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评价得分情况</w:t>
      </w:r>
    </w:p>
    <w:p w14:paraId="564E8C4D">
      <w:pPr>
        <w:spacing w:line="480" w:lineRule="auto"/>
        <w:ind w:left="56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本部门对</w:t>
      </w:r>
      <w:r>
        <w:rPr>
          <w:rFonts w:ascii="宋体" w:hAnsi="宋体" w:eastAsia="宋体" w:cs="宋体"/>
          <w:sz w:val="28"/>
          <w:szCs w:val="28"/>
        </w:rPr>
        <w:t>部门整体绩效评价开展了全面、系统、客观的分析评价，最终得分</w:t>
      </w:r>
      <w:r>
        <w:rPr>
          <w:rFonts w:hint="eastAsia" w:ascii="宋体" w:hAnsi="宋体" w:eastAsia="宋体" w:cs="宋体"/>
          <w:sz w:val="28"/>
          <w:szCs w:val="28"/>
        </w:rPr>
        <w:t>100</w:t>
      </w:r>
      <w:r>
        <w:rPr>
          <w:rFonts w:ascii="宋体" w:hAnsi="宋体" w:eastAsia="宋体" w:cs="宋体"/>
          <w:sz w:val="28"/>
          <w:szCs w:val="28"/>
        </w:rPr>
        <w:t>分。其中当年预算执行情况</w:t>
      </w:r>
      <w:r>
        <w:rPr>
          <w:rFonts w:hint="eastAsia" w:ascii="宋体" w:hAnsi="宋体" w:eastAsia="宋体" w:cs="宋体"/>
          <w:sz w:val="28"/>
          <w:szCs w:val="28"/>
        </w:rPr>
        <w:t>20</w:t>
      </w:r>
    </w:p>
    <w:p w14:paraId="7743BC7A">
      <w:pPr>
        <w:spacing w:line="480" w:lineRule="auto"/>
        <w:rPr>
          <w:rFonts w:hint="eastAsia"/>
        </w:rPr>
      </w:pPr>
      <w:r>
        <w:rPr>
          <w:rFonts w:ascii="宋体" w:hAnsi="宋体" w:eastAsia="宋体" w:cs="宋体"/>
          <w:sz w:val="28"/>
          <w:szCs w:val="28"/>
        </w:rPr>
        <w:t>分，整体绩效目标实现情况</w:t>
      </w:r>
      <w:r>
        <w:rPr>
          <w:rFonts w:hint="eastAsia" w:ascii="宋体" w:hAnsi="宋体" w:eastAsia="宋体" w:cs="宋体"/>
          <w:sz w:val="28"/>
          <w:szCs w:val="28"/>
        </w:rPr>
        <w:t>60</w:t>
      </w:r>
      <w:r>
        <w:rPr>
          <w:rFonts w:ascii="宋体" w:hAnsi="宋体" w:eastAsia="宋体" w:cs="宋体"/>
          <w:sz w:val="28"/>
          <w:szCs w:val="28"/>
        </w:rPr>
        <w:t>分，预算管理情况20分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179B551B">
      <w:pPr>
        <w:pStyle w:val="10"/>
        <w:spacing w:line="480" w:lineRule="auto"/>
        <w:ind w:firstLine="560"/>
        <w:rPr>
          <w:rFonts w:hint="eastAsia" w:hAnsi="宋体" w:cs="宋体"/>
          <w:kern w:val="2"/>
          <w:sz w:val="28"/>
          <w:szCs w:val="28"/>
        </w:rPr>
      </w:pPr>
    </w:p>
    <w:p w14:paraId="1FBF5B88">
      <w:pPr>
        <w:pStyle w:val="2"/>
        <w:spacing w:line="480" w:lineRule="auto"/>
        <w:rPr>
          <w:rFonts w:hint="eastAsia" w:ascii="宋体" w:hAnsi="宋体" w:eastAsia="宋体" w:cs="宋体"/>
          <w:sz w:val="28"/>
          <w:szCs w:val="28"/>
        </w:rPr>
      </w:pPr>
    </w:p>
    <w:p w14:paraId="1AEEDF0F">
      <w:pPr>
        <w:spacing w:line="480" w:lineRule="auto"/>
        <w:rPr>
          <w:rFonts w:hint="eastAsia" w:asciiTheme="minorEastAsia" w:hAnsiTheme="minorEastAsia" w:eastAsiaTheme="minorEastAsia" w:cstheme="minorEastAsia"/>
          <w:sz w:val="18"/>
          <w:szCs w:val="18"/>
        </w:rPr>
      </w:pPr>
    </w:p>
    <w:sectPr>
      <w:footerReference r:id="rId4" w:type="default"/>
      <w:pgSz w:w="16838" w:h="11906" w:orient="landscape"/>
      <w:pgMar w:top="1800" w:right="1440" w:bottom="1800" w:left="144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803E39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A17CB6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B6ABC0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B6ABC0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CE3B77"/>
    <w:multiLevelType w:val="singleLevel"/>
    <w:tmpl w:val="9CCE3B77"/>
    <w:lvl w:ilvl="0" w:tentative="0">
      <w:start w:val="1"/>
      <w:numFmt w:val="decimal"/>
      <w:suff w:val="nothing"/>
      <w:lvlText w:val="%1、"/>
      <w:lvlJc w:val="left"/>
      <w:pPr>
        <w:ind w:left="560" w:firstLine="0"/>
      </w:pPr>
    </w:lvl>
  </w:abstractNum>
  <w:abstractNum w:abstractNumId="1">
    <w:nsid w:val="09ABE2CF"/>
    <w:multiLevelType w:val="singleLevel"/>
    <w:tmpl w:val="09ABE2CF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wMWY0MWY3ZDU0MWZjYjM1MTA0MjNlNmI2NTU5MDAifQ=="/>
  </w:docVars>
  <w:rsids>
    <w:rsidRoot w:val="00EC3090"/>
    <w:rsid w:val="003D2522"/>
    <w:rsid w:val="00AA4329"/>
    <w:rsid w:val="00EC3090"/>
    <w:rsid w:val="06ED4883"/>
    <w:rsid w:val="0F933B9D"/>
    <w:rsid w:val="16235443"/>
    <w:rsid w:val="19B14EF4"/>
    <w:rsid w:val="1CC6022A"/>
    <w:rsid w:val="1CF96F94"/>
    <w:rsid w:val="1DF12E61"/>
    <w:rsid w:val="1E912BAE"/>
    <w:rsid w:val="22A42B29"/>
    <w:rsid w:val="22CB231F"/>
    <w:rsid w:val="25A277C4"/>
    <w:rsid w:val="27D46C1F"/>
    <w:rsid w:val="2CB64630"/>
    <w:rsid w:val="2D6B2362"/>
    <w:rsid w:val="2E3E76F0"/>
    <w:rsid w:val="32D7415C"/>
    <w:rsid w:val="333F2071"/>
    <w:rsid w:val="394B71EF"/>
    <w:rsid w:val="3ACF5EA1"/>
    <w:rsid w:val="3B8531DD"/>
    <w:rsid w:val="3E802EEA"/>
    <w:rsid w:val="3F0E7A8B"/>
    <w:rsid w:val="4A4338FC"/>
    <w:rsid w:val="4AA10F51"/>
    <w:rsid w:val="4F4559E9"/>
    <w:rsid w:val="50C1163F"/>
    <w:rsid w:val="525B3DFD"/>
    <w:rsid w:val="56C84E47"/>
    <w:rsid w:val="57D663FB"/>
    <w:rsid w:val="613D3357"/>
    <w:rsid w:val="687B2EBE"/>
    <w:rsid w:val="6CC76306"/>
    <w:rsid w:val="76EE3CCD"/>
    <w:rsid w:val="7A505733"/>
    <w:rsid w:val="7AF5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200" w:firstLineChars="200"/>
    </w:pPr>
  </w:style>
  <w:style w:type="paragraph" w:styleId="3">
    <w:name w:val="annotation text"/>
    <w:basedOn w:val="1"/>
    <w:link w:val="11"/>
    <w:qFormat/>
    <w:uiPriority w:val="0"/>
    <w:pPr>
      <w:jc w:val="left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annotation subject"/>
    <w:basedOn w:val="3"/>
    <w:next w:val="3"/>
    <w:link w:val="12"/>
    <w:qFormat/>
    <w:uiPriority w:val="0"/>
    <w:rPr>
      <w:b/>
      <w:bCs/>
    </w:rPr>
  </w:style>
  <w:style w:type="character" w:styleId="9">
    <w:name w:val="annotation reference"/>
    <w:basedOn w:val="8"/>
    <w:qFormat/>
    <w:uiPriority w:val="0"/>
    <w:rPr>
      <w:sz w:val="21"/>
      <w:szCs w:val="21"/>
    </w:rPr>
  </w:style>
  <w:style w:type="paragraph" w:customStyle="1" w:styleId="10">
    <w:name w:val="段"/>
    <w:next w:val="1"/>
    <w:autoRedefine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sz w:val="24"/>
      <w:szCs w:val="22"/>
      <w:lang w:val="en-US" w:eastAsia="zh-CN" w:bidi="ar-SA"/>
    </w:rPr>
  </w:style>
  <w:style w:type="character" w:customStyle="1" w:styleId="11">
    <w:name w:val="批注文字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2">
    <w:name w:val="批注主题 字符"/>
    <w:basedOn w:val="11"/>
    <w:link w:val="6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1425</Words>
  <Characters>1991</Characters>
  <Lines>15</Lines>
  <Paragraphs>4</Paragraphs>
  <TotalTime>20</TotalTime>
  <ScaleCrop>false</ScaleCrop>
  <LinksUpToDate>false</LinksUpToDate>
  <CharactersWithSpaces>2002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2024-08-22T08:36:00Z</dcterms:created>
  <dc:creator>HP</dc:creator>
  <cp:lastModifiedBy>WPS_1663051590</cp:lastModifiedBy>
  <dcterms:modified xsi:type="dcterms:W3CDTF">2026-08-27T01:34:35Z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F23F25412AD74A8F8C0367F836A5EFF5_12</vt:lpwstr>
  </property>
  <property fmtid="{D5CDD505-2E9C-101B-9397-08002B2CF9AE}" pid="4" name="KSOTemplateDocerSaveRecord">
    <vt:lpwstr>eyJoZGlkIjoiNmYwMWY0MWY3ZDU0MWZjYjM1MTA0MjNlNmI2NTU5MDAiLCJ1c2VySWQiOiIxNDEwMDA0MjQ3In0=</vt:lpwstr>
  </property>
</Properties>
</file>