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C15" w:rsidRDefault="0072215A" w:rsidP="00786B02">
      <w:pPr>
        <w:snapToGrid w:val="0"/>
        <w:spacing w:line="560" w:lineRule="exact"/>
        <w:jc w:val="center"/>
        <w:rPr>
          <w:rFonts w:ascii="方正小标宋简体" w:eastAsia="方正小标宋简体" w:hAnsi="方正小标宋简体" w:cs="Arial"/>
          <w:sz w:val="44"/>
          <w:szCs w:val="44"/>
        </w:rPr>
      </w:pPr>
      <w:r>
        <w:rPr>
          <w:rFonts w:ascii="方正小标宋简体" w:eastAsia="方正小标宋简体" w:hAnsi="方正小标宋简体" w:cs="Arial" w:hint="eastAsia"/>
          <w:sz w:val="44"/>
          <w:szCs w:val="44"/>
        </w:rPr>
        <w:t>北京市海淀区人民法院</w:t>
      </w:r>
    </w:p>
    <w:p w:rsidR="00EB2C15" w:rsidRDefault="0072215A" w:rsidP="00786B02">
      <w:pPr>
        <w:snapToGrid w:val="0"/>
        <w:spacing w:line="560" w:lineRule="exact"/>
        <w:jc w:val="center"/>
        <w:rPr>
          <w:rFonts w:ascii="方正小标宋简体" w:eastAsia="方正小标宋简体" w:hAnsi="黑体" w:cs="Arial"/>
          <w:sz w:val="44"/>
          <w:szCs w:val="44"/>
        </w:rPr>
      </w:pPr>
      <w:r>
        <w:rPr>
          <w:rFonts w:ascii="方正小标宋简体" w:eastAsia="方正小标宋简体" w:hAnsi="方正小标宋简体" w:cs="Arial" w:hint="eastAsia"/>
          <w:sz w:val="44"/>
          <w:szCs w:val="44"/>
        </w:rPr>
        <w:t>2024年度部门支出绩效评价报告</w:t>
      </w:r>
    </w:p>
    <w:p w:rsidR="00511663" w:rsidRDefault="00511663" w:rsidP="00786B02">
      <w:pPr>
        <w:pStyle w:val="2"/>
        <w:spacing w:line="560" w:lineRule="exact"/>
        <w:ind w:firstLine="640"/>
        <w:rPr>
          <w:rFonts w:ascii="仿宋_GB2312" w:eastAsia="仿宋_GB2312" w:hAnsi="Times New Roman" w:cs="Droid Sans"/>
          <w:color w:val="000000"/>
          <w:sz w:val="32"/>
          <w:szCs w:val="32"/>
        </w:rPr>
      </w:pPr>
    </w:p>
    <w:p w:rsidR="00EB2C15" w:rsidRDefault="0072215A" w:rsidP="00786B02">
      <w:pPr>
        <w:pStyle w:val="2"/>
        <w:spacing w:line="560" w:lineRule="exact"/>
        <w:ind w:firstLine="640"/>
        <w:rPr>
          <w:rFonts w:ascii="仿宋_GB2312" w:eastAsia="仿宋_GB2312" w:hAnsi="Times New Roman" w:cs="Droid Sans"/>
          <w:color w:val="000000"/>
          <w:sz w:val="32"/>
          <w:szCs w:val="32"/>
        </w:rPr>
      </w:pPr>
      <w:r>
        <w:rPr>
          <w:rFonts w:ascii="仿宋_GB2312" w:eastAsia="仿宋_GB2312" w:hAnsi="Times New Roman" w:cs="Droid Sans" w:hint="eastAsia"/>
          <w:color w:val="000000"/>
          <w:sz w:val="32"/>
          <w:szCs w:val="32"/>
        </w:rPr>
        <w:t>为进一步加强全面预算绩效管理，强化部门支出责任，提高财政资金使用效益，考核财政支出效率和综合效果，根据《北京市项目支出绩效评价管理办法》工作要求，北京市海淀区人民法院（以下简称“海淀法院”）结合2024年全年工作完成情况，对2024年度部门整体实施绩效评价，形成本绩效评价报告。</w:t>
      </w:r>
    </w:p>
    <w:p w:rsidR="00EB2C15" w:rsidRDefault="0072215A" w:rsidP="00786B02">
      <w:pPr>
        <w:snapToGrid w:val="0"/>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EB2C15" w:rsidRDefault="0072215A" w:rsidP="00786B02">
      <w:pPr>
        <w:snapToGrid w:val="0"/>
        <w:spacing w:line="560" w:lineRule="exact"/>
        <w:ind w:firstLineChars="200" w:firstLine="643"/>
        <w:rPr>
          <w:rFonts w:ascii="楷体" w:eastAsia="楷体" w:hAnsi="楷体"/>
          <w:b/>
          <w:bCs/>
          <w:sz w:val="32"/>
          <w:szCs w:val="32"/>
        </w:rPr>
      </w:pPr>
      <w:r>
        <w:rPr>
          <w:rFonts w:ascii="楷体" w:eastAsia="楷体" w:hAnsi="楷体"/>
          <w:b/>
          <w:bCs/>
          <w:sz w:val="32"/>
          <w:szCs w:val="32"/>
        </w:rPr>
        <w:t>（一）机构设置及职责工作任务情况</w:t>
      </w:r>
    </w:p>
    <w:p w:rsidR="00CF3BD2" w:rsidRDefault="0072215A" w:rsidP="00786B02">
      <w:pPr>
        <w:snapToGrid w:val="0"/>
        <w:spacing w:line="560" w:lineRule="exact"/>
        <w:ind w:firstLineChars="200" w:firstLine="640"/>
        <w:rPr>
          <w:rFonts w:ascii="仿宋_GB2312" w:eastAsia="仿宋_GB2312" w:hAnsi="Times New Roman" w:cs="Droid Sans"/>
          <w:color w:val="000000"/>
          <w:sz w:val="32"/>
          <w:szCs w:val="32"/>
        </w:rPr>
      </w:pPr>
      <w:r>
        <w:rPr>
          <w:rFonts w:ascii="仿宋_GB2312" w:eastAsia="仿宋_GB2312" w:hAnsi="Times New Roman" w:cs="Droid Sans" w:hint="eastAsia"/>
          <w:color w:val="000000"/>
          <w:sz w:val="32"/>
          <w:szCs w:val="32"/>
        </w:rPr>
        <w:t>北京市海淀区人民法院</w:t>
      </w:r>
      <w:r w:rsidR="00CF3BD2">
        <w:rPr>
          <w:rFonts w:ascii="仿宋_GB2312" w:eastAsia="仿宋_GB2312" w:hAnsi="Times New Roman" w:cs="Droid Sans" w:hint="eastAsia"/>
          <w:color w:val="000000"/>
          <w:sz w:val="32"/>
          <w:szCs w:val="32"/>
        </w:rPr>
        <w:t>部门性质</w:t>
      </w:r>
      <w:r>
        <w:rPr>
          <w:rFonts w:ascii="仿宋_GB2312" w:eastAsia="仿宋_GB2312" w:hAnsi="Times New Roman" w:cs="Droid Sans" w:hint="eastAsia"/>
          <w:color w:val="000000"/>
          <w:sz w:val="32"/>
          <w:szCs w:val="32"/>
        </w:rPr>
        <w:t>是国家审判机关。</w:t>
      </w:r>
    </w:p>
    <w:p w:rsidR="00EB2C15" w:rsidRDefault="0072215A" w:rsidP="00786B02">
      <w:pPr>
        <w:snapToGrid w:val="0"/>
        <w:spacing w:line="560" w:lineRule="exact"/>
        <w:ind w:firstLineChars="200" w:firstLine="640"/>
        <w:rPr>
          <w:rFonts w:ascii="仿宋_GB2312" w:eastAsia="仿宋_GB2312" w:cs="Droid Sans"/>
          <w:color w:val="000000"/>
          <w:sz w:val="32"/>
          <w:szCs w:val="32"/>
        </w:rPr>
      </w:pPr>
      <w:r>
        <w:rPr>
          <w:rFonts w:ascii="仿宋_GB2312" w:eastAsia="仿宋_GB2312" w:hAnsi="Times New Roman" w:cs="Droid Sans" w:hint="eastAsia"/>
          <w:color w:val="000000"/>
          <w:sz w:val="32"/>
          <w:szCs w:val="32"/>
        </w:rPr>
        <w:t>北京市海淀区人民法院的职责是审理辖区内刑事、民商事和行政等案件，依法执行已发生法律效力的判决、裁定以及国家行政机关依法申请执行的案件。</w:t>
      </w:r>
    </w:p>
    <w:p w:rsidR="00EB2C15" w:rsidRDefault="0072215A" w:rsidP="00786B02">
      <w:pPr>
        <w:snapToGrid w:val="0"/>
        <w:spacing w:line="560" w:lineRule="exact"/>
        <w:ind w:firstLineChars="200" w:firstLine="640"/>
        <w:rPr>
          <w:rFonts w:ascii="仿宋_GB2312" w:eastAsia="仿宋_GB2312"/>
          <w:sz w:val="32"/>
          <w:szCs w:val="32"/>
        </w:rPr>
      </w:pPr>
      <w:r>
        <w:rPr>
          <w:rFonts w:ascii="仿宋_GB2312" w:eastAsia="仿宋_GB2312" w:hAnsi="Times New Roman" w:hint="eastAsia"/>
          <w:sz w:val="32"/>
          <w:szCs w:val="32"/>
        </w:rPr>
        <w:t>北京市海淀区人民法院内设14个部门及7个派出法庭，分别为立案庭（诉讼服务中心）、刑事审判庭（未成年人案件审判庭）、民事审判一庭、民事审判二庭（劳动争议审判庭）、民事审判三庭（破产审判庭）、民事审判四庭、民事审判五庭（知识产权审判庭）、行政审判庭、综合审判庭、执行局、审判管理办公室（研究室）、政治部（机关党委、机关纪委）、综合办公室、司法警察大队，东升人民法庭、复兴路人民法庭、山后人民法庭、四季青人民法庭、上地人民</w:t>
      </w:r>
      <w:r>
        <w:rPr>
          <w:rFonts w:ascii="仿宋_GB2312" w:eastAsia="仿宋_GB2312" w:hAnsi="Times New Roman" w:hint="eastAsia"/>
          <w:sz w:val="32"/>
          <w:szCs w:val="32"/>
        </w:rPr>
        <w:lastRenderedPageBreak/>
        <w:t>法庭、温泉人民法庭、中关村人民法庭。</w:t>
      </w:r>
    </w:p>
    <w:p w:rsidR="00EB2C15" w:rsidRDefault="0072215A" w:rsidP="00786B02">
      <w:pPr>
        <w:snapToGrid w:val="0"/>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北京市海淀区人民法院包含1个预算单位，即北京市海淀区人民法院（本级）。</w:t>
      </w:r>
    </w:p>
    <w:p w:rsidR="00CF3BD2" w:rsidRPr="00CF3BD2" w:rsidRDefault="0072215A" w:rsidP="00786B02">
      <w:pPr>
        <w:pStyle w:val="Ad"/>
        <w:spacing w:line="560" w:lineRule="exact"/>
        <w:ind w:firstLineChars="200" w:firstLine="640"/>
        <w:outlineLvl w:val="0"/>
        <w:rPr>
          <w:rFonts w:ascii="仿宋_GB2312" w:eastAsia="仿宋_GB2312" w:hAnsi="Times New Roman"/>
          <w:color w:val="auto"/>
          <w:sz w:val="32"/>
          <w:szCs w:val="32"/>
        </w:rPr>
      </w:pPr>
      <w:r w:rsidRPr="00CF3BD2">
        <w:rPr>
          <w:rFonts w:ascii="仿宋_GB2312" w:eastAsia="仿宋_GB2312" w:hAnsi="Times New Roman" w:hint="eastAsia"/>
          <w:color w:val="auto"/>
          <w:sz w:val="32"/>
          <w:szCs w:val="32"/>
        </w:rPr>
        <w:t>2024年</w:t>
      </w:r>
      <w:r w:rsidR="00CF3BD2">
        <w:rPr>
          <w:rFonts w:ascii="仿宋_GB2312" w:eastAsia="仿宋_GB2312" w:hAnsi="Times New Roman" w:hint="eastAsia"/>
          <w:color w:val="auto"/>
          <w:sz w:val="32"/>
          <w:szCs w:val="32"/>
        </w:rPr>
        <w:t>，</w:t>
      </w:r>
      <w:r w:rsidR="00CF3BD2">
        <w:rPr>
          <w:rFonts w:ascii="仿宋_GB2312" w:eastAsia="仿宋_GB2312" w:hAnsi="Times New Roman" w:hint="eastAsia"/>
          <w:sz w:val="32"/>
          <w:szCs w:val="32"/>
        </w:rPr>
        <w:t>海淀法院在区委领导、上级法院指导下，</w:t>
      </w:r>
      <w:r w:rsidR="00CF3BD2" w:rsidRPr="00CF3BD2">
        <w:rPr>
          <w:rFonts w:ascii="仿宋_GB2312" w:eastAsia="仿宋_GB2312" w:hAnsi="Times New Roman" w:hint="eastAsia"/>
          <w:color w:val="auto"/>
          <w:sz w:val="32"/>
          <w:szCs w:val="32"/>
        </w:rPr>
        <w:t>坚持以习近平新时代中国特色社会主义思想为指导，全面贯彻党的二十大和二十届二中、三中全会精神，深入贯彻习近平法治思想，坚持服务大局、司法为民、公正司法，持续提升审判质效，为加快建设现代化强区高品质海淀提供有力司法保障。</w:t>
      </w:r>
    </w:p>
    <w:p w:rsidR="00EB2C15" w:rsidRDefault="000370CC" w:rsidP="00786B02">
      <w:pPr>
        <w:snapToGrid w:val="0"/>
        <w:spacing w:line="560" w:lineRule="exact"/>
        <w:ind w:firstLineChars="200" w:firstLine="643"/>
        <w:rPr>
          <w:rFonts w:ascii="楷体" w:eastAsia="楷体" w:hAnsi="楷体"/>
          <w:b/>
          <w:bCs/>
          <w:sz w:val="32"/>
          <w:szCs w:val="32"/>
        </w:rPr>
      </w:pPr>
      <w:r>
        <w:rPr>
          <w:rFonts w:ascii="楷体" w:eastAsia="楷体" w:hAnsi="楷体"/>
          <w:b/>
          <w:bCs/>
          <w:sz w:val="32"/>
          <w:szCs w:val="32"/>
        </w:rPr>
        <w:t>（</w:t>
      </w:r>
      <w:r>
        <w:rPr>
          <w:rFonts w:ascii="楷体" w:eastAsia="楷体" w:hAnsi="楷体" w:hint="eastAsia"/>
          <w:b/>
          <w:bCs/>
          <w:sz w:val="32"/>
          <w:szCs w:val="32"/>
        </w:rPr>
        <w:t>二</w:t>
      </w:r>
      <w:r>
        <w:rPr>
          <w:rFonts w:ascii="楷体" w:eastAsia="楷体" w:hAnsi="楷体"/>
          <w:b/>
          <w:bCs/>
          <w:sz w:val="32"/>
          <w:szCs w:val="32"/>
        </w:rPr>
        <w:t>）</w:t>
      </w:r>
      <w:r w:rsidR="0072215A">
        <w:rPr>
          <w:rFonts w:ascii="楷体" w:eastAsia="楷体" w:hAnsi="楷体"/>
          <w:b/>
          <w:bCs/>
          <w:sz w:val="32"/>
          <w:szCs w:val="32"/>
        </w:rPr>
        <w:t>部门整体绩效目标设立情况</w:t>
      </w:r>
    </w:p>
    <w:p w:rsidR="00EB2C15" w:rsidRDefault="0072215A" w:rsidP="00786B02">
      <w:pPr>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1.满意度指标-服务对象满意度指标</w:t>
      </w:r>
    </w:p>
    <w:p w:rsidR="005B3C5C" w:rsidRPr="005B3C5C" w:rsidRDefault="005B3C5C" w:rsidP="00786B02">
      <w:pPr>
        <w:spacing w:line="560" w:lineRule="exact"/>
        <w:ind w:firstLineChars="200" w:firstLine="640"/>
        <w:rPr>
          <w:rFonts w:ascii="仿宋_GB2312" w:eastAsia="仿宋_GB2312"/>
          <w:sz w:val="32"/>
          <w:szCs w:val="32"/>
        </w:rPr>
      </w:pPr>
      <w:r w:rsidRPr="005B3C5C">
        <w:rPr>
          <w:rFonts w:ascii="仿宋_GB2312" w:eastAsia="仿宋_GB2312" w:hint="eastAsia"/>
          <w:sz w:val="32"/>
          <w:szCs w:val="32"/>
        </w:rPr>
        <w:t>坚持以人民为中心，增强人民群众司法获得感和满意度</w:t>
      </w:r>
      <w:r w:rsidR="00F635A1">
        <w:rPr>
          <w:rFonts w:ascii="仿宋_GB2312" w:eastAsia="仿宋_GB2312" w:hint="eastAsia"/>
          <w:sz w:val="32"/>
          <w:szCs w:val="32"/>
        </w:rPr>
        <w:t>，</w:t>
      </w:r>
    </w:p>
    <w:p w:rsidR="005B3C5C" w:rsidRPr="005B3C5C" w:rsidRDefault="005B3C5C" w:rsidP="00786B02">
      <w:pPr>
        <w:spacing w:line="560" w:lineRule="exact"/>
        <w:ind w:firstLine="200"/>
        <w:rPr>
          <w:rFonts w:ascii="仿宋_GB2312" w:eastAsia="仿宋_GB2312"/>
          <w:sz w:val="32"/>
          <w:szCs w:val="32"/>
        </w:rPr>
      </w:pPr>
      <w:r w:rsidRPr="005B3C5C">
        <w:rPr>
          <w:rFonts w:ascii="仿宋_GB2312" w:eastAsia="仿宋_GB2312"/>
          <w:sz w:val="32"/>
          <w:szCs w:val="32"/>
        </w:rPr>
        <w:t>回应群众美好生活新期待</w:t>
      </w:r>
      <w:r w:rsidR="00F635A1">
        <w:rPr>
          <w:rFonts w:ascii="仿宋_GB2312" w:eastAsia="仿宋_GB2312" w:hint="eastAsia"/>
          <w:sz w:val="32"/>
          <w:szCs w:val="32"/>
        </w:rPr>
        <w:t>。</w:t>
      </w:r>
      <w:r w:rsidRPr="005B3C5C">
        <w:rPr>
          <w:rFonts w:ascii="仿宋_GB2312" w:eastAsia="仿宋_GB2312" w:hint="eastAsia"/>
          <w:sz w:val="32"/>
          <w:szCs w:val="32"/>
        </w:rPr>
        <w:t>守护和谐家庭，联合属地单位保障申请人生活安宁、人身安全；维护家庭稳定，对违背公序良俗的行为亮明态度，以司法引导社会文明新风尚。构建宜居社区，通过示范判决以判促调；妥善化解劳动争议，完善“三维联动”实质解纷工作法，寻求劳动者权益保护和企业良性发展的最佳平衡点。发布审判白皮书及典型案例，强化新业态劳动者、高校毕业生等就业群体的权益保障。呵护未成年人成长，深化“防护型”少年审判海淀模式。</w:t>
      </w:r>
    </w:p>
    <w:p w:rsidR="00EB2C15" w:rsidRDefault="0072215A" w:rsidP="00786B02">
      <w:pPr>
        <w:overflowPunct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2.效益指标-社会效益指标</w:t>
      </w:r>
    </w:p>
    <w:p w:rsidR="00F635A1" w:rsidRPr="00F635A1" w:rsidRDefault="00F635A1" w:rsidP="00786B02">
      <w:pPr>
        <w:spacing w:line="560" w:lineRule="exact"/>
        <w:ind w:firstLineChars="200" w:firstLine="640"/>
        <w:rPr>
          <w:rFonts w:ascii="仿宋_GB2312" w:eastAsia="仿宋_GB2312"/>
          <w:sz w:val="32"/>
          <w:szCs w:val="32"/>
        </w:rPr>
      </w:pPr>
      <w:r w:rsidRPr="00F635A1">
        <w:rPr>
          <w:rFonts w:ascii="仿宋_GB2312" w:eastAsia="仿宋_GB2312"/>
          <w:sz w:val="32"/>
          <w:szCs w:val="32"/>
        </w:rPr>
        <w:t>优化诉讼服务体系。</w:t>
      </w:r>
      <w:r w:rsidRPr="00F635A1">
        <w:rPr>
          <w:rFonts w:ascii="仿宋_GB2312" w:eastAsia="仿宋_GB2312" w:hint="eastAsia"/>
          <w:sz w:val="32"/>
          <w:szCs w:val="32"/>
        </w:rPr>
        <w:t>提升“一次办好”效果，完善诉调对接中心建设。</w:t>
      </w:r>
      <w:r w:rsidRPr="00F635A1">
        <w:rPr>
          <w:rFonts w:ascii="仿宋_GB2312" w:eastAsia="仿宋_GB2312"/>
          <w:sz w:val="32"/>
          <w:szCs w:val="32"/>
        </w:rPr>
        <w:t>推进</w:t>
      </w:r>
      <w:r w:rsidRPr="00F635A1">
        <w:rPr>
          <w:rFonts w:ascii="仿宋_GB2312" w:eastAsia="仿宋_GB2312"/>
          <w:sz w:val="32"/>
          <w:szCs w:val="32"/>
        </w:rPr>
        <w:t>“</w:t>
      </w:r>
      <w:r w:rsidRPr="00F635A1">
        <w:rPr>
          <w:rFonts w:ascii="仿宋_GB2312" w:eastAsia="仿宋_GB2312"/>
          <w:sz w:val="32"/>
          <w:szCs w:val="32"/>
        </w:rPr>
        <w:t>枫桥式人民法庭</w:t>
      </w:r>
      <w:r w:rsidRPr="00F635A1">
        <w:rPr>
          <w:rFonts w:ascii="仿宋_GB2312" w:eastAsia="仿宋_GB2312"/>
          <w:sz w:val="32"/>
          <w:szCs w:val="32"/>
        </w:rPr>
        <w:t>”</w:t>
      </w:r>
      <w:r w:rsidRPr="00F635A1">
        <w:rPr>
          <w:rFonts w:ascii="仿宋_GB2312" w:eastAsia="仿宋_GB2312"/>
          <w:sz w:val="32"/>
          <w:szCs w:val="32"/>
        </w:rPr>
        <w:t>建设。</w:t>
      </w:r>
      <w:r w:rsidRPr="00F635A1">
        <w:rPr>
          <w:rFonts w:ascii="仿宋_GB2312" w:eastAsia="仿宋_GB2312" w:hint="eastAsia"/>
          <w:sz w:val="32"/>
          <w:szCs w:val="32"/>
        </w:rPr>
        <w:t>探索特色发展模式，以落实区委专题会精神为契机，加快推进人民法庭建</w:t>
      </w:r>
      <w:r w:rsidRPr="00F635A1">
        <w:rPr>
          <w:rFonts w:ascii="仿宋_GB2312" w:eastAsia="仿宋_GB2312" w:hint="eastAsia"/>
          <w:sz w:val="32"/>
          <w:szCs w:val="32"/>
        </w:rPr>
        <w:lastRenderedPageBreak/>
        <w:t>设，持续打造商事、少年审判专业化法庭，推动法庭功能向“综合性和专业性相结合”转变。</w:t>
      </w:r>
    </w:p>
    <w:p w:rsidR="00F635A1" w:rsidRPr="00F635A1" w:rsidRDefault="00F635A1" w:rsidP="00786B02">
      <w:pPr>
        <w:spacing w:line="560" w:lineRule="exact"/>
        <w:ind w:firstLineChars="200" w:firstLine="640"/>
        <w:rPr>
          <w:rFonts w:ascii="仿宋_GB2312" w:eastAsia="仿宋_GB2312"/>
          <w:sz w:val="32"/>
          <w:szCs w:val="32"/>
        </w:rPr>
      </w:pPr>
      <w:r w:rsidRPr="00F635A1">
        <w:rPr>
          <w:rFonts w:ascii="仿宋_GB2312" w:eastAsia="仿宋_GB2312"/>
          <w:sz w:val="32"/>
          <w:szCs w:val="32"/>
        </w:rPr>
        <w:t>持续传播普法</w:t>
      </w:r>
      <w:r w:rsidRPr="00F635A1">
        <w:rPr>
          <w:rFonts w:ascii="仿宋_GB2312" w:eastAsia="仿宋_GB2312"/>
          <w:sz w:val="32"/>
          <w:szCs w:val="32"/>
        </w:rPr>
        <w:t>“</w:t>
      </w:r>
      <w:r w:rsidRPr="00F635A1">
        <w:rPr>
          <w:rFonts w:ascii="仿宋_GB2312" w:eastAsia="仿宋_GB2312"/>
          <w:sz w:val="32"/>
          <w:szCs w:val="32"/>
        </w:rPr>
        <w:t>好声音</w:t>
      </w:r>
      <w:r w:rsidRPr="00F635A1">
        <w:rPr>
          <w:rFonts w:ascii="仿宋_GB2312" w:eastAsia="仿宋_GB2312"/>
          <w:sz w:val="32"/>
          <w:szCs w:val="32"/>
        </w:rPr>
        <w:t>”</w:t>
      </w:r>
      <w:r w:rsidRPr="00F635A1">
        <w:rPr>
          <w:rFonts w:ascii="仿宋_GB2312" w:eastAsia="仿宋_GB2312"/>
          <w:sz w:val="32"/>
          <w:szCs w:val="32"/>
        </w:rPr>
        <w:t>。</w:t>
      </w:r>
      <w:r w:rsidRPr="00F635A1">
        <w:rPr>
          <w:rFonts w:ascii="仿宋_GB2312" w:eastAsia="仿宋_GB2312" w:hint="eastAsia"/>
          <w:sz w:val="32"/>
          <w:szCs w:val="32"/>
        </w:rPr>
        <w:t>做精特色普法品牌，实现</w:t>
      </w:r>
      <w:r w:rsidR="00754125">
        <w:rPr>
          <w:rFonts w:ascii="仿宋_GB2312" w:eastAsia="仿宋_GB2312" w:hint="eastAsia"/>
          <w:sz w:val="32"/>
          <w:szCs w:val="32"/>
        </w:rPr>
        <w:t>“普法驿站”街镇全覆盖</w:t>
      </w:r>
      <w:r w:rsidRPr="00F635A1">
        <w:rPr>
          <w:rFonts w:ascii="仿宋_GB2312" w:eastAsia="仿宋_GB2312" w:hint="eastAsia"/>
          <w:sz w:val="32"/>
          <w:szCs w:val="32"/>
        </w:rPr>
        <w:t>。深耕未成年人法治教育，依托“院、家、校”联动机制，推动法治教育融入学校和家庭。</w:t>
      </w:r>
    </w:p>
    <w:p w:rsidR="00EB2C15" w:rsidRDefault="0072215A" w:rsidP="00786B02">
      <w:pPr>
        <w:snapToGrid w:val="0"/>
        <w:spacing w:line="560" w:lineRule="exact"/>
        <w:ind w:leftChars="50" w:left="105"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二、当年预算执行情况</w:t>
      </w:r>
    </w:p>
    <w:p w:rsidR="00EB2C15" w:rsidRDefault="0072215A" w:rsidP="00786B02">
      <w:pPr>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rPr>
        <w:t>2024年全年预算数</w:t>
      </w:r>
      <w:r w:rsidR="00786B02">
        <w:rPr>
          <w:rFonts w:ascii="仿宋_GB2312" w:eastAsia="仿宋_GB2312" w:hint="eastAsia"/>
          <w:sz w:val="32"/>
          <w:szCs w:val="32"/>
        </w:rPr>
        <w:t>44</w:t>
      </w:r>
      <w:r>
        <w:rPr>
          <w:rFonts w:ascii="仿宋_GB2312" w:eastAsia="仿宋_GB2312" w:hint="eastAsia"/>
          <w:sz w:val="32"/>
          <w:szCs w:val="32"/>
        </w:rPr>
        <w:t>227.76万元，其中，</w:t>
      </w:r>
      <w:r>
        <w:rPr>
          <w:rFonts w:ascii="仿宋_GB2312" w:eastAsia="仿宋_GB2312" w:hAnsi="宋体" w:cs="宋体" w:hint="eastAsia"/>
          <w:color w:val="000000"/>
          <w:kern w:val="0"/>
          <w:sz w:val="32"/>
          <w:szCs w:val="32"/>
        </w:rPr>
        <w:t>基本支出预算数</w:t>
      </w:r>
      <w:r w:rsidR="00786B02">
        <w:rPr>
          <w:rFonts w:ascii="仿宋_GB2312" w:eastAsia="仿宋_GB2312" w:hAnsi="宋体" w:cs="宋体" w:hint="eastAsia"/>
          <w:color w:val="000000"/>
          <w:kern w:val="0"/>
          <w:sz w:val="32"/>
          <w:szCs w:val="32"/>
        </w:rPr>
        <w:t>33</w:t>
      </w:r>
      <w:r>
        <w:rPr>
          <w:rFonts w:ascii="仿宋_GB2312" w:eastAsia="仿宋_GB2312" w:hAnsi="宋体" w:cs="宋体" w:hint="eastAsia"/>
          <w:color w:val="000000"/>
          <w:kern w:val="0"/>
          <w:sz w:val="32"/>
          <w:szCs w:val="32"/>
        </w:rPr>
        <w:t>670.14万元，项目支出预算数</w:t>
      </w:r>
      <w:r w:rsidR="00786B02">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557.62万元。</w:t>
      </w:r>
    </w:p>
    <w:p w:rsidR="00EB2C15" w:rsidRDefault="0072215A" w:rsidP="00786B02">
      <w:pPr>
        <w:snapToGrid w:val="0"/>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资金总体支出</w:t>
      </w:r>
      <w:r w:rsidR="00786B02">
        <w:rPr>
          <w:rFonts w:ascii="仿宋_GB2312" w:eastAsia="仿宋_GB2312" w:hAnsi="宋体" w:cs="宋体" w:hint="eastAsia"/>
          <w:color w:val="000000"/>
          <w:kern w:val="0"/>
          <w:sz w:val="32"/>
          <w:szCs w:val="32"/>
        </w:rPr>
        <w:t>43</w:t>
      </w:r>
      <w:r>
        <w:rPr>
          <w:rFonts w:ascii="仿宋_GB2312" w:eastAsia="仿宋_GB2312" w:hAnsi="宋体" w:cs="宋体" w:hint="eastAsia"/>
          <w:color w:val="000000"/>
          <w:kern w:val="0"/>
          <w:sz w:val="32"/>
          <w:szCs w:val="32"/>
        </w:rPr>
        <w:t>376.47万元，其中，基本支出</w:t>
      </w:r>
      <w:r w:rsidR="00786B02">
        <w:rPr>
          <w:rFonts w:ascii="仿宋_GB2312" w:eastAsia="仿宋_GB2312" w:hAnsi="宋体" w:cs="宋体" w:hint="eastAsia"/>
          <w:color w:val="000000"/>
          <w:kern w:val="0"/>
          <w:sz w:val="32"/>
          <w:szCs w:val="32"/>
        </w:rPr>
        <w:t>33</w:t>
      </w:r>
      <w:r>
        <w:rPr>
          <w:rFonts w:ascii="仿宋_GB2312" w:eastAsia="仿宋_GB2312" w:hAnsi="宋体" w:cs="宋体" w:hint="eastAsia"/>
          <w:color w:val="000000"/>
          <w:kern w:val="0"/>
          <w:sz w:val="32"/>
          <w:szCs w:val="32"/>
        </w:rPr>
        <w:t>311.44万元，项目支出</w:t>
      </w:r>
      <w:r w:rsidR="00786B02">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065.03万元。预算执行率为98.08%。</w:t>
      </w:r>
    </w:p>
    <w:p w:rsidR="00EB2C15" w:rsidRDefault="0072215A" w:rsidP="00786B02">
      <w:pPr>
        <w:snapToGrid w:val="0"/>
        <w:spacing w:line="560" w:lineRule="exact"/>
        <w:ind w:leftChars="50" w:left="105"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三、整体绩效目标实现情况</w:t>
      </w:r>
    </w:p>
    <w:p w:rsidR="00EB2C15" w:rsidRDefault="0072215A" w:rsidP="00786B02">
      <w:pPr>
        <w:snapToGrid w:val="0"/>
        <w:spacing w:line="560" w:lineRule="exact"/>
        <w:ind w:leftChars="50" w:left="105" w:firstLineChars="200" w:firstLine="643"/>
        <w:rPr>
          <w:rFonts w:ascii="楷体" w:eastAsia="楷体" w:hAnsi="楷体"/>
          <w:b/>
          <w:bCs/>
          <w:sz w:val="32"/>
          <w:szCs w:val="32"/>
        </w:rPr>
      </w:pPr>
      <w:r>
        <w:rPr>
          <w:rFonts w:ascii="楷体" w:eastAsia="楷体" w:hAnsi="楷体"/>
          <w:b/>
          <w:bCs/>
          <w:sz w:val="32"/>
          <w:szCs w:val="32"/>
        </w:rPr>
        <w:t>（一）产出完成情况分析</w:t>
      </w:r>
    </w:p>
    <w:p w:rsidR="00EB2C15" w:rsidRDefault="0072215A" w:rsidP="00786B02">
      <w:pPr>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1.产出数量</w:t>
      </w:r>
    </w:p>
    <w:p w:rsidR="00EB2C15" w:rsidRDefault="0072215A" w:rsidP="00786B02">
      <w:pPr>
        <w:pStyle w:val="ab"/>
        <w:spacing w:line="560" w:lineRule="exact"/>
        <w:ind w:firstLineChars="200" w:firstLine="640"/>
        <w:rPr>
          <w:rFonts w:ascii="仿宋_GB2312" w:eastAsia="仿宋_GB2312"/>
          <w:kern w:val="2"/>
        </w:rPr>
      </w:pPr>
      <w:r>
        <w:rPr>
          <w:rFonts w:ascii="仿宋_GB2312" w:eastAsia="仿宋_GB2312" w:hint="eastAsia"/>
          <w:kern w:val="2"/>
        </w:rPr>
        <w:t>数量指标共两项，全部完成，其中：全年结案量年度指标值100319件，实际完成值106922</w:t>
      </w:r>
      <w:r w:rsidR="00AD47A5">
        <w:rPr>
          <w:rFonts w:ascii="仿宋_GB2312" w:eastAsia="仿宋_GB2312" w:hint="eastAsia"/>
          <w:kern w:val="2"/>
        </w:rPr>
        <w:t>件</w:t>
      </w:r>
      <w:r>
        <w:rPr>
          <w:rFonts w:ascii="仿宋_GB2312" w:eastAsia="仿宋_GB2312" w:hint="eastAsia"/>
          <w:kern w:val="2"/>
        </w:rPr>
        <w:t>；员额法官人均办案工作量年度指标值443.89件，实际完成值473.1件。</w:t>
      </w:r>
    </w:p>
    <w:p w:rsidR="00EB2C15" w:rsidRDefault="0072215A" w:rsidP="00786B02">
      <w:pPr>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2.产出质量</w:t>
      </w:r>
    </w:p>
    <w:p w:rsidR="00EB2C15" w:rsidRPr="00561D1A" w:rsidRDefault="0072215A" w:rsidP="00786B02">
      <w:pPr>
        <w:spacing w:line="560" w:lineRule="exact"/>
        <w:ind w:firstLineChars="200" w:firstLine="640"/>
        <w:rPr>
          <w:rFonts w:ascii="仿宋_GB2312" w:eastAsia="仿宋_GB2312"/>
          <w:sz w:val="32"/>
          <w:szCs w:val="32"/>
        </w:rPr>
      </w:pPr>
      <w:r w:rsidRPr="00561D1A">
        <w:rPr>
          <w:rFonts w:ascii="仿宋_GB2312" w:eastAsia="仿宋_GB2312" w:hint="eastAsia"/>
          <w:sz w:val="32"/>
          <w:szCs w:val="32"/>
        </w:rPr>
        <w:t>质量指标共一项，全部完成，</w:t>
      </w:r>
      <w:r w:rsidR="00561D1A" w:rsidRPr="00561D1A">
        <w:rPr>
          <w:rFonts w:ascii="仿宋_GB2312" w:eastAsia="仿宋_GB2312"/>
          <w:sz w:val="32"/>
          <w:szCs w:val="32"/>
        </w:rPr>
        <w:t>全院案件比</w:t>
      </w:r>
      <w:r w:rsidRPr="00561D1A">
        <w:rPr>
          <w:rFonts w:ascii="仿宋_GB2312" w:eastAsia="仿宋_GB2312" w:hint="eastAsia"/>
          <w:sz w:val="32"/>
          <w:szCs w:val="32"/>
        </w:rPr>
        <w:t>年度指标值1：1.54，年度完成值1:1.41</w:t>
      </w:r>
      <w:r w:rsidR="00561D1A">
        <w:rPr>
          <w:rFonts w:ascii="仿宋_GB2312" w:eastAsia="仿宋_GB2312" w:hint="eastAsia"/>
          <w:sz w:val="32"/>
          <w:szCs w:val="32"/>
        </w:rPr>
        <w:t>,</w:t>
      </w:r>
      <w:r w:rsidR="00561D1A" w:rsidRPr="00561D1A">
        <w:rPr>
          <w:rFonts w:ascii="仿宋_GB2312" w:eastAsia="仿宋_GB2312"/>
          <w:sz w:val="32"/>
          <w:szCs w:val="32"/>
        </w:rPr>
        <w:t>同比降低0.32</w:t>
      </w:r>
      <w:r w:rsidR="00561D1A">
        <w:rPr>
          <w:rFonts w:ascii="仿宋_GB2312" w:eastAsia="仿宋_GB2312" w:hint="eastAsia"/>
          <w:sz w:val="32"/>
          <w:szCs w:val="32"/>
        </w:rPr>
        <w:t>,</w:t>
      </w:r>
      <w:r w:rsidR="00561D1A" w:rsidRPr="00561D1A">
        <w:rPr>
          <w:rFonts w:ascii="仿宋_GB2312" w:eastAsia="仿宋_GB2312"/>
          <w:sz w:val="32"/>
          <w:szCs w:val="32"/>
        </w:rPr>
        <w:t>全市法院排名第 4 位。</w:t>
      </w:r>
    </w:p>
    <w:p w:rsidR="00EB2C15" w:rsidRDefault="0072215A" w:rsidP="00786B02">
      <w:pPr>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3.产出进度</w:t>
      </w:r>
    </w:p>
    <w:p w:rsidR="00EB2C15" w:rsidRPr="0030088D" w:rsidRDefault="0072215A" w:rsidP="00786B02">
      <w:pPr>
        <w:pStyle w:val="ab"/>
        <w:spacing w:line="560" w:lineRule="exact"/>
        <w:ind w:firstLineChars="200" w:firstLine="640"/>
        <w:rPr>
          <w:rFonts w:ascii="仿宋_GB2312" w:eastAsia="仿宋_GB2312"/>
          <w:kern w:val="2"/>
        </w:rPr>
      </w:pPr>
      <w:r>
        <w:rPr>
          <w:rFonts w:ascii="仿宋_GB2312" w:eastAsia="仿宋_GB2312" w:hint="eastAsia"/>
          <w:kern w:val="2"/>
        </w:rPr>
        <w:t>时效指标共两项，全部完成，电子送达覆盖率年度指标值65%，年度完成值70.10%，完成情况良好；</w:t>
      </w:r>
      <w:r w:rsidRPr="0030088D">
        <w:rPr>
          <w:rFonts w:ascii="仿宋_GB2312" w:eastAsia="仿宋_GB2312" w:hint="eastAsia"/>
          <w:kern w:val="2"/>
        </w:rPr>
        <w:t>平均结案时间年度指标值123.97，年度完成值123.6。</w:t>
      </w:r>
      <w:bookmarkStart w:id="0" w:name="_GoBack"/>
      <w:bookmarkEnd w:id="0"/>
    </w:p>
    <w:p w:rsidR="00EB2C15" w:rsidRDefault="0072215A" w:rsidP="00786B02">
      <w:pPr>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lastRenderedPageBreak/>
        <w:t xml:space="preserve">4.产出成本                                     </w:t>
      </w:r>
    </w:p>
    <w:p w:rsidR="00EB2C15" w:rsidRDefault="0072215A" w:rsidP="00786B02">
      <w:pPr>
        <w:pStyle w:val="ab"/>
        <w:spacing w:line="560" w:lineRule="exact"/>
        <w:ind w:firstLineChars="200" w:firstLine="640"/>
        <w:rPr>
          <w:rFonts w:ascii="楷体_GB2312"/>
        </w:rPr>
      </w:pPr>
      <w:r>
        <w:rPr>
          <w:rFonts w:ascii="仿宋_GB2312" w:eastAsia="仿宋_GB2312" w:hint="eastAsia"/>
          <w:kern w:val="2"/>
        </w:rPr>
        <w:t>成本指标共一项，全部完成，</w:t>
      </w:r>
      <w:r w:rsidRPr="0030088D">
        <w:rPr>
          <w:rFonts w:ascii="仿宋_GB2312" w:eastAsia="仿宋_GB2312" w:hint="eastAsia"/>
          <w:kern w:val="2"/>
        </w:rPr>
        <w:t>预算内额度年度指标值</w:t>
      </w:r>
      <w:r w:rsidR="00786B02">
        <w:rPr>
          <w:rFonts w:ascii="仿宋_GB2312" w:eastAsia="仿宋_GB2312" w:hint="eastAsia"/>
        </w:rPr>
        <w:t>44</w:t>
      </w:r>
      <w:r w:rsidR="00D24189">
        <w:rPr>
          <w:rFonts w:ascii="仿宋_GB2312" w:eastAsia="仿宋_GB2312" w:hint="eastAsia"/>
        </w:rPr>
        <w:t>227.76</w:t>
      </w:r>
      <w:r w:rsidRPr="0030088D">
        <w:rPr>
          <w:rFonts w:ascii="仿宋_GB2312" w:eastAsia="仿宋_GB2312" w:hint="eastAsia"/>
          <w:kern w:val="2"/>
        </w:rPr>
        <w:t>万元，年度完成值</w:t>
      </w:r>
      <w:r w:rsidR="00786B02">
        <w:rPr>
          <w:rFonts w:ascii="仿宋_GB2312" w:eastAsia="仿宋_GB2312" w:hAnsi="宋体" w:cs="宋体" w:hint="eastAsia"/>
          <w:color w:val="000000"/>
        </w:rPr>
        <w:t>43</w:t>
      </w:r>
      <w:r w:rsidR="00D24189">
        <w:rPr>
          <w:rFonts w:ascii="仿宋_GB2312" w:eastAsia="仿宋_GB2312" w:hAnsi="宋体" w:cs="宋体" w:hint="eastAsia"/>
          <w:color w:val="000000"/>
        </w:rPr>
        <w:t>376.47</w:t>
      </w:r>
      <w:r w:rsidRPr="0030088D">
        <w:rPr>
          <w:rFonts w:ascii="仿宋_GB2312" w:eastAsia="仿宋_GB2312" w:hint="eastAsia"/>
          <w:kern w:val="2"/>
        </w:rPr>
        <w:t>万元</w:t>
      </w:r>
      <w:r>
        <w:rPr>
          <w:rFonts w:ascii="仿宋_GB2312" w:eastAsia="仿宋_GB2312" w:hint="eastAsia"/>
          <w:kern w:val="2"/>
        </w:rPr>
        <w:t>，预算执行率</w:t>
      </w:r>
      <w:r w:rsidR="00D24189">
        <w:rPr>
          <w:rFonts w:ascii="仿宋_GB2312" w:eastAsia="仿宋_GB2312" w:hAnsi="宋体" w:cs="宋体" w:hint="eastAsia"/>
          <w:color w:val="000000"/>
        </w:rPr>
        <w:t>98.08%</w:t>
      </w:r>
      <w:r>
        <w:rPr>
          <w:rFonts w:ascii="仿宋_GB2312" w:eastAsia="仿宋_GB2312" w:hint="eastAsia"/>
          <w:kern w:val="2"/>
        </w:rPr>
        <w:t>。</w:t>
      </w:r>
    </w:p>
    <w:p w:rsidR="00EB2C15" w:rsidRDefault="0072215A" w:rsidP="00786B02">
      <w:pPr>
        <w:snapToGrid w:val="0"/>
        <w:spacing w:line="560" w:lineRule="exact"/>
        <w:ind w:leftChars="50" w:left="105" w:firstLineChars="200" w:firstLine="643"/>
        <w:rPr>
          <w:rFonts w:ascii="楷体" w:eastAsia="楷体" w:hAnsi="楷体"/>
          <w:b/>
          <w:bCs/>
          <w:sz w:val="32"/>
          <w:szCs w:val="32"/>
        </w:rPr>
      </w:pPr>
      <w:r>
        <w:rPr>
          <w:rFonts w:ascii="楷体" w:eastAsia="楷体" w:hAnsi="楷体"/>
          <w:b/>
          <w:bCs/>
          <w:sz w:val="32"/>
          <w:szCs w:val="32"/>
        </w:rPr>
        <w:t>（二）效果实现情况分析</w:t>
      </w:r>
    </w:p>
    <w:p w:rsidR="00EB2C15" w:rsidRDefault="0072215A" w:rsidP="00786B02">
      <w:pPr>
        <w:snapToGrid w:val="0"/>
        <w:spacing w:line="560" w:lineRule="exact"/>
        <w:ind w:leftChars="50" w:left="105"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1.经济效益</w:t>
      </w:r>
    </w:p>
    <w:p w:rsidR="00EB2C15" w:rsidRPr="00E16767" w:rsidRDefault="0072215A" w:rsidP="00786B02">
      <w:pPr>
        <w:widowControl/>
        <w:spacing w:line="560" w:lineRule="exact"/>
        <w:ind w:firstLineChars="200" w:firstLine="640"/>
        <w:rPr>
          <w:rFonts w:ascii="仿宋_GB2312" w:eastAsia="仿宋_GB2312" w:hAnsi="宋体" w:cs="宋体"/>
          <w:color w:val="000000"/>
          <w:kern w:val="0"/>
          <w:sz w:val="32"/>
          <w:szCs w:val="32"/>
        </w:rPr>
      </w:pPr>
      <w:r w:rsidRPr="00E16767">
        <w:rPr>
          <w:rFonts w:ascii="仿宋_GB2312" w:eastAsia="仿宋_GB2312" w:hAnsi="宋体" w:cs="宋体" w:hint="eastAsia"/>
          <w:color w:val="000000"/>
          <w:kern w:val="0"/>
          <w:sz w:val="32"/>
          <w:szCs w:val="32"/>
        </w:rPr>
        <w:t>经济效益指标共一项，全部完成，2024年度海淀法院</w:t>
      </w:r>
      <w:r w:rsidR="00E16767" w:rsidRPr="00E16767">
        <w:rPr>
          <w:rFonts w:ascii="仿宋_GB2312" w:eastAsia="仿宋_GB2312" w:hAnsi="宋体" w:cs="宋体"/>
          <w:color w:val="000000"/>
          <w:kern w:val="0"/>
          <w:sz w:val="32"/>
          <w:szCs w:val="32"/>
        </w:rPr>
        <w:t>服务国家知识产权保护示范区建设。</w:t>
      </w:r>
      <w:r w:rsidR="00E16767" w:rsidRPr="00E16767">
        <w:rPr>
          <w:rFonts w:ascii="仿宋_GB2312" w:eastAsia="仿宋_GB2312" w:hAnsi="宋体" w:cs="宋体" w:hint="eastAsia"/>
          <w:color w:val="000000"/>
          <w:kern w:val="0"/>
          <w:sz w:val="32"/>
          <w:szCs w:val="32"/>
        </w:rPr>
        <w:t>深化知产审判高地建设，依法审理新类型案件，提升裁判示范性，涉“聚星无人直播系统”不正当竞争纠纷等2案入选2024年度中国新文娱十大影响力案例，故宫建筑全景图著作权纠纷案入选北京法院涉中华优秀传统文化知识产权保护典型案例。加强知识产权全链条保护，发布涉数字经济知产审判白皮书及典型案例，出台《服务保障海淀区新质生产力发展实施细则》及4个配套文件，助力辖区科技创新、产业升级。在中关村知识产权保护中心挂牌“法护数智”法官工作站，前往北京市知产保护中心等地开展巡回审判，回应企业法律需求。</w:t>
      </w:r>
    </w:p>
    <w:p w:rsidR="00EB2C15" w:rsidRDefault="0072215A" w:rsidP="00786B02">
      <w:pPr>
        <w:snapToGrid w:val="0"/>
        <w:spacing w:line="560" w:lineRule="exact"/>
        <w:ind w:leftChars="50" w:left="105"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2.社会效益</w:t>
      </w:r>
    </w:p>
    <w:p w:rsidR="00EB2C15" w:rsidRDefault="0072215A" w:rsidP="00786B02">
      <w:pPr>
        <w:spacing w:line="560" w:lineRule="exact"/>
        <w:ind w:firstLineChars="200" w:firstLine="640"/>
        <w:rPr>
          <w:rFonts w:ascii="仿宋_GB2312" w:eastAsia="仿宋_GB2312"/>
          <w:sz w:val="32"/>
          <w:szCs w:val="32"/>
        </w:rPr>
      </w:pPr>
      <w:r>
        <w:rPr>
          <w:rFonts w:ascii="仿宋_GB2312" w:eastAsia="仿宋_GB2312" w:hint="eastAsia"/>
          <w:sz w:val="32"/>
          <w:szCs w:val="32"/>
        </w:rPr>
        <w:t>社会效益指标共三项，全部完成，解决执行难（执结案件数）年度指标值26386件，全年完成值27025件；涉及营商环境（结案情况）年度指标值15577件，全年完成值23222件；首都治安（结案情况）年度指标值2048件，全年完成值2695件。</w:t>
      </w:r>
    </w:p>
    <w:p w:rsidR="004A2F0C" w:rsidRDefault="00355BCF" w:rsidP="00786B02">
      <w:pPr>
        <w:spacing w:line="560" w:lineRule="exact"/>
        <w:ind w:firstLineChars="200" w:firstLine="640"/>
        <w:rPr>
          <w:rFonts w:ascii="仿宋_GB2312" w:eastAsia="仿宋_GB2312"/>
          <w:sz w:val="32"/>
          <w:szCs w:val="32"/>
        </w:rPr>
      </w:pPr>
      <w:r w:rsidRPr="00355BCF">
        <w:rPr>
          <w:rFonts w:ascii="仿宋_GB2312" w:eastAsia="仿宋_GB2312"/>
          <w:sz w:val="32"/>
          <w:szCs w:val="32"/>
        </w:rPr>
        <w:t>着力优化法治营商环境。</w:t>
      </w:r>
      <w:r w:rsidRPr="00355BCF">
        <w:rPr>
          <w:rFonts w:ascii="仿宋_GB2312" w:eastAsia="仿宋_GB2312" w:hint="eastAsia"/>
          <w:sz w:val="32"/>
          <w:szCs w:val="32"/>
        </w:rPr>
        <w:t>跑出商事审判“加速度”，全</w:t>
      </w:r>
      <w:r w:rsidRPr="00355BCF">
        <w:rPr>
          <w:rFonts w:ascii="仿宋_GB2312" w:eastAsia="仿宋_GB2312" w:hint="eastAsia"/>
          <w:sz w:val="32"/>
          <w:szCs w:val="32"/>
        </w:rPr>
        <w:lastRenderedPageBreak/>
        <w:t>力缩短诉讼周期，速裁团队适用小额诉讼程序审结商事案件2046件，适用率32.85%，同比上升18个百分点；深化“鉴定管理人”机制，探索以专家咨询方式快速解决专业技术问题；协调相关银行开设司法查询集中受理点，提升调查取证效率；深化上诉移送管理系统运用，上诉案件移转平均用时缩短至26天。增强护航民营经济精准度，审结公司类案件1424件，发布涉公司治理纠纷典型案例，结合新《公司法》实施，引导企业规范内部治理。用好“民营企业产权保护法律服务工作站”，全面深化与工商联合作，就共享充电宝相关纠纷发送综合治理类司法建议，避免同类纠纷频发。</w:t>
      </w:r>
    </w:p>
    <w:p w:rsidR="00355BCF" w:rsidRPr="00355BCF" w:rsidRDefault="00355BCF" w:rsidP="00786B02">
      <w:pPr>
        <w:spacing w:line="560" w:lineRule="exact"/>
        <w:ind w:firstLineChars="200" w:firstLine="640"/>
        <w:rPr>
          <w:rFonts w:ascii="仿宋_GB2312" w:eastAsia="仿宋_GB2312"/>
          <w:sz w:val="32"/>
          <w:szCs w:val="32"/>
        </w:rPr>
      </w:pPr>
      <w:r w:rsidRPr="00355BCF">
        <w:rPr>
          <w:rFonts w:ascii="仿宋_GB2312" w:eastAsia="仿宋_GB2312" w:hint="eastAsia"/>
          <w:sz w:val="32"/>
          <w:szCs w:val="32"/>
        </w:rPr>
        <w:t>坚持判后回访，发放《法律风险与需求调查问卷》，精准回应企业法律需求。加大促推产业集群发展力度，依托“中关村人民法庭巡回审判工作站”开展巡回审判，稳步推进“海法号”金融源头解纷直通车活动，协同防范涉诉风险。在涉小微企业金融借款案件中，努力促成调解、达成最优还款方案，释放金融服务实体经济效能。提升助企纾困司法温度，引导企业退出失信名单4273</w:t>
      </w:r>
      <w:r>
        <w:rPr>
          <w:rFonts w:ascii="仿宋_GB2312" w:eastAsia="仿宋_GB2312" w:hAnsi="仿宋" w:cs="仿宋" w:hint="eastAsia"/>
          <w:color w:val="000000"/>
          <w:sz w:val="32"/>
          <w:szCs w:val="32"/>
        </w:rPr>
        <w:t>次，助力“减负增信”，我院在全市社会信用体系建设联席会上做经验交流。</w:t>
      </w:r>
    </w:p>
    <w:p w:rsidR="00EB2C15" w:rsidRDefault="0072215A" w:rsidP="00786B02">
      <w:pPr>
        <w:pStyle w:val="a9"/>
        <w:ind w:firstLineChars="200" w:firstLine="640"/>
        <w:jc w:val="both"/>
        <w:rPr>
          <w:rFonts w:ascii="仿宋_GB2312" w:eastAsia="仿宋_GB2312"/>
          <w:sz w:val="32"/>
          <w:szCs w:val="32"/>
        </w:rPr>
      </w:pPr>
      <w:r>
        <w:rPr>
          <w:rFonts w:ascii="仿宋_GB2312" w:eastAsia="仿宋_GB2312" w:hint="eastAsia"/>
          <w:sz w:val="32"/>
          <w:szCs w:val="32"/>
        </w:rPr>
        <w:t>海淀法院坚决维护政治安全和社会稳定。妥善化解矛盾纠纷，维护社会诚信和市场秩序。</w:t>
      </w:r>
    </w:p>
    <w:p w:rsidR="00EB2C15" w:rsidRDefault="0072215A" w:rsidP="00786B02">
      <w:pPr>
        <w:autoSpaceDE w:val="0"/>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3.环境效益</w:t>
      </w:r>
    </w:p>
    <w:p w:rsidR="00355BCF" w:rsidRPr="00355BCF" w:rsidRDefault="004A2F0C" w:rsidP="00786B02">
      <w:pPr>
        <w:spacing w:line="560" w:lineRule="exact"/>
        <w:ind w:firstLineChars="200" w:firstLine="640"/>
        <w:rPr>
          <w:rFonts w:ascii="仿宋_GB2312" w:eastAsia="仿宋_GB2312"/>
          <w:sz w:val="32"/>
          <w:szCs w:val="32"/>
        </w:rPr>
      </w:pPr>
      <w:r>
        <w:rPr>
          <w:rFonts w:ascii="仿宋_GB2312" w:eastAsia="仿宋_GB2312" w:hint="eastAsia"/>
          <w:sz w:val="32"/>
          <w:szCs w:val="32"/>
        </w:rPr>
        <w:t>海淀法院为环境保护工作提供有力司法保障,</w:t>
      </w:r>
      <w:r w:rsidR="00355BCF" w:rsidRPr="00355BCF">
        <w:rPr>
          <w:rFonts w:ascii="仿宋_GB2312" w:eastAsia="仿宋_GB2312"/>
          <w:sz w:val="32"/>
          <w:szCs w:val="32"/>
        </w:rPr>
        <w:t>全力助推高品质城市建设</w:t>
      </w:r>
      <w:r>
        <w:rPr>
          <w:rFonts w:ascii="仿宋_GB2312" w:eastAsia="仿宋_GB2312" w:hint="eastAsia"/>
          <w:sz w:val="32"/>
          <w:szCs w:val="32"/>
        </w:rPr>
        <w:t>,为提高城市治理水平和构建城市基层治理新格局提供法治保障。</w:t>
      </w:r>
    </w:p>
    <w:p w:rsidR="00355BCF" w:rsidRPr="007852A2" w:rsidRDefault="004A2F0C" w:rsidP="00786B02">
      <w:pPr>
        <w:autoSpaceDE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海淀法院</w:t>
      </w:r>
      <w:r w:rsidR="0072215A">
        <w:rPr>
          <w:rFonts w:ascii="仿宋_GB2312" w:eastAsia="仿宋_GB2312" w:hint="eastAsia"/>
          <w:sz w:val="32"/>
          <w:szCs w:val="32"/>
        </w:rPr>
        <w:t>依法惩治环资类犯罪，打击破坏资源、污染环境等违法犯罪行为。</w:t>
      </w:r>
      <w:r w:rsidR="00703A45">
        <w:rPr>
          <w:rFonts w:ascii="仿宋_GB2312" w:eastAsia="仿宋_GB2312" w:hint="eastAsia"/>
          <w:sz w:val="32"/>
          <w:szCs w:val="32"/>
        </w:rPr>
        <w:t>促进绿色发展，助力打好蓝天碧水净土保卫战。</w:t>
      </w:r>
    </w:p>
    <w:p w:rsidR="00EB2C15" w:rsidRDefault="0072215A" w:rsidP="00786B02">
      <w:pPr>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4.可持续性影响</w:t>
      </w:r>
    </w:p>
    <w:p w:rsidR="00EB2C15" w:rsidRDefault="0072215A" w:rsidP="00786B02">
      <w:pPr>
        <w:pStyle w:val="ab"/>
        <w:spacing w:line="560" w:lineRule="exact"/>
        <w:ind w:firstLineChars="200" w:firstLine="640"/>
        <w:rPr>
          <w:rFonts w:ascii="仿宋_GB2312" w:eastAsia="仿宋_GB2312"/>
          <w:kern w:val="2"/>
        </w:rPr>
      </w:pPr>
      <w:r>
        <w:rPr>
          <w:rFonts w:ascii="仿宋_GB2312" w:eastAsia="仿宋_GB2312" w:hint="eastAsia"/>
          <w:kern w:val="2"/>
        </w:rPr>
        <w:t>满足人民群众多元司法需求，坚持司法为民，公正司法，忠实履行宪法和法律赋予的职责，站稳人民立场</w:t>
      </w:r>
      <w:r w:rsidR="00703A45">
        <w:rPr>
          <w:rFonts w:ascii="仿宋_GB2312" w:eastAsia="仿宋_GB2312" w:hint="eastAsia"/>
          <w:kern w:val="2"/>
        </w:rPr>
        <w:t>，贯彻群众路线，把满足人民群众不断增长的司法需求作为人民法院</w:t>
      </w:r>
      <w:r>
        <w:rPr>
          <w:rFonts w:ascii="仿宋_GB2312" w:eastAsia="仿宋_GB2312" w:hint="eastAsia"/>
          <w:kern w:val="2"/>
        </w:rPr>
        <w:t>工作基本导向，不断提升人民群众的司法获得感，努力让人民群众在每一个司法案件中感受到公平正义。</w:t>
      </w:r>
    </w:p>
    <w:p w:rsidR="00EB2C15" w:rsidRDefault="0072215A" w:rsidP="00786B02">
      <w:pPr>
        <w:pStyle w:val="ab"/>
        <w:spacing w:line="560" w:lineRule="exact"/>
        <w:ind w:firstLineChars="200" w:firstLine="640"/>
        <w:rPr>
          <w:rFonts w:ascii="仿宋_GB2312" w:eastAsia="仿宋_GB2312"/>
          <w:kern w:val="2"/>
        </w:rPr>
      </w:pPr>
      <w:r>
        <w:rPr>
          <w:rFonts w:ascii="仿宋_GB2312" w:eastAsia="仿宋_GB2312" w:hint="eastAsia"/>
          <w:kern w:val="2"/>
        </w:rPr>
        <w:t>依法妥善办理民生案件，提升多元解纷和诉讼服务现代化水平；主动融入党建引领“大家商量着办”机制，加大12368</w:t>
      </w:r>
      <w:r w:rsidR="007852A2">
        <w:rPr>
          <w:rFonts w:ascii="仿宋_GB2312" w:eastAsia="仿宋_GB2312" w:hint="eastAsia"/>
          <w:kern w:val="2"/>
        </w:rPr>
        <w:t>热线、“人和海淀”平台接诉即办力度,</w:t>
      </w:r>
      <w:r>
        <w:rPr>
          <w:rFonts w:ascii="仿宋_GB2312" w:eastAsia="仿宋_GB2312" w:hint="eastAsia"/>
          <w:kern w:val="2"/>
        </w:rPr>
        <w:t>以更优的质效彰显公平正义。</w:t>
      </w:r>
    </w:p>
    <w:p w:rsidR="00EB2C15" w:rsidRDefault="0072215A" w:rsidP="00786B02">
      <w:pPr>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5.服务对象满意度</w:t>
      </w:r>
    </w:p>
    <w:p w:rsidR="00EB2C15" w:rsidRDefault="0072215A" w:rsidP="00786B02">
      <w:pPr>
        <w:autoSpaceDE w:val="0"/>
        <w:spacing w:line="560" w:lineRule="exact"/>
        <w:ind w:firstLineChars="200" w:firstLine="640"/>
        <w:rPr>
          <w:rFonts w:ascii="仿宋_GB2312" w:eastAsia="仿宋_GB2312"/>
        </w:rPr>
      </w:pPr>
      <w:r>
        <w:rPr>
          <w:rFonts w:ascii="仿宋_GB2312" w:eastAsia="仿宋_GB2312" w:hint="eastAsia"/>
          <w:kern w:val="0"/>
          <w:sz w:val="32"/>
          <w:szCs w:val="32"/>
        </w:rPr>
        <w:t>以群众法治需求为导向，全面落实“谁执法谁普法”普法责任制，不断加大司法公开力度。把握群众需求精准普法，自觉接受群众监督。坚持以人民群众的满意度、获得感检验改革成效，抓住改革重点，聚焦突出问题，统筹推进司法体制综合配套改革。</w:t>
      </w:r>
    </w:p>
    <w:p w:rsidR="000221A3" w:rsidRDefault="0072215A" w:rsidP="00786B02">
      <w:pPr>
        <w:autoSpaceDE w:val="0"/>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守护群众美好生活。深化“为群众办实事”机制，在区不动产登记中心设立“法官工作站”，落实“十条举措”，推进无争议继承、离婚等涉房产登记事项的一站式办理机制。深化诉调对接中心建设，落实“首接责任”“一窗通办”“一次告知”，为当事人提供便捷高效服务。</w:t>
      </w:r>
    </w:p>
    <w:p w:rsidR="00EB2C15" w:rsidRDefault="0072215A" w:rsidP="00786B02">
      <w:pPr>
        <w:autoSpaceDE w:val="0"/>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lastRenderedPageBreak/>
        <w:t>依托与区残联合作挂牌的“无障碍诉讼环境实验基地”，扩充手语翻译人才库，全流程保障残障人士“信息交流无障碍”，市高院、市残联来院调研无障碍环境建设并给予充分肯定。加强劳动者权益保护，深化与区人社局、总工会等单位完善“六方联动”机制，协助区仲裁院开展诉前财产保全317件，“以保促调”推动75%的劳动争议在仲裁阶段化解，发布《劳动人事争议审判白皮书》及典型案例，维护辖区和谐劳动关系。开展高校毕业生、新业态劳动者等特殊群体劳动权益保障调研，印发《劳务合同纠纷维权手册》，增强司法保护的针对性、有效性。</w:t>
      </w:r>
    </w:p>
    <w:p w:rsidR="00EB2C15" w:rsidRDefault="0072215A" w:rsidP="00786B02">
      <w:pPr>
        <w:snapToGrid w:val="0"/>
        <w:spacing w:line="560" w:lineRule="exact"/>
        <w:ind w:leftChars="50" w:left="105"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四、预算管理情况分析</w:t>
      </w:r>
    </w:p>
    <w:p w:rsidR="00EB2C15" w:rsidRDefault="0072215A" w:rsidP="00786B02">
      <w:pPr>
        <w:snapToGrid w:val="0"/>
        <w:spacing w:line="560" w:lineRule="exact"/>
        <w:ind w:leftChars="50" w:left="105" w:firstLineChars="200" w:firstLine="640"/>
        <w:rPr>
          <w:rFonts w:ascii="楷体" w:eastAsia="楷体" w:hAnsi="楷体"/>
          <w:sz w:val="32"/>
          <w:szCs w:val="32"/>
        </w:rPr>
      </w:pPr>
      <w:r>
        <w:rPr>
          <w:rFonts w:ascii="楷体" w:eastAsia="楷体" w:hAnsi="楷体"/>
          <w:sz w:val="32"/>
          <w:szCs w:val="32"/>
        </w:rPr>
        <w:t>（一）财务管理</w:t>
      </w:r>
    </w:p>
    <w:p w:rsidR="00EB2C15" w:rsidRDefault="0072215A" w:rsidP="00786B02">
      <w:pPr>
        <w:snapToGrid w:val="0"/>
        <w:spacing w:line="560" w:lineRule="exact"/>
        <w:ind w:leftChars="50" w:left="105"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1.财务管理制度健全性</w:t>
      </w:r>
    </w:p>
    <w:p w:rsidR="00EB2C15" w:rsidRDefault="0072215A" w:rsidP="00786B02">
      <w:pPr>
        <w:snapToGrid w:val="0"/>
        <w:spacing w:line="560" w:lineRule="exact"/>
        <w:ind w:leftChars="50" w:left="105" w:firstLineChars="200" w:firstLine="640"/>
        <w:rPr>
          <w:rFonts w:ascii="仿宋_GB2312" w:eastAsia="仿宋_GB2312" w:hAnsi="宋体" w:cs="宋体"/>
          <w:b/>
          <w:bCs/>
          <w:color w:val="000000"/>
          <w:kern w:val="0"/>
          <w:sz w:val="32"/>
          <w:szCs w:val="32"/>
        </w:rPr>
      </w:pPr>
      <w:r>
        <w:rPr>
          <w:rFonts w:ascii="仿宋_GB2312" w:eastAsia="仿宋_GB2312" w:hint="eastAsia"/>
          <w:color w:val="000000"/>
          <w:sz w:val="32"/>
          <w:szCs w:val="32"/>
        </w:rPr>
        <w:t>海淀法院根据有关要求，加强财务管理、规范财务行为，提高资金使用效益，规范审批程序，防范财务风险，</w:t>
      </w:r>
      <w:r>
        <w:rPr>
          <w:rFonts w:ascii="仿宋_GB2312" w:eastAsia="仿宋_GB2312" w:hint="eastAsia"/>
          <w:sz w:val="32"/>
          <w:szCs w:val="32"/>
        </w:rPr>
        <w:t>相继制定并陆续修订各项规章制度，形成了包括</w:t>
      </w:r>
      <w:r>
        <w:rPr>
          <w:rFonts w:ascii="仿宋_GB2312" w:eastAsia="仿宋_GB2312" w:hint="eastAsia"/>
          <w:color w:val="000000"/>
          <w:sz w:val="32"/>
          <w:szCs w:val="32"/>
        </w:rPr>
        <w:t>《北京市海淀区人民法院财务管理办法》、《北京市海淀区人民法</w:t>
      </w:r>
      <w:r w:rsidR="00B34885">
        <w:rPr>
          <w:rFonts w:ascii="仿宋_GB2312" w:eastAsia="仿宋_GB2312" w:hint="eastAsia"/>
          <w:color w:val="000000"/>
          <w:sz w:val="32"/>
          <w:szCs w:val="32"/>
        </w:rPr>
        <w:t>院大额资金管理规定》、《北京市海淀区人民法院政府采购管理办法》</w:t>
      </w:r>
      <w:r>
        <w:rPr>
          <w:rFonts w:ascii="仿宋_GB2312" w:eastAsia="仿宋_GB2312" w:hint="eastAsia"/>
          <w:color w:val="000000"/>
          <w:sz w:val="32"/>
          <w:szCs w:val="32"/>
        </w:rPr>
        <w:t>、《北京市海淀区人民法院差旅费管理细则》、《北京市海淀区人民法院</w:t>
      </w:r>
      <w:r>
        <w:rPr>
          <w:rFonts w:ascii="仿宋_GB2312" w:eastAsia="仿宋_GB2312" w:hint="eastAsia"/>
          <w:sz w:val="32"/>
          <w:szCs w:val="32"/>
        </w:rPr>
        <w:t>市内公务活动交通费、误餐费管理细则</w:t>
      </w:r>
      <w:r>
        <w:rPr>
          <w:rFonts w:ascii="仿宋_GB2312" w:eastAsia="仿宋_GB2312" w:hint="eastAsia"/>
          <w:color w:val="000000"/>
          <w:sz w:val="32"/>
          <w:szCs w:val="32"/>
        </w:rPr>
        <w:t>》</w:t>
      </w:r>
      <w:r>
        <w:rPr>
          <w:rFonts w:ascii="仿宋_GB2312" w:eastAsia="仿宋_GB2312" w:hint="eastAsia"/>
          <w:sz w:val="32"/>
          <w:szCs w:val="32"/>
        </w:rPr>
        <w:t>等一套完整的制度体系，并</w:t>
      </w:r>
      <w:r>
        <w:rPr>
          <w:rFonts w:ascii="仿宋_GB2312" w:eastAsia="仿宋_GB2312" w:hint="eastAsia"/>
          <w:color w:val="000000"/>
          <w:sz w:val="32"/>
          <w:szCs w:val="32"/>
        </w:rPr>
        <w:t>严格按照制度规定执行，提升财务支出的民主性、科学性，保障审判、执行工作的顺利开展。</w:t>
      </w:r>
    </w:p>
    <w:p w:rsidR="00EB2C15" w:rsidRDefault="0072215A" w:rsidP="00786B02">
      <w:pPr>
        <w:autoSpaceDE w:val="0"/>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2.资金使用合规性和安全性</w:t>
      </w:r>
    </w:p>
    <w:p w:rsidR="00EB2C15" w:rsidRDefault="0072215A" w:rsidP="00786B02">
      <w:pPr>
        <w:pStyle w:val="msonospacing0"/>
        <w:widowControl/>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海淀法院</w:t>
      </w:r>
      <w:r>
        <w:rPr>
          <w:rFonts w:ascii="仿宋_GB2312" w:eastAsia="仿宋_GB2312" w:hAnsi="Times New Roman" w:hint="eastAsia"/>
          <w:sz w:val="32"/>
          <w:szCs w:val="32"/>
        </w:rPr>
        <w:t>财务管理</w:t>
      </w:r>
      <w:r>
        <w:rPr>
          <w:rFonts w:ascii="仿宋_GB2312" w:eastAsia="仿宋_GB2312" w:hint="eastAsia"/>
          <w:sz w:val="32"/>
          <w:szCs w:val="32"/>
        </w:rPr>
        <w:t>坚持“依法理财，厉行节约；保证重点，强化绩效；明确责任，控制风险”的原则，为审判、执行和其他工作任务的圆满完成提供安全、有效的经费保障。</w:t>
      </w:r>
    </w:p>
    <w:p w:rsidR="00EB2C15" w:rsidRDefault="0072215A" w:rsidP="00786B02">
      <w:pPr>
        <w:pStyle w:val="msonospacing0"/>
        <w:widowControl/>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各项经费支出必须严格遵守有关财政财务制度及财经纪律，强化预算约束，严格支出标准，规范支出流程，履行相关程序，明确支出范围，禁止超范围、超权限列支，杜绝无预算支出。根据政府采购的相关规定和要求，凡涉及政府采购的项目，必须履行政府采购程序。车辆维修、燃油和保险、培训、会议、印刷等支出按照北京市财政指定范围实行定点服务。财务报销的票据真实合法，各业务经办人对票据的真实性负责。财务部门依据年度预算严格控制、审核，做到专款专用。</w:t>
      </w:r>
    </w:p>
    <w:p w:rsidR="00EB2C15" w:rsidRDefault="0072215A" w:rsidP="00786B02">
      <w:pPr>
        <w:pStyle w:val="a8"/>
        <w:spacing w:line="560" w:lineRule="exact"/>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海淀法院在资金的使用上符合国家财经法规和财务管理制度规定以及有关专项资金管理办法的规定；海淀法院财政资金的拨付有完整的审批程序和手续；海淀法院在资金使用上符合部门预算批复的用途；海淀法院在财政资金的使用上不存在截留、挤占及挪用情况；海淀法院资金使用符合政府采购的程序和流程；海淀法院资金使用符合公务卡结算相关制度和规定。</w:t>
      </w:r>
    </w:p>
    <w:p w:rsidR="00EB2C15" w:rsidRDefault="0072215A" w:rsidP="00786B02">
      <w:pPr>
        <w:snapToGrid w:val="0"/>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3.会计基础信息完善性</w:t>
      </w:r>
    </w:p>
    <w:p w:rsidR="00EB2C15" w:rsidRDefault="0072215A" w:rsidP="00786B02">
      <w:pPr>
        <w:spacing w:line="560" w:lineRule="exact"/>
        <w:ind w:leftChars="50" w:left="105"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海淀法院基础数据信息和会计信息资料真实；基础数据信息和会计信息资料完整；基础数据信息和会计信息资料准确。</w:t>
      </w:r>
      <w:r>
        <w:rPr>
          <w:rFonts w:ascii="仿宋_GB2312" w:eastAsia="仿宋_GB2312" w:cs="Times New Roman" w:hint="eastAsia"/>
          <w:sz w:val="32"/>
          <w:szCs w:val="32"/>
        </w:rPr>
        <w:t>在经费日常使用管理中，严格执行</w:t>
      </w:r>
      <w:r w:rsidR="000221A3">
        <w:rPr>
          <w:rFonts w:ascii="仿宋_GB2312" w:eastAsia="仿宋_GB2312" w:cs="Times New Roman" w:hint="eastAsia"/>
          <w:sz w:val="32"/>
          <w:szCs w:val="32"/>
        </w:rPr>
        <w:t>政府会计制度，</w:t>
      </w:r>
      <w:r>
        <w:rPr>
          <w:rFonts w:ascii="仿宋_GB2312" w:eastAsia="仿宋_GB2312" w:cs="Times New Roman" w:hint="eastAsia"/>
          <w:sz w:val="32"/>
          <w:szCs w:val="32"/>
        </w:rPr>
        <w:t>加强内外监督，海淀法院纪检及内审部门定期对资金规范使用管</w:t>
      </w:r>
      <w:r>
        <w:rPr>
          <w:rFonts w:ascii="仿宋_GB2312" w:eastAsia="仿宋_GB2312" w:cs="Times New Roman" w:hint="eastAsia"/>
          <w:sz w:val="32"/>
          <w:szCs w:val="32"/>
        </w:rPr>
        <w:lastRenderedPageBreak/>
        <w:t>理情况进行监督与指导。</w:t>
      </w:r>
    </w:p>
    <w:p w:rsidR="00EB2C15" w:rsidRDefault="0072215A" w:rsidP="00786B02">
      <w:pPr>
        <w:pStyle w:val="a8"/>
        <w:spacing w:line="560" w:lineRule="exact"/>
        <w:ind w:firstLineChars="200" w:firstLine="640"/>
      </w:pPr>
      <w:r>
        <w:rPr>
          <w:rFonts w:ascii="仿宋_GB2312" w:eastAsia="仿宋_GB2312" w:hint="eastAsia"/>
          <w:color w:val="000000"/>
          <w:kern w:val="0"/>
          <w:sz w:val="32"/>
          <w:szCs w:val="32"/>
        </w:rPr>
        <w:t>海淀法院2024年度预算信息</w:t>
      </w:r>
      <w:r w:rsidR="007852A2">
        <w:rPr>
          <w:rFonts w:ascii="仿宋_GB2312" w:eastAsia="仿宋_GB2312" w:hint="eastAsia"/>
          <w:color w:val="000000"/>
          <w:kern w:val="0"/>
          <w:sz w:val="32"/>
          <w:szCs w:val="32"/>
        </w:rPr>
        <w:t>以及2023年度决算信息</w:t>
      </w:r>
      <w:r>
        <w:rPr>
          <w:rFonts w:ascii="仿宋_GB2312" w:eastAsia="仿宋_GB2312" w:hint="eastAsia"/>
          <w:color w:val="000000"/>
          <w:kern w:val="0"/>
          <w:sz w:val="32"/>
          <w:szCs w:val="32"/>
        </w:rPr>
        <w:t>在海淀法院门户网站及“首都之窗”网站面向社会公开。海淀法院严格按照北京市政府工作要求充分准备、数字真实、说明严谨，顺利完成年度预决算的社会公开工作。</w:t>
      </w:r>
    </w:p>
    <w:p w:rsidR="00EB2C15" w:rsidRDefault="0072215A" w:rsidP="00786B02">
      <w:pPr>
        <w:spacing w:line="560" w:lineRule="exact"/>
        <w:ind w:leftChars="50" w:left="105" w:firstLineChars="200" w:firstLine="643"/>
        <w:rPr>
          <w:rFonts w:ascii="楷体" w:eastAsia="楷体" w:hAnsi="楷体"/>
          <w:b/>
          <w:bCs/>
          <w:sz w:val="32"/>
          <w:szCs w:val="32"/>
        </w:rPr>
      </w:pPr>
      <w:r>
        <w:rPr>
          <w:rFonts w:ascii="楷体" w:eastAsia="楷体" w:hAnsi="楷体"/>
          <w:b/>
          <w:bCs/>
          <w:sz w:val="32"/>
          <w:szCs w:val="32"/>
        </w:rPr>
        <w:t>（二）资产管理</w:t>
      </w:r>
    </w:p>
    <w:p w:rsidR="00EB2C15" w:rsidRDefault="0072215A" w:rsidP="00786B02">
      <w:pPr>
        <w:spacing w:line="560" w:lineRule="exact"/>
        <w:ind w:leftChars="50" w:left="105" w:firstLineChars="200" w:firstLine="640"/>
        <w:rPr>
          <w:rFonts w:ascii="仿宋_GB2312" w:eastAsia="仿宋_GB2312"/>
          <w:sz w:val="32"/>
          <w:szCs w:val="32"/>
        </w:rPr>
      </w:pPr>
      <w:r>
        <w:rPr>
          <w:rFonts w:ascii="仿宋_GB2312" w:eastAsia="仿宋_GB2312" w:hint="eastAsia"/>
          <w:sz w:val="32"/>
          <w:szCs w:val="32"/>
        </w:rPr>
        <w:t>海淀法院固定资产购置本着厉行节约、保障质量，相关部门相互配合、相互制约的原则。同时严格履行政府采购程序。财务部门与资产管理部门密切配合，严格遵循“先入库、后入账”的资产管理流程，购置资产的发票必须与固定资产入库单一同入账。保证账账相符、账卡相符、账实相符。</w:t>
      </w:r>
      <w:r>
        <w:rPr>
          <w:rFonts w:ascii="仿宋_GB2312" w:eastAsia="仿宋_GB2312" w:hAnsi="仿宋" w:hint="eastAsia"/>
          <w:sz w:val="32"/>
          <w:szCs w:val="32"/>
        </w:rPr>
        <w:t>严格依据</w:t>
      </w:r>
      <w:r w:rsidR="007852A2">
        <w:rPr>
          <w:rFonts w:ascii="仿宋_GB2312" w:eastAsia="仿宋_GB2312" w:hint="eastAsia"/>
          <w:color w:val="000000"/>
          <w:sz w:val="32"/>
          <w:szCs w:val="32"/>
        </w:rPr>
        <w:t>内控制度</w:t>
      </w:r>
      <w:r>
        <w:rPr>
          <w:rFonts w:ascii="仿宋_GB2312" w:eastAsia="仿宋_GB2312" w:hAnsi="仿宋" w:hint="eastAsia"/>
          <w:sz w:val="32"/>
          <w:szCs w:val="32"/>
        </w:rPr>
        <w:t>进行资产的购置、登记、领用、盘点、报废处置等。</w:t>
      </w:r>
    </w:p>
    <w:p w:rsidR="00EB2C15" w:rsidRDefault="0072215A" w:rsidP="00786B02">
      <w:pPr>
        <w:spacing w:line="560" w:lineRule="exact"/>
        <w:ind w:leftChars="50" w:left="105" w:firstLineChars="200" w:firstLine="640"/>
        <w:rPr>
          <w:rFonts w:ascii="楷体_GB2312"/>
          <w:sz w:val="32"/>
          <w:szCs w:val="32"/>
        </w:rPr>
      </w:pPr>
      <w:r>
        <w:rPr>
          <w:rFonts w:ascii="仿宋_GB2312" w:eastAsia="仿宋_GB2312" w:hint="eastAsia"/>
          <w:sz w:val="32"/>
          <w:szCs w:val="32"/>
        </w:rPr>
        <w:t>海淀法院无对外投资项目，不存在对外投资行为未经审批及投资亏损的情况；海淀法院不存在因管理不当发生严重资产损失和丢失情况；海淀法院资产使用符合规范，不存在未经批准擅自出租、出借资产行为；海淀法院资产处置规范，不存在未按要求进行报批或资产不公开处置的行为。</w:t>
      </w:r>
    </w:p>
    <w:p w:rsidR="00EB2C15" w:rsidRDefault="0072215A" w:rsidP="00786B02">
      <w:pPr>
        <w:spacing w:line="560" w:lineRule="exact"/>
        <w:ind w:leftChars="50" w:left="105" w:firstLineChars="200" w:firstLine="643"/>
        <w:rPr>
          <w:rFonts w:ascii="楷体" w:eastAsia="楷体" w:hAnsi="楷体"/>
          <w:b/>
          <w:bCs/>
          <w:sz w:val="32"/>
          <w:szCs w:val="32"/>
        </w:rPr>
      </w:pPr>
      <w:r>
        <w:rPr>
          <w:rFonts w:ascii="楷体" w:eastAsia="楷体" w:hAnsi="楷体"/>
          <w:b/>
          <w:bCs/>
          <w:sz w:val="32"/>
          <w:szCs w:val="32"/>
        </w:rPr>
        <w:t>（三）绩效管理</w:t>
      </w:r>
    </w:p>
    <w:p w:rsidR="00EB2C15" w:rsidRDefault="0072215A" w:rsidP="00786B02">
      <w:pPr>
        <w:spacing w:line="560" w:lineRule="exact"/>
        <w:ind w:leftChars="50" w:left="105" w:firstLineChars="200" w:firstLine="640"/>
        <w:rPr>
          <w:rFonts w:ascii="仿宋_GB2312" w:eastAsia="仿宋_GB2312"/>
          <w:sz w:val="32"/>
          <w:szCs w:val="32"/>
        </w:rPr>
      </w:pPr>
      <w:r>
        <w:rPr>
          <w:rFonts w:ascii="仿宋_GB2312" w:eastAsia="仿宋_GB2312" w:hint="eastAsia"/>
          <w:sz w:val="32"/>
          <w:szCs w:val="32"/>
        </w:rPr>
        <w:t>海淀法院绩效管理工作按照</w:t>
      </w:r>
      <w:r w:rsidR="00EE6304" w:rsidRPr="00EE6304">
        <w:rPr>
          <w:rFonts w:ascii="仿宋_GB2312" w:eastAsia="仿宋_GB2312"/>
          <w:sz w:val="32"/>
          <w:szCs w:val="32"/>
        </w:rPr>
        <w:t>《北京市项目支出绩效评价管理办法》</w:t>
      </w:r>
      <w:r>
        <w:rPr>
          <w:rFonts w:ascii="仿宋_GB2312" w:eastAsia="仿宋_GB2312" w:hint="eastAsia"/>
          <w:sz w:val="32"/>
          <w:szCs w:val="32"/>
        </w:rPr>
        <w:t>中相关规定执行，绩效管理流程基本规范，预算绩效管理体系基本健全。及时对绩效信息进行汇总分析整理，并对绩效目标偏离情况及时进行矫正。</w:t>
      </w:r>
    </w:p>
    <w:p w:rsidR="00EB2C15" w:rsidRDefault="0072215A" w:rsidP="00786B02">
      <w:pPr>
        <w:spacing w:line="560" w:lineRule="exact"/>
        <w:ind w:firstLineChars="200" w:firstLine="643"/>
        <w:rPr>
          <w:rFonts w:ascii="仿宋_GB2312" w:eastAsia="仿宋_GB2312" w:hAnsi="仿宋"/>
          <w:b/>
          <w:bCs/>
          <w:sz w:val="32"/>
          <w:szCs w:val="32"/>
        </w:rPr>
      </w:pPr>
      <w:r>
        <w:rPr>
          <w:rFonts w:ascii="仿宋_GB2312" w:eastAsia="仿宋_GB2312" w:hAnsi="仿宋" w:hint="eastAsia"/>
          <w:b/>
          <w:bCs/>
          <w:sz w:val="32"/>
          <w:szCs w:val="32"/>
        </w:rPr>
        <w:t>1.加强绩效目标管理。</w:t>
      </w:r>
    </w:p>
    <w:p w:rsidR="00EB2C15" w:rsidRDefault="0072215A" w:rsidP="00786B0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按照市财</w:t>
      </w:r>
      <w:r w:rsidRPr="007852A2">
        <w:rPr>
          <w:rFonts w:ascii="仿宋_GB2312" w:eastAsia="仿宋_GB2312" w:hAnsi="仿宋" w:hint="eastAsia"/>
          <w:sz w:val="32"/>
          <w:szCs w:val="32"/>
        </w:rPr>
        <w:t>政局要求，将2024年项目全部纳入绩效目标填报范围，完成了13个项目绩效目标申</w:t>
      </w:r>
      <w:r>
        <w:rPr>
          <w:rFonts w:ascii="仿宋_GB2312" w:eastAsia="仿宋_GB2312" w:hAnsi="仿宋" w:hint="eastAsia"/>
          <w:sz w:val="32"/>
          <w:szCs w:val="32"/>
        </w:rPr>
        <w:t>报表的审核及系统录入工作。并开展了绩效目标质量审核工作，保障绩效目标与项目内容、部门职责高度关联，绩效指标设置重点突出、细化、量化，指标值能够客观反映项目预期完成的绩效水平。</w:t>
      </w:r>
    </w:p>
    <w:p w:rsidR="001E220D" w:rsidRDefault="0072215A" w:rsidP="00786B02">
      <w:pPr>
        <w:spacing w:line="560" w:lineRule="exact"/>
        <w:ind w:firstLineChars="200" w:firstLine="643"/>
        <w:rPr>
          <w:rFonts w:ascii="仿宋_GB2312" w:eastAsia="仿宋_GB2312" w:hAnsi="仿宋"/>
          <w:b/>
          <w:bCs/>
          <w:sz w:val="32"/>
          <w:szCs w:val="32"/>
        </w:rPr>
      </w:pPr>
      <w:r>
        <w:rPr>
          <w:rFonts w:ascii="仿宋_GB2312" w:eastAsia="仿宋_GB2312" w:hAnsi="仿宋" w:hint="eastAsia"/>
          <w:b/>
          <w:bCs/>
          <w:sz w:val="32"/>
          <w:szCs w:val="32"/>
        </w:rPr>
        <w:t>2.开展事后绩效自评及事中绩效监控。</w:t>
      </w:r>
    </w:p>
    <w:p w:rsidR="00EB2C15" w:rsidRPr="001E220D" w:rsidRDefault="0072215A" w:rsidP="00786B02">
      <w:pPr>
        <w:spacing w:line="560" w:lineRule="exact"/>
        <w:ind w:firstLineChars="200" w:firstLine="640"/>
        <w:rPr>
          <w:rFonts w:ascii="仿宋_GB2312" w:eastAsia="仿宋_GB2312" w:hAnsi="仿宋"/>
          <w:b/>
          <w:bCs/>
          <w:sz w:val="32"/>
          <w:szCs w:val="32"/>
        </w:rPr>
      </w:pPr>
      <w:r>
        <w:rPr>
          <w:rFonts w:ascii="仿宋_GB2312" w:eastAsia="仿宋_GB2312" w:hAnsi="方正仿宋_GBK" w:cs="方正仿宋_GBK" w:hint="eastAsia"/>
          <w:sz w:val="32"/>
          <w:szCs w:val="32"/>
        </w:rPr>
        <w:t>2025年5月，</w:t>
      </w:r>
      <w:r>
        <w:rPr>
          <w:rFonts w:ascii="仿宋_GB2312" w:eastAsia="仿宋_GB2312" w:hAnsi="仿宋" w:hint="eastAsia"/>
          <w:sz w:val="32"/>
          <w:szCs w:val="32"/>
        </w:rPr>
        <w:t>组织业务部门开展项目支出绩效运行监控，</w:t>
      </w:r>
      <w:r w:rsidRPr="007852A2">
        <w:rPr>
          <w:rFonts w:ascii="仿宋_GB2312" w:eastAsia="仿宋_GB2312" w:hAnsi="仿宋" w:hint="eastAsia"/>
          <w:sz w:val="32"/>
          <w:szCs w:val="32"/>
        </w:rPr>
        <w:t>对2024年度的13个市级项目实施了绩效评价（单位自评项目12个、部门评价项目1个），涉及预算金额</w:t>
      </w:r>
      <w:r w:rsidR="00816A35">
        <w:rPr>
          <w:rFonts w:ascii="仿宋_GB2312" w:eastAsia="仿宋_GB2312" w:hAnsi="仿宋" w:hint="eastAsia"/>
          <w:sz w:val="32"/>
          <w:szCs w:val="32"/>
        </w:rPr>
        <w:t>9</w:t>
      </w:r>
      <w:r w:rsidRPr="007852A2">
        <w:rPr>
          <w:rFonts w:ascii="仿宋_GB2312" w:eastAsia="仿宋_GB2312" w:hAnsi="仿宋" w:hint="eastAsia"/>
          <w:sz w:val="32"/>
          <w:szCs w:val="32"/>
        </w:rPr>
        <w:t>,</w:t>
      </w:r>
      <w:r w:rsidR="00816A35">
        <w:rPr>
          <w:rFonts w:ascii="仿宋_GB2312" w:eastAsia="仿宋_GB2312" w:hAnsi="仿宋" w:hint="eastAsia"/>
          <w:sz w:val="32"/>
          <w:szCs w:val="32"/>
        </w:rPr>
        <w:t>802</w:t>
      </w:r>
      <w:r w:rsidRPr="007852A2">
        <w:rPr>
          <w:rFonts w:ascii="仿宋_GB2312" w:eastAsia="仿宋_GB2312" w:hAnsi="仿宋" w:hint="eastAsia"/>
          <w:sz w:val="32"/>
          <w:szCs w:val="32"/>
        </w:rPr>
        <w:t>.</w:t>
      </w:r>
      <w:r w:rsidR="00816A35">
        <w:rPr>
          <w:rFonts w:ascii="仿宋_GB2312" w:eastAsia="仿宋_GB2312" w:hAnsi="仿宋" w:hint="eastAsia"/>
          <w:sz w:val="32"/>
          <w:szCs w:val="32"/>
        </w:rPr>
        <w:t>48</w:t>
      </w:r>
      <w:r w:rsidRPr="007852A2">
        <w:rPr>
          <w:rFonts w:ascii="仿宋_GB2312" w:eastAsia="仿宋_GB2312" w:hAnsi="仿宋" w:hint="eastAsia"/>
          <w:sz w:val="32"/>
          <w:szCs w:val="32"/>
        </w:rPr>
        <w:t>万元。</w:t>
      </w:r>
      <w:r>
        <w:rPr>
          <w:rFonts w:ascii="仿宋_GB2312" w:eastAsia="仿宋_GB2312" w:hAnsi="仿宋" w:hint="eastAsia"/>
          <w:sz w:val="32"/>
          <w:szCs w:val="32"/>
        </w:rPr>
        <w:t>重点评价方面，选取信息系统运维费项目开展绩效评价工作，从项目立项、决策、产出及效益几方面对该项目绩效完成情况进行评价，保障财政资金投入效益、提高海淀法院财政资金管理水平。</w:t>
      </w:r>
    </w:p>
    <w:p w:rsidR="00EB2C15" w:rsidRDefault="0072215A" w:rsidP="00786B02">
      <w:pPr>
        <w:spacing w:line="560" w:lineRule="exact"/>
        <w:ind w:leftChars="50" w:left="105" w:firstLineChars="200" w:firstLine="643"/>
        <w:rPr>
          <w:rFonts w:ascii="楷体" w:eastAsia="楷体" w:hAnsi="楷体"/>
          <w:b/>
          <w:bCs/>
          <w:sz w:val="32"/>
          <w:szCs w:val="32"/>
        </w:rPr>
      </w:pPr>
      <w:r>
        <w:rPr>
          <w:rFonts w:ascii="楷体" w:eastAsia="楷体" w:hAnsi="楷体"/>
          <w:b/>
          <w:bCs/>
          <w:sz w:val="32"/>
          <w:szCs w:val="32"/>
        </w:rPr>
        <w:t>（四）结转结余率</w:t>
      </w:r>
    </w:p>
    <w:p w:rsidR="00EB2C15" w:rsidRDefault="0072215A" w:rsidP="00786B02">
      <w:pPr>
        <w:spacing w:line="560" w:lineRule="exact"/>
        <w:ind w:leftChars="50" w:left="105" w:firstLineChars="200" w:firstLine="640"/>
        <w:rPr>
          <w:rFonts w:ascii="楷体_GB2312"/>
          <w:color w:val="FF0000"/>
          <w:sz w:val="32"/>
          <w:szCs w:val="32"/>
        </w:rPr>
      </w:pPr>
      <w:r>
        <w:rPr>
          <w:rFonts w:ascii="仿宋_GB2312" w:eastAsia="仿宋_GB2312" w:hint="eastAsia"/>
          <w:sz w:val="32"/>
          <w:szCs w:val="32"/>
        </w:rPr>
        <w:t>海淀法院2024年末结转结余851.29万元，全年预算支出</w:t>
      </w:r>
      <w:r w:rsidR="006F4CB9" w:rsidRPr="006F4CB9">
        <w:rPr>
          <w:rFonts w:ascii="仿宋_GB2312" w:eastAsia="仿宋_GB2312"/>
          <w:sz w:val="32"/>
          <w:szCs w:val="32"/>
        </w:rPr>
        <w:t>43</w:t>
      </w:r>
      <w:r w:rsidR="006F4CB9" w:rsidRPr="007852A2">
        <w:rPr>
          <w:rFonts w:ascii="仿宋_GB2312" w:eastAsia="仿宋_GB2312" w:hAnsi="仿宋" w:hint="eastAsia"/>
          <w:sz w:val="32"/>
          <w:szCs w:val="32"/>
        </w:rPr>
        <w:t>,</w:t>
      </w:r>
      <w:r w:rsidR="006F4CB9" w:rsidRPr="006F4CB9">
        <w:rPr>
          <w:rFonts w:ascii="仿宋_GB2312" w:eastAsia="仿宋_GB2312"/>
          <w:sz w:val="32"/>
          <w:szCs w:val="32"/>
        </w:rPr>
        <w:t>376</w:t>
      </w:r>
      <w:r w:rsidR="006F4CB9">
        <w:rPr>
          <w:rFonts w:ascii="仿宋_GB2312" w:eastAsia="仿宋_GB2312" w:hint="eastAsia"/>
          <w:sz w:val="32"/>
          <w:szCs w:val="32"/>
        </w:rPr>
        <w:t>.</w:t>
      </w:r>
      <w:r w:rsidR="006F4CB9" w:rsidRPr="006F4CB9">
        <w:rPr>
          <w:rFonts w:ascii="仿宋_GB2312" w:eastAsia="仿宋_GB2312"/>
          <w:sz w:val="32"/>
          <w:szCs w:val="32"/>
        </w:rPr>
        <w:t>47</w:t>
      </w:r>
      <w:r>
        <w:rPr>
          <w:rFonts w:ascii="仿宋_GB2312" w:eastAsia="仿宋_GB2312" w:hint="eastAsia"/>
          <w:sz w:val="32"/>
          <w:szCs w:val="32"/>
        </w:rPr>
        <w:t>万元，结转结余率为1.92%</w:t>
      </w:r>
      <w:r w:rsidR="007852A2">
        <w:rPr>
          <w:rFonts w:ascii="仿宋_GB2312" w:eastAsia="仿宋_GB2312" w:hint="eastAsia"/>
          <w:sz w:val="32"/>
          <w:szCs w:val="32"/>
        </w:rPr>
        <w:t>，低于上年结转结余率</w:t>
      </w:r>
      <w:r>
        <w:rPr>
          <w:rFonts w:ascii="仿宋_GB2312" w:eastAsia="仿宋_GB2312" w:hint="eastAsia"/>
          <w:sz w:val="32"/>
          <w:szCs w:val="32"/>
        </w:rPr>
        <w:t>2.17%。</w:t>
      </w:r>
    </w:p>
    <w:p w:rsidR="00EB2C15" w:rsidRDefault="0072215A" w:rsidP="00786B02">
      <w:pPr>
        <w:spacing w:line="560" w:lineRule="exact"/>
        <w:ind w:leftChars="50" w:left="105" w:firstLineChars="200" w:firstLine="643"/>
        <w:rPr>
          <w:rFonts w:ascii="楷体" w:eastAsia="楷体" w:hAnsi="楷体"/>
          <w:b/>
          <w:bCs/>
          <w:sz w:val="32"/>
          <w:szCs w:val="32"/>
        </w:rPr>
      </w:pPr>
      <w:r>
        <w:rPr>
          <w:rFonts w:ascii="楷体" w:eastAsia="楷体" w:hAnsi="楷体"/>
          <w:b/>
          <w:bCs/>
          <w:sz w:val="32"/>
          <w:szCs w:val="32"/>
        </w:rPr>
        <w:t>（五）部门预决算差异率</w:t>
      </w:r>
    </w:p>
    <w:p w:rsidR="00EB2C15" w:rsidRDefault="0072215A" w:rsidP="00786B02">
      <w:pPr>
        <w:spacing w:line="560" w:lineRule="exact"/>
        <w:ind w:firstLineChars="200" w:firstLine="640"/>
        <w:rPr>
          <w:color w:val="FF0000"/>
        </w:rPr>
      </w:pPr>
      <w:r>
        <w:rPr>
          <w:rFonts w:ascii="仿宋_GB2312" w:eastAsia="仿宋_GB2312" w:hint="eastAsia"/>
          <w:sz w:val="32"/>
          <w:szCs w:val="32"/>
        </w:rPr>
        <w:t>2024年，年初部门预算41,999.84万元，年度部门决算43,376.47万元，2024年部门预决算差异=（实际完成数据—年初批复预算数据）/年初批复预算数据</w:t>
      </w:r>
      <w:r w:rsidR="002D5705">
        <w:rPr>
          <w:rFonts w:ascii="仿宋_GB2312" w:eastAsia="仿宋_GB2312" w:hint="eastAsia"/>
          <w:sz w:val="32"/>
          <w:szCs w:val="32"/>
        </w:rPr>
        <w:t>*</w:t>
      </w:r>
      <w:r>
        <w:rPr>
          <w:rFonts w:ascii="仿宋_GB2312" w:eastAsia="仿宋_GB2312" w:hint="eastAsia"/>
          <w:sz w:val="32"/>
          <w:szCs w:val="32"/>
        </w:rPr>
        <w:t>100%=(43,376.47-41,999.84)/41,999.84*100%=3.28%。</w:t>
      </w:r>
    </w:p>
    <w:p w:rsidR="00EB2C15" w:rsidRDefault="0072215A" w:rsidP="00786B02">
      <w:pPr>
        <w:snapToGrid w:val="0"/>
        <w:spacing w:line="560" w:lineRule="exact"/>
        <w:ind w:leftChars="50" w:left="105" w:firstLineChars="200" w:firstLine="640"/>
        <w:rPr>
          <w:rFonts w:ascii="黑体" w:eastAsia="黑体" w:hAnsi="黑体"/>
          <w:sz w:val="32"/>
          <w:szCs w:val="32"/>
        </w:rPr>
      </w:pPr>
      <w:r>
        <w:rPr>
          <w:rFonts w:ascii="黑体" w:eastAsia="黑体" w:hAnsi="黑体" w:hint="eastAsia"/>
          <w:sz w:val="32"/>
          <w:szCs w:val="32"/>
        </w:rPr>
        <w:t>五、总体评价结论</w:t>
      </w:r>
    </w:p>
    <w:p w:rsidR="00895FC3" w:rsidRDefault="0072215A" w:rsidP="00786B02">
      <w:pPr>
        <w:snapToGrid w:val="0"/>
        <w:spacing w:line="560" w:lineRule="exact"/>
        <w:ind w:leftChars="50" w:left="105" w:firstLineChars="200" w:firstLine="643"/>
        <w:rPr>
          <w:rFonts w:ascii="楷体" w:eastAsia="楷体" w:hAnsi="楷体"/>
          <w:b/>
          <w:sz w:val="32"/>
          <w:szCs w:val="32"/>
        </w:rPr>
      </w:pPr>
      <w:r>
        <w:rPr>
          <w:rFonts w:ascii="楷体" w:eastAsia="楷体" w:hAnsi="楷体"/>
          <w:b/>
          <w:sz w:val="32"/>
          <w:szCs w:val="32"/>
        </w:rPr>
        <w:t>（一）评价得分情况</w:t>
      </w:r>
    </w:p>
    <w:p w:rsidR="00F90271" w:rsidRPr="00895FC3" w:rsidRDefault="0072215A" w:rsidP="00786B02">
      <w:pPr>
        <w:snapToGrid w:val="0"/>
        <w:spacing w:line="560" w:lineRule="exact"/>
        <w:ind w:leftChars="50" w:left="105" w:firstLineChars="200" w:firstLine="640"/>
        <w:rPr>
          <w:rFonts w:ascii="楷体" w:eastAsia="楷体" w:hAnsi="楷体"/>
          <w:b/>
          <w:sz w:val="32"/>
          <w:szCs w:val="32"/>
        </w:rPr>
      </w:pPr>
      <w:r>
        <w:rPr>
          <w:rFonts w:ascii="仿宋_GB2312" w:eastAsia="仿宋_GB2312" w:hint="eastAsia"/>
          <w:sz w:val="32"/>
          <w:szCs w:val="32"/>
        </w:rPr>
        <w:lastRenderedPageBreak/>
        <w:t>海淀法院2024年部门整体绩效评价得分</w:t>
      </w:r>
      <w:r w:rsidR="009B3EA5">
        <w:rPr>
          <w:rFonts w:ascii="仿宋_GB2312" w:eastAsia="仿宋_GB2312" w:hint="eastAsia"/>
          <w:sz w:val="32"/>
          <w:szCs w:val="32"/>
        </w:rPr>
        <w:t>94</w:t>
      </w:r>
      <w:r>
        <w:rPr>
          <w:rFonts w:ascii="仿宋_GB2312" w:eastAsia="仿宋_GB2312" w:hint="eastAsia"/>
          <w:sz w:val="32"/>
          <w:szCs w:val="32"/>
        </w:rPr>
        <w:t>.</w:t>
      </w:r>
      <w:r w:rsidR="009B3EA5">
        <w:rPr>
          <w:rFonts w:ascii="仿宋_GB2312" w:eastAsia="仿宋_GB2312" w:hint="eastAsia"/>
          <w:sz w:val="32"/>
          <w:szCs w:val="32"/>
        </w:rPr>
        <w:t>04</w:t>
      </w:r>
      <w:r>
        <w:rPr>
          <w:rFonts w:ascii="仿宋_GB2312" w:eastAsia="仿宋_GB2312" w:hint="eastAsia"/>
          <w:sz w:val="32"/>
          <w:szCs w:val="32"/>
        </w:rPr>
        <w:t>。其中：当年预算执行情况19.62分，整体绩效目标实现情况56.92分，预算管理情况17.</w:t>
      </w:r>
      <w:r w:rsidR="003B0B6F">
        <w:rPr>
          <w:rFonts w:ascii="仿宋_GB2312" w:eastAsia="仿宋_GB2312" w:hint="eastAsia"/>
          <w:sz w:val="32"/>
          <w:szCs w:val="32"/>
        </w:rPr>
        <w:t>50</w:t>
      </w:r>
      <w:r>
        <w:rPr>
          <w:rFonts w:ascii="仿宋_GB2312" w:eastAsia="仿宋_GB2312" w:hint="eastAsia"/>
          <w:sz w:val="32"/>
          <w:szCs w:val="32"/>
        </w:rPr>
        <w:t>分。</w:t>
      </w:r>
    </w:p>
    <w:p w:rsidR="00895FC3" w:rsidRDefault="0072215A" w:rsidP="00786B02">
      <w:pPr>
        <w:spacing w:line="560" w:lineRule="exact"/>
        <w:ind w:leftChars="50" w:left="105" w:firstLineChars="200" w:firstLine="643"/>
        <w:rPr>
          <w:rFonts w:ascii="仿宋_GB2312" w:eastAsia="仿宋_GB2312"/>
          <w:sz w:val="32"/>
          <w:szCs w:val="32"/>
        </w:rPr>
      </w:pPr>
      <w:r>
        <w:rPr>
          <w:rFonts w:ascii="楷体" w:eastAsia="楷体" w:hAnsi="楷体"/>
          <w:b/>
          <w:sz w:val="32"/>
          <w:szCs w:val="32"/>
        </w:rPr>
        <w:t>（二）存在的问题及原因分析</w:t>
      </w:r>
    </w:p>
    <w:p w:rsidR="00895FC3" w:rsidRDefault="0072215A" w:rsidP="00786B02">
      <w:pPr>
        <w:spacing w:line="560" w:lineRule="exact"/>
        <w:ind w:leftChars="50" w:left="105" w:firstLineChars="200" w:firstLine="640"/>
        <w:rPr>
          <w:rFonts w:ascii="仿宋_GB2312" w:eastAsia="仿宋_GB2312"/>
          <w:sz w:val="32"/>
          <w:szCs w:val="32"/>
        </w:rPr>
      </w:pPr>
      <w:r>
        <w:rPr>
          <w:rFonts w:ascii="仿宋_GB2312" w:eastAsia="仿宋_GB2312" w:hAnsi="仿宋_GB2312" w:cs="仿宋_GB2312" w:hint="eastAsia"/>
          <w:sz w:val="32"/>
        </w:rPr>
        <w:t>1.</w:t>
      </w:r>
      <w:r>
        <w:rPr>
          <w:rFonts w:ascii="仿宋_GB2312" w:eastAsia="仿宋_GB2312" w:hAnsi="仿宋_GB2312" w:cs="仿宋_GB2312" w:hint="eastAsia"/>
          <w:sz w:val="32"/>
          <w:szCs w:val="32"/>
        </w:rPr>
        <w:t>部分项目决策支撑资料不充分，项目实施方案缺乏可操作性，控制作用不强。</w:t>
      </w:r>
      <w:r>
        <w:rPr>
          <w:rFonts w:ascii="仿宋_GB2312" w:eastAsia="仿宋_GB2312" w:hAnsi="仿宋_GB2312" w:cs="仿宋_GB2312" w:hint="eastAsia"/>
          <w:sz w:val="32"/>
        </w:rPr>
        <w:t>个别项目科学论证或调研不足，缺乏需求量等调查统计的数据支撑。</w:t>
      </w:r>
    </w:p>
    <w:p w:rsidR="00895FC3" w:rsidRDefault="0072215A" w:rsidP="00786B02">
      <w:pPr>
        <w:spacing w:line="560" w:lineRule="exact"/>
        <w:ind w:leftChars="50" w:left="105" w:firstLineChars="200" w:firstLine="640"/>
        <w:rPr>
          <w:rFonts w:ascii="仿宋_GB2312" w:eastAsia="仿宋_GB2312"/>
          <w:sz w:val="32"/>
          <w:szCs w:val="32"/>
        </w:rPr>
      </w:pPr>
      <w:r>
        <w:rPr>
          <w:rFonts w:ascii="仿宋_GB2312" w:eastAsia="仿宋_GB2312" w:hAnsi="仿宋_GB2312" w:cs="仿宋_GB2312" w:hint="eastAsia"/>
          <w:sz w:val="32"/>
        </w:rPr>
        <w:t>2.</w:t>
      </w:r>
      <w:r>
        <w:rPr>
          <w:rFonts w:ascii="仿宋_GB2312" w:eastAsia="仿宋_GB2312" w:hAnsi="仿宋_GB2312" w:cs="仿宋_GB2312" w:hint="eastAsia"/>
          <w:sz w:val="32"/>
          <w:szCs w:val="32"/>
        </w:rPr>
        <w:t>部门整体绩效目标设定不够细化，从部门绩效目标分解到数量指标、质量指标、效果指标的对应性不足。部分项目绩效指标设定应进一步细化，保障各绩效指标相互关联且易于衡量。应注重项目绩效指标与单位年度总体工作计划、行业中长期规划等保持紧密联系。部分项目绩效指标未准确设置预算绩效目标及指标权重，缺少可衡量性和可比性。</w:t>
      </w:r>
    </w:p>
    <w:p w:rsidR="00895FC3" w:rsidRDefault="0072215A" w:rsidP="00786B02">
      <w:pPr>
        <w:spacing w:line="560" w:lineRule="exact"/>
        <w:ind w:leftChars="50" w:left="105"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3.部分项目实施效果对应的效益资料归集不够全面，项目过程资料留痕不足，部分项目未进行满意度调查，绩效信息不完整，不能充分体现项目实施效果和项目满意度水平</w:t>
      </w:r>
    </w:p>
    <w:p w:rsidR="00895FC3" w:rsidRDefault="0072215A" w:rsidP="00786B02">
      <w:pPr>
        <w:spacing w:line="560" w:lineRule="exact"/>
        <w:ind w:leftChars="50" w:left="105" w:firstLineChars="200" w:firstLine="640"/>
        <w:rPr>
          <w:rFonts w:ascii="仿宋_GB2312" w:eastAsia="仿宋_GB2312"/>
          <w:sz w:val="32"/>
          <w:szCs w:val="32"/>
        </w:rPr>
      </w:pPr>
      <w:r>
        <w:rPr>
          <w:rFonts w:ascii="黑体" w:eastAsia="黑体" w:hAnsi="黑体" w:cs="宋体" w:hint="eastAsia"/>
          <w:color w:val="000000"/>
          <w:kern w:val="0"/>
          <w:sz w:val="32"/>
          <w:szCs w:val="32"/>
        </w:rPr>
        <w:t>六、措施建议</w:t>
      </w:r>
    </w:p>
    <w:p w:rsidR="00895FC3" w:rsidRDefault="0072215A" w:rsidP="00786B02">
      <w:pPr>
        <w:spacing w:line="560" w:lineRule="exact"/>
        <w:ind w:leftChars="50" w:left="105" w:firstLineChars="200" w:firstLine="640"/>
        <w:rPr>
          <w:rFonts w:ascii="仿宋_GB2312" w:eastAsia="仿宋_GB2312"/>
          <w:sz w:val="32"/>
          <w:szCs w:val="32"/>
        </w:rPr>
      </w:pPr>
      <w:r>
        <w:rPr>
          <w:rFonts w:ascii="仿宋_GB2312" w:eastAsia="仿宋_GB2312" w:hAnsi="仿宋_GB2312" w:cs="仿宋_GB2312" w:hint="eastAsia"/>
          <w:sz w:val="32"/>
          <w:szCs w:val="32"/>
        </w:rPr>
        <w:t>加强项目前期调研和需求论证，常规性项目，结合以前年度项目执行情况、绩效情况，制定年度需求与目标。项目资金的预算应建立在充分的论证分析基础上，强化部门预算约束，平衡好预算执行进度，提高财政资金使用效率和效益。</w:t>
      </w:r>
    </w:p>
    <w:p w:rsidR="00895FC3" w:rsidRDefault="0072215A" w:rsidP="00786B02">
      <w:pPr>
        <w:spacing w:line="560" w:lineRule="exact"/>
        <w:ind w:leftChars="50" w:left="105" w:firstLineChars="200" w:firstLine="640"/>
        <w:rPr>
          <w:rFonts w:ascii="仿宋_GB2312" w:eastAsia="仿宋_GB2312"/>
          <w:sz w:val="32"/>
          <w:szCs w:val="32"/>
        </w:rPr>
      </w:pPr>
      <w:r>
        <w:rPr>
          <w:rFonts w:ascii="仿宋_GB2312" w:eastAsia="仿宋_GB2312" w:hAnsi="仿宋_GB2312" w:cs="仿宋_GB2312" w:hint="eastAsia"/>
          <w:sz w:val="32"/>
          <w:szCs w:val="32"/>
        </w:rPr>
        <w:t>健全完善项目实施方案和管理制度。结合项目历年实施情况或预期计划，制定切实可行的实施方案和完善项目管理制度，明确项目管理各项要素，合理安排进度计划，增强对</w:t>
      </w:r>
      <w:r>
        <w:rPr>
          <w:rFonts w:ascii="仿宋_GB2312" w:eastAsia="仿宋_GB2312" w:hAnsi="仿宋_GB2312" w:cs="仿宋_GB2312" w:hint="eastAsia"/>
          <w:sz w:val="32"/>
          <w:szCs w:val="32"/>
        </w:rPr>
        <w:lastRenderedPageBreak/>
        <w:t>项目实施的指导和约束作用，加强项目实施过程控制及监督管理。</w:t>
      </w:r>
    </w:p>
    <w:p w:rsidR="00895FC3" w:rsidRDefault="0072215A" w:rsidP="00786B02">
      <w:pPr>
        <w:spacing w:line="560" w:lineRule="exact"/>
        <w:ind w:leftChars="50" w:left="105"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进一步</w:t>
      </w:r>
      <w:r>
        <w:rPr>
          <w:rFonts w:ascii="仿宋_GB2312" w:eastAsia="仿宋_GB2312" w:hAnsi="仿宋_GB2312" w:hint="eastAsia"/>
          <w:snapToGrid w:val="0"/>
          <w:sz w:val="32"/>
          <w:szCs w:val="32"/>
        </w:rPr>
        <w:t>提升预算绩效管理意识，</w:t>
      </w:r>
      <w:r>
        <w:rPr>
          <w:rFonts w:ascii="仿宋_GB2312" w:eastAsia="仿宋_GB2312" w:hAnsi="仿宋_GB2312" w:cs="仿宋_GB2312" w:hint="eastAsia"/>
          <w:sz w:val="32"/>
          <w:szCs w:val="32"/>
        </w:rPr>
        <w:t>完善绩效目标指标体系设定的完整性和合理性，</w:t>
      </w:r>
      <w:r>
        <w:rPr>
          <w:rFonts w:ascii="仿宋_GB2312" w:eastAsia="仿宋_GB2312" w:hAnsi="仿宋_GB2312" w:cs="仿宋_GB2312" w:hint="eastAsia"/>
          <w:kern w:val="0"/>
          <w:sz w:val="32"/>
          <w:szCs w:val="32"/>
        </w:rPr>
        <w:t>充分考虑年度不确定因素，结合往年实际情况设置绩效目标，或根据项目完成情况在每年年中进行调整，说明调整原因，保障绩效目标合理可行</w:t>
      </w:r>
      <w:r w:rsidR="00895FC3">
        <w:rPr>
          <w:rFonts w:ascii="仿宋_GB2312" w:eastAsia="仿宋_GB2312" w:hAnsi="仿宋_GB2312" w:cs="仿宋_GB2312" w:hint="eastAsia"/>
          <w:kern w:val="0"/>
          <w:sz w:val="32"/>
          <w:szCs w:val="32"/>
        </w:rPr>
        <w:t>。</w:t>
      </w:r>
    </w:p>
    <w:p w:rsidR="00895FC3" w:rsidRDefault="0072215A" w:rsidP="00786B02">
      <w:pPr>
        <w:spacing w:line="560" w:lineRule="exact"/>
        <w:ind w:leftChars="50" w:left="105" w:firstLineChars="200" w:firstLine="640"/>
        <w:rPr>
          <w:rFonts w:ascii="仿宋_GB2312" w:eastAsia="仿宋_GB2312"/>
          <w:color w:val="000000"/>
          <w:kern w:val="0"/>
          <w:sz w:val="32"/>
          <w:szCs w:val="32"/>
        </w:rPr>
      </w:pPr>
      <w:r>
        <w:rPr>
          <w:rFonts w:ascii="仿宋_GB2312" w:eastAsia="仿宋_GB2312" w:hAnsi="仿宋_GB2312" w:cs="仿宋_GB2312" w:hint="eastAsia"/>
          <w:kern w:val="0"/>
          <w:sz w:val="32"/>
          <w:szCs w:val="32"/>
        </w:rPr>
        <w:t>注</w:t>
      </w:r>
      <w:r>
        <w:rPr>
          <w:rFonts w:ascii="仿宋_GB2312" w:eastAsia="仿宋_GB2312" w:hAnsi="仿宋_GB2312" w:cs="仿宋_GB2312" w:hint="eastAsia"/>
          <w:sz w:val="32"/>
          <w:szCs w:val="32"/>
        </w:rPr>
        <w:t>重项目效益资料收集，落实服务对象满意度调查，结合项目服务对象，选择适当的方式、方法，全面开展服务对象满意度调查及分析，充分反映项目服务对象满意度效果，全面客观地呈现财政资金的使用效益</w:t>
      </w:r>
      <w:r>
        <w:rPr>
          <w:rFonts w:ascii="仿宋_GB2312" w:eastAsia="仿宋_GB2312" w:hint="eastAsia"/>
          <w:color w:val="000000"/>
          <w:kern w:val="0"/>
          <w:sz w:val="32"/>
          <w:szCs w:val="32"/>
        </w:rPr>
        <w:t>。</w:t>
      </w:r>
    </w:p>
    <w:p w:rsidR="00895FC3" w:rsidRPr="00895FC3" w:rsidRDefault="0072215A" w:rsidP="00786B02">
      <w:pPr>
        <w:spacing w:line="560" w:lineRule="exact"/>
        <w:ind w:leftChars="50" w:left="105" w:firstLineChars="200" w:firstLine="640"/>
        <w:rPr>
          <w:rFonts w:ascii="黑体" w:eastAsia="黑体" w:hAnsi="黑体" w:cs="宋体"/>
          <w:color w:val="000000"/>
          <w:kern w:val="0"/>
          <w:sz w:val="32"/>
          <w:szCs w:val="32"/>
        </w:rPr>
      </w:pPr>
      <w:r w:rsidRPr="00895FC3">
        <w:rPr>
          <w:rFonts w:ascii="黑体" w:eastAsia="黑体" w:hAnsi="黑体" w:cs="宋体" w:hint="eastAsia"/>
          <w:color w:val="000000"/>
          <w:kern w:val="0"/>
          <w:sz w:val="32"/>
          <w:szCs w:val="32"/>
        </w:rPr>
        <w:t>七、附件</w:t>
      </w:r>
    </w:p>
    <w:p w:rsidR="00EB2C15" w:rsidRDefault="0072215A" w:rsidP="00786B02">
      <w:pPr>
        <w:spacing w:line="560" w:lineRule="exact"/>
        <w:ind w:leftChars="50" w:left="105" w:firstLineChars="200" w:firstLine="640"/>
        <w:rPr>
          <w:rFonts w:ascii="仿宋_GB2312" w:eastAsia="仿宋_GB2312"/>
          <w:sz w:val="32"/>
          <w:szCs w:val="32"/>
        </w:rPr>
      </w:pPr>
      <w:r>
        <w:rPr>
          <w:rFonts w:ascii="仿宋_GB2312" w:eastAsia="仿宋_GB2312" w:hint="eastAsia"/>
          <w:sz w:val="32"/>
          <w:szCs w:val="32"/>
        </w:rPr>
        <w:t>2024年部门整体绩效评价指标体系评分表</w:t>
      </w:r>
    </w:p>
    <w:p w:rsidR="00EB2C15" w:rsidRDefault="00EB2C15" w:rsidP="00786B02">
      <w:pPr>
        <w:spacing w:line="560" w:lineRule="exact"/>
        <w:sectPr w:rsidR="00EB2C15">
          <w:pgSz w:w="11906" w:h="16838"/>
          <w:pgMar w:top="1440" w:right="1800" w:bottom="1440" w:left="1800" w:header="851" w:footer="992" w:gutter="0"/>
          <w:cols w:space="425"/>
          <w:docGrid w:type="lines" w:linePitch="312"/>
        </w:sectPr>
      </w:pPr>
    </w:p>
    <w:p w:rsidR="00EB2C15" w:rsidRDefault="0072215A" w:rsidP="00786B02">
      <w:pPr>
        <w:spacing w:line="560" w:lineRule="exact"/>
        <w:jc w:val="left"/>
        <w:rPr>
          <w:rFonts w:ascii="方正黑体_GBK" w:eastAsia="方正黑体_GBK" w:hAnsi="方正黑体_GBK" w:cs="方正黑体_GBK"/>
          <w:sz w:val="32"/>
        </w:rPr>
      </w:pPr>
      <w:r>
        <w:rPr>
          <w:rFonts w:ascii="方正黑体_GBK" w:eastAsia="方正黑体_GBK" w:hAnsi="方正黑体_GBK" w:cs="方正黑体_GBK" w:hint="eastAsia"/>
          <w:sz w:val="32"/>
        </w:rPr>
        <w:lastRenderedPageBreak/>
        <w:t>附件</w:t>
      </w:r>
    </w:p>
    <w:tbl>
      <w:tblPr>
        <w:tblpPr w:leftFromText="180" w:rightFromText="180" w:vertAnchor="text" w:horzAnchor="page" w:tblpX="1120" w:tblpY="551"/>
        <w:tblOverlap w:val="never"/>
        <w:tblW w:w="5185" w:type="pct"/>
        <w:tblLayout w:type="fixed"/>
        <w:tblLook w:val="04A0"/>
      </w:tblPr>
      <w:tblGrid>
        <w:gridCol w:w="978"/>
        <w:gridCol w:w="635"/>
        <w:gridCol w:w="253"/>
        <w:gridCol w:w="1135"/>
        <w:gridCol w:w="1185"/>
        <w:gridCol w:w="1520"/>
        <w:gridCol w:w="832"/>
        <w:gridCol w:w="855"/>
        <w:gridCol w:w="3516"/>
        <w:gridCol w:w="3789"/>
      </w:tblGrid>
      <w:tr w:rsidR="00EB2C15" w:rsidTr="003851F4">
        <w:trPr>
          <w:trHeight w:val="499"/>
        </w:trPr>
        <w:tc>
          <w:tcPr>
            <w:tcW w:w="333" w:type="pct"/>
            <w:tcBorders>
              <w:top w:val="nil"/>
              <w:left w:val="nil"/>
              <w:bottom w:val="single" w:sz="4" w:space="0" w:color="auto"/>
              <w:right w:val="nil"/>
            </w:tcBorders>
            <w:shd w:val="clear" w:color="auto" w:fill="auto"/>
            <w:vAlign w:val="center"/>
          </w:tcPr>
          <w:p w:rsidR="00EB2C15" w:rsidRDefault="00EB2C15" w:rsidP="00786B02">
            <w:pPr>
              <w:pStyle w:val="a4"/>
              <w:spacing w:line="560" w:lineRule="exact"/>
              <w:ind w:firstLine="420"/>
              <w:jc w:val="center"/>
            </w:pPr>
          </w:p>
        </w:tc>
        <w:tc>
          <w:tcPr>
            <w:tcW w:w="4667" w:type="pct"/>
            <w:gridSpan w:val="9"/>
            <w:tcBorders>
              <w:top w:val="nil"/>
              <w:left w:val="nil"/>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方正小标宋简体" w:eastAsia="方正小标宋简体" w:hAnsi="宋体" w:cs="宋体"/>
                <w:color w:val="000000"/>
                <w:kern w:val="0"/>
                <w:sz w:val="44"/>
                <w:szCs w:val="44"/>
              </w:rPr>
            </w:pPr>
            <w:r>
              <w:rPr>
                <w:rFonts w:ascii="方正小标宋简体" w:eastAsia="方正小标宋简体" w:hAnsi="方正小标宋简体" w:cs="宋体" w:hint="eastAsia"/>
                <w:color w:val="000000"/>
                <w:kern w:val="0"/>
                <w:sz w:val="44"/>
                <w:szCs w:val="44"/>
              </w:rPr>
              <w:t>2024年部门整体绩效评价指标体系评分表</w:t>
            </w:r>
          </w:p>
        </w:tc>
      </w:tr>
      <w:tr w:rsidR="00EB2C15">
        <w:trPr>
          <w:trHeight w:val="470"/>
        </w:trPr>
        <w:tc>
          <w:tcPr>
            <w:tcW w:w="5000" w:type="pct"/>
            <w:gridSpan w:val="10"/>
            <w:tcBorders>
              <w:top w:val="single" w:sz="4" w:space="0" w:color="auto"/>
              <w:left w:val="single" w:sz="4" w:space="0" w:color="auto"/>
              <w:bottom w:val="single" w:sz="4" w:space="0" w:color="000000"/>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EB2C15" w:rsidTr="003851F4">
        <w:trPr>
          <w:trHeight w:val="66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21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二级指标</w:t>
            </w:r>
          </w:p>
        </w:tc>
        <w:tc>
          <w:tcPr>
            <w:tcW w:w="47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91"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9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EB2C15" w:rsidTr="003851F4">
        <w:trPr>
          <w:trHeight w:val="891"/>
        </w:trPr>
        <w:tc>
          <w:tcPr>
            <w:tcW w:w="333" w:type="pct"/>
            <w:vMerge w:val="restart"/>
            <w:tcBorders>
              <w:top w:val="nil"/>
              <w:left w:val="single" w:sz="4" w:space="0" w:color="auto"/>
              <w:bottom w:val="single" w:sz="4" w:space="0" w:color="000000"/>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21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资金</w:t>
            </w:r>
          </w:p>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总体</w:t>
            </w:r>
          </w:p>
        </w:tc>
        <w:tc>
          <w:tcPr>
            <w:tcW w:w="47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44,227.76</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43,376.47</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98.08%</w:t>
            </w:r>
          </w:p>
        </w:tc>
        <w:tc>
          <w:tcPr>
            <w:tcW w:w="283" w:type="pct"/>
            <w:vMerge w:val="restart"/>
            <w:tcBorders>
              <w:top w:val="nil"/>
              <w:left w:val="nil"/>
              <w:bottom w:val="single" w:sz="4" w:space="0" w:color="auto"/>
              <w:right w:val="single" w:sz="4" w:space="0" w:color="auto"/>
            </w:tcBorders>
            <w:shd w:val="clear" w:color="auto" w:fill="auto"/>
            <w:noWrap/>
            <w:vAlign w:val="center"/>
          </w:tcPr>
          <w:p w:rsidR="00EB2C15" w:rsidRDefault="00EB2C15" w:rsidP="00786B02">
            <w:pPr>
              <w:widowControl/>
              <w:spacing w:line="560" w:lineRule="exact"/>
              <w:jc w:val="center"/>
              <w:rPr>
                <w:rFonts w:ascii="宋体" w:hAnsi="宋体" w:cs="宋体"/>
                <w:color w:val="000000"/>
                <w:kern w:val="0"/>
                <w:sz w:val="20"/>
                <w:szCs w:val="20"/>
              </w:rPr>
            </w:pPr>
          </w:p>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291" w:type="pct"/>
            <w:vMerge w:val="restart"/>
            <w:tcBorders>
              <w:top w:val="nil"/>
              <w:left w:val="nil"/>
              <w:bottom w:val="single" w:sz="4" w:space="0" w:color="auto"/>
              <w:right w:val="single" w:sz="4" w:space="0" w:color="auto"/>
            </w:tcBorders>
            <w:shd w:val="clear" w:color="auto" w:fill="auto"/>
            <w:noWrap/>
            <w:vAlign w:val="center"/>
          </w:tcPr>
          <w:p w:rsidR="00EB2C15" w:rsidRDefault="00EB2C15" w:rsidP="00786B02">
            <w:pPr>
              <w:widowControl/>
              <w:spacing w:line="560" w:lineRule="exact"/>
              <w:jc w:val="center"/>
              <w:rPr>
                <w:rFonts w:ascii="宋体" w:hAnsi="宋体" w:cs="宋体"/>
                <w:color w:val="000000"/>
                <w:kern w:val="0"/>
                <w:sz w:val="20"/>
                <w:szCs w:val="20"/>
              </w:rPr>
            </w:pPr>
          </w:p>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19.62</w:t>
            </w:r>
          </w:p>
        </w:tc>
        <w:tc>
          <w:tcPr>
            <w:tcW w:w="1196" w:type="pct"/>
            <w:vMerge w:val="restar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289" w:type="pct"/>
            <w:vMerge w:val="restart"/>
            <w:tcBorders>
              <w:top w:val="nil"/>
              <w:left w:val="nil"/>
              <w:bottom w:val="single" w:sz="4" w:space="0" w:color="auto"/>
              <w:right w:val="single" w:sz="4" w:space="0" w:color="auto"/>
            </w:tcBorders>
            <w:shd w:val="clear" w:color="auto" w:fill="auto"/>
            <w:vAlign w:val="center"/>
          </w:tcPr>
          <w:p w:rsidR="00EB2C15" w:rsidRDefault="0072215A" w:rsidP="00786B02">
            <w:pPr>
              <w:pStyle w:val="ac"/>
              <w:widowControl/>
              <w:numPr>
                <w:ilvl w:val="0"/>
                <w:numId w:val="2"/>
              </w:numPr>
              <w:spacing w:line="560" w:lineRule="exact"/>
              <w:ind w:firstLineChars="0"/>
              <w:jc w:val="left"/>
              <w:rPr>
                <w:rFonts w:ascii="宋体" w:hAnsi="宋体" w:cs="宋体"/>
                <w:color w:val="000000"/>
                <w:kern w:val="0"/>
                <w:sz w:val="18"/>
                <w:szCs w:val="18"/>
              </w:rPr>
            </w:pPr>
            <w:r>
              <w:rPr>
                <w:rFonts w:ascii="宋体" w:hAnsi="宋体" w:cs="宋体" w:hint="eastAsia"/>
                <w:color w:val="000000"/>
                <w:kern w:val="0"/>
                <w:sz w:val="18"/>
                <w:szCs w:val="18"/>
              </w:rPr>
              <w:t>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w:t>
            </w:r>
            <w:r>
              <w:rPr>
                <w:rFonts w:ascii="宋体" w:hAnsi="宋体" w:cs="宋体" w:hint="eastAsia"/>
                <w:color w:val="000000"/>
                <w:kern w:val="0"/>
                <w:sz w:val="18"/>
                <w:szCs w:val="18"/>
              </w:rPr>
              <w:lastRenderedPageBreak/>
              <w:t>际值（B）—年度指标值（A））/年度指标值（A）*100%。若计算结果在200%-300%（含200%）区间，则按照该指标分值的10%扣分；计算结果在300%-500%（含300%）区间，则按照该指标分值的20%扣分；计算结果高于500%（含500%），则按照该指标分值的30%扣分。</w:t>
            </w:r>
          </w:p>
          <w:p w:rsidR="00EB2C15" w:rsidRDefault="00EB2C15" w:rsidP="00786B02">
            <w:pPr>
              <w:pStyle w:val="ac"/>
              <w:widowControl/>
              <w:spacing w:line="560" w:lineRule="exact"/>
              <w:ind w:left="360" w:firstLineChars="0" w:firstLine="0"/>
              <w:jc w:val="left"/>
              <w:rPr>
                <w:rFonts w:ascii="宋体" w:hAnsi="宋体" w:cs="宋体"/>
                <w:color w:val="000000"/>
                <w:kern w:val="0"/>
                <w:sz w:val="18"/>
                <w:szCs w:val="18"/>
              </w:rPr>
            </w:pPr>
          </w:p>
        </w:tc>
      </w:tr>
      <w:tr w:rsidR="00EB2C15" w:rsidTr="003851F4">
        <w:trPr>
          <w:trHeight w:val="957"/>
        </w:trPr>
        <w:tc>
          <w:tcPr>
            <w:tcW w:w="333" w:type="pct"/>
            <w:vMerge/>
            <w:tcBorders>
              <w:top w:val="nil"/>
              <w:left w:val="single" w:sz="4" w:space="0" w:color="auto"/>
              <w:bottom w:val="single" w:sz="4" w:space="0" w:color="000000"/>
              <w:right w:val="single" w:sz="4" w:space="0" w:color="auto"/>
            </w:tcBorders>
            <w:shd w:val="clear" w:color="auto" w:fill="auto"/>
            <w:vAlign w:val="center"/>
          </w:tcPr>
          <w:p w:rsidR="00EB2C15" w:rsidRDefault="00EB2C15" w:rsidP="00786B02">
            <w:pPr>
              <w:spacing w:line="560" w:lineRule="exact"/>
              <w:jc w:val="center"/>
            </w:pPr>
          </w:p>
        </w:tc>
        <w:tc>
          <w:tcPr>
            <w:tcW w:w="216" w:type="pct"/>
            <w:tcBorders>
              <w:top w:val="single" w:sz="4" w:space="0" w:color="auto"/>
              <w:left w:val="nil"/>
              <w:bottom w:val="single" w:sz="4" w:space="0" w:color="auto"/>
              <w:right w:val="nil"/>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基本</w:t>
            </w:r>
          </w:p>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支出</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33,670.14</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33,311.44</w:t>
            </w:r>
          </w:p>
        </w:tc>
        <w:tc>
          <w:tcPr>
            <w:tcW w:w="517" w:type="pct"/>
            <w:vMerge w:val="restar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83" w:type="pct"/>
            <w:vMerge/>
            <w:tcBorders>
              <w:top w:val="nil"/>
              <w:left w:val="nil"/>
              <w:bottom w:val="single" w:sz="4" w:space="0" w:color="auto"/>
              <w:right w:val="single" w:sz="4" w:space="0" w:color="auto"/>
            </w:tcBorders>
            <w:shd w:val="clear" w:color="auto" w:fill="auto"/>
            <w:noWrap/>
            <w:vAlign w:val="center"/>
          </w:tcPr>
          <w:p w:rsidR="00EB2C15" w:rsidRDefault="00EB2C15" w:rsidP="00786B02">
            <w:pPr>
              <w:spacing w:line="560" w:lineRule="exact"/>
              <w:jc w:val="center"/>
            </w:pPr>
          </w:p>
        </w:tc>
        <w:tc>
          <w:tcPr>
            <w:tcW w:w="291" w:type="pct"/>
            <w:vMerge/>
            <w:tcBorders>
              <w:top w:val="nil"/>
              <w:left w:val="nil"/>
              <w:bottom w:val="single" w:sz="4" w:space="0" w:color="auto"/>
              <w:right w:val="single" w:sz="4" w:space="0" w:color="auto"/>
            </w:tcBorders>
            <w:shd w:val="clear" w:color="auto" w:fill="auto"/>
            <w:noWrap/>
            <w:vAlign w:val="center"/>
          </w:tcPr>
          <w:p w:rsidR="00EB2C15" w:rsidRDefault="00EB2C15" w:rsidP="00786B02">
            <w:pPr>
              <w:spacing w:line="560" w:lineRule="exact"/>
              <w:jc w:val="center"/>
            </w:pPr>
          </w:p>
        </w:tc>
        <w:tc>
          <w:tcPr>
            <w:tcW w:w="1196"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1287"/>
        </w:trPr>
        <w:tc>
          <w:tcPr>
            <w:tcW w:w="333" w:type="pct"/>
            <w:vMerge/>
            <w:tcBorders>
              <w:top w:val="nil"/>
              <w:left w:val="single" w:sz="4" w:space="0" w:color="auto"/>
              <w:bottom w:val="single" w:sz="4" w:space="0" w:color="000000"/>
              <w:right w:val="single" w:sz="4" w:space="0" w:color="auto"/>
            </w:tcBorders>
            <w:shd w:val="clear" w:color="auto" w:fill="auto"/>
            <w:vAlign w:val="center"/>
          </w:tcPr>
          <w:p w:rsidR="00EB2C15" w:rsidRDefault="00EB2C15" w:rsidP="00786B02">
            <w:pPr>
              <w:spacing w:line="560" w:lineRule="exact"/>
              <w:jc w:val="center"/>
            </w:pPr>
          </w:p>
        </w:tc>
        <w:tc>
          <w:tcPr>
            <w:tcW w:w="216" w:type="pct"/>
            <w:tcBorders>
              <w:top w:val="single" w:sz="4" w:space="0" w:color="auto"/>
              <w:left w:val="nil"/>
              <w:bottom w:val="single" w:sz="4" w:space="0" w:color="auto"/>
              <w:right w:val="nil"/>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项目</w:t>
            </w:r>
          </w:p>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支出</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10,557.62</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10,065.03</w:t>
            </w:r>
          </w:p>
        </w:tc>
        <w:tc>
          <w:tcPr>
            <w:tcW w:w="517"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83" w:type="pct"/>
            <w:vMerge/>
            <w:tcBorders>
              <w:top w:val="nil"/>
              <w:left w:val="nil"/>
              <w:bottom w:val="single" w:sz="4" w:space="0" w:color="auto"/>
              <w:right w:val="single" w:sz="4" w:space="0" w:color="auto"/>
            </w:tcBorders>
            <w:shd w:val="clear" w:color="auto" w:fill="auto"/>
            <w:noWrap/>
            <w:vAlign w:val="center"/>
          </w:tcPr>
          <w:p w:rsidR="00EB2C15" w:rsidRDefault="00EB2C15" w:rsidP="00786B02">
            <w:pPr>
              <w:spacing w:line="560" w:lineRule="exact"/>
              <w:jc w:val="center"/>
            </w:pPr>
          </w:p>
        </w:tc>
        <w:tc>
          <w:tcPr>
            <w:tcW w:w="291" w:type="pct"/>
            <w:vMerge/>
            <w:tcBorders>
              <w:top w:val="nil"/>
              <w:left w:val="nil"/>
              <w:bottom w:val="single" w:sz="4" w:space="0" w:color="auto"/>
              <w:right w:val="single" w:sz="4" w:space="0" w:color="auto"/>
            </w:tcBorders>
            <w:shd w:val="clear" w:color="auto" w:fill="auto"/>
            <w:noWrap/>
            <w:vAlign w:val="center"/>
          </w:tcPr>
          <w:p w:rsidR="00EB2C15" w:rsidRDefault="00EB2C15" w:rsidP="00786B02">
            <w:pPr>
              <w:spacing w:line="560" w:lineRule="exact"/>
              <w:jc w:val="center"/>
            </w:pPr>
          </w:p>
        </w:tc>
        <w:tc>
          <w:tcPr>
            <w:tcW w:w="1196"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1276"/>
        </w:trPr>
        <w:tc>
          <w:tcPr>
            <w:tcW w:w="333" w:type="pct"/>
            <w:vMerge/>
            <w:tcBorders>
              <w:top w:val="nil"/>
              <w:left w:val="single" w:sz="4" w:space="0" w:color="auto"/>
              <w:bottom w:val="single" w:sz="4" w:space="0" w:color="000000"/>
              <w:right w:val="single" w:sz="4" w:space="0" w:color="auto"/>
            </w:tcBorders>
            <w:shd w:val="clear" w:color="auto" w:fill="auto"/>
            <w:vAlign w:val="center"/>
          </w:tcPr>
          <w:p w:rsidR="00EB2C15" w:rsidRDefault="00EB2C15" w:rsidP="00786B02">
            <w:pPr>
              <w:spacing w:line="560" w:lineRule="exact"/>
              <w:jc w:val="center"/>
            </w:pPr>
          </w:p>
        </w:tc>
        <w:tc>
          <w:tcPr>
            <w:tcW w:w="21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47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517"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83" w:type="pct"/>
            <w:vMerge/>
            <w:tcBorders>
              <w:top w:val="nil"/>
              <w:left w:val="nil"/>
              <w:bottom w:val="single" w:sz="4" w:space="0" w:color="auto"/>
              <w:right w:val="single" w:sz="4" w:space="0" w:color="auto"/>
            </w:tcBorders>
            <w:shd w:val="clear" w:color="auto" w:fill="auto"/>
            <w:noWrap/>
            <w:vAlign w:val="center"/>
          </w:tcPr>
          <w:p w:rsidR="00EB2C15" w:rsidRDefault="00EB2C15" w:rsidP="00786B02">
            <w:pPr>
              <w:spacing w:line="560" w:lineRule="exact"/>
              <w:jc w:val="center"/>
            </w:pPr>
          </w:p>
        </w:tc>
        <w:tc>
          <w:tcPr>
            <w:tcW w:w="291" w:type="pct"/>
            <w:vMerge/>
            <w:tcBorders>
              <w:top w:val="nil"/>
              <w:left w:val="nil"/>
              <w:bottom w:val="single" w:sz="4" w:space="0" w:color="auto"/>
              <w:right w:val="single" w:sz="4" w:space="0" w:color="auto"/>
            </w:tcBorders>
            <w:shd w:val="clear" w:color="auto" w:fill="auto"/>
            <w:noWrap/>
            <w:vAlign w:val="center"/>
          </w:tcPr>
          <w:p w:rsidR="00EB2C15" w:rsidRDefault="00EB2C15" w:rsidP="00786B02">
            <w:pPr>
              <w:spacing w:line="560" w:lineRule="exact"/>
              <w:jc w:val="center"/>
            </w:pPr>
          </w:p>
        </w:tc>
        <w:tc>
          <w:tcPr>
            <w:tcW w:w="1196"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trPr>
          <w:trHeight w:val="569"/>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二、</w:t>
            </w:r>
            <w:r>
              <w:rPr>
                <w:rFonts w:ascii="宋体" w:hAnsi="宋体" w:cs="宋体" w:hint="eastAsia"/>
                <w:color w:val="000000"/>
                <w:kern w:val="0"/>
                <w:sz w:val="20"/>
                <w:szCs w:val="20"/>
              </w:rPr>
              <w:t>整体绩效目标实现情况（60分）</w:t>
            </w:r>
          </w:p>
        </w:tc>
      </w:tr>
      <w:tr w:rsidR="00EB2C15" w:rsidTr="003851F4">
        <w:trPr>
          <w:trHeight w:val="499"/>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21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二级指标</w:t>
            </w:r>
          </w:p>
        </w:tc>
        <w:tc>
          <w:tcPr>
            <w:tcW w:w="47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三级指标</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91" w:type="pct"/>
            <w:tcBorders>
              <w:top w:val="single" w:sz="4" w:space="0" w:color="auto"/>
              <w:left w:val="single" w:sz="4" w:space="0" w:color="auto"/>
              <w:bottom w:val="single" w:sz="4" w:space="0" w:color="auto"/>
              <w:right w:val="nil"/>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96"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bCs/>
                <w:color w:val="000000"/>
                <w:kern w:val="0"/>
                <w:sz w:val="18"/>
                <w:szCs w:val="18"/>
              </w:rPr>
            </w:pPr>
            <w:r>
              <w:rPr>
                <w:rFonts w:ascii="宋体" w:hAnsi="宋体" w:cs="宋体" w:hint="eastAsia"/>
                <w:bCs/>
                <w:color w:val="000000"/>
                <w:kern w:val="0"/>
                <w:sz w:val="18"/>
                <w:szCs w:val="18"/>
              </w:rPr>
              <w:t>指标解释</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评分标准</w:t>
            </w:r>
          </w:p>
        </w:tc>
      </w:tr>
      <w:tr w:rsidR="00EB2C15" w:rsidTr="003851F4">
        <w:trPr>
          <w:trHeight w:val="1196"/>
        </w:trPr>
        <w:tc>
          <w:tcPr>
            <w:tcW w:w="333" w:type="pct"/>
            <w:vMerge w:val="restart"/>
            <w:tcBorders>
              <w:top w:val="nil"/>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整体绩效目标</w:t>
            </w:r>
            <w:r>
              <w:rPr>
                <w:rFonts w:ascii="宋体" w:hAnsi="宋体" w:cs="宋体" w:hint="eastAsia"/>
                <w:color w:val="000000"/>
                <w:kern w:val="0"/>
                <w:sz w:val="20"/>
                <w:szCs w:val="20"/>
              </w:rPr>
              <w:lastRenderedPageBreak/>
              <w:t>实现情况（60）</w:t>
            </w:r>
          </w:p>
        </w:tc>
        <w:tc>
          <w:tcPr>
            <w:tcW w:w="216" w:type="pct"/>
            <w:vMerge w:val="restart"/>
            <w:tcBorders>
              <w:top w:val="nil"/>
              <w:left w:val="nil"/>
              <w:right w:val="single" w:sz="4" w:space="0" w:color="auto"/>
            </w:tcBorders>
            <w:shd w:val="clear" w:color="auto" w:fill="auto"/>
            <w:vAlign w:val="center"/>
          </w:tcPr>
          <w:p w:rsidR="00EB2C15" w:rsidRDefault="00EB2C15" w:rsidP="00786B02">
            <w:pPr>
              <w:widowControl/>
              <w:spacing w:line="560" w:lineRule="exact"/>
              <w:jc w:val="center"/>
              <w:rPr>
                <w:rFonts w:ascii="宋体" w:hAnsi="宋体" w:cs="宋体"/>
                <w:color w:val="000000"/>
                <w:kern w:val="0"/>
                <w:sz w:val="20"/>
                <w:szCs w:val="20"/>
              </w:rPr>
            </w:pPr>
          </w:p>
          <w:p w:rsidR="00EB2C15" w:rsidRDefault="0072215A" w:rsidP="00786B02">
            <w:pPr>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产出</w:t>
            </w:r>
            <w:r>
              <w:rPr>
                <w:rFonts w:ascii="宋体" w:hAnsi="宋体" w:cs="宋体" w:hint="eastAsia"/>
                <w:color w:val="000000"/>
                <w:kern w:val="0"/>
                <w:sz w:val="20"/>
                <w:szCs w:val="20"/>
              </w:rPr>
              <w:lastRenderedPageBreak/>
              <w:t>（30）</w:t>
            </w:r>
          </w:p>
        </w:tc>
        <w:tc>
          <w:tcPr>
            <w:tcW w:w="47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全年结案量</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结案：100319</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结案：106922</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291" w:type="pct"/>
            <w:tcBorders>
              <w:top w:val="single" w:sz="4" w:space="0" w:color="auto"/>
              <w:left w:val="single" w:sz="4" w:space="0" w:color="auto"/>
              <w:bottom w:val="single" w:sz="4" w:space="0" w:color="auto"/>
              <w:right w:val="nil"/>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196" w:type="pct"/>
            <w:vMerge w:val="restart"/>
            <w:tcBorders>
              <w:top w:val="nil"/>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w:t>
            </w:r>
            <w:r>
              <w:rPr>
                <w:rFonts w:ascii="宋体" w:hAnsi="宋体" w:cs="宋体" w:hint="eastAsia"/>
                <w:color w:val="000000"/>
                <w:kern w:val="0"/>
                <w:sz w:val="18"/>
                <w:szCs w:val="18"/>
              </w:rPr>
              <w:lastRenderedPageBreak/>
              <w:t>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w:t>
            </w:r>
            <w:r>
              <w:rPr>
                <w:rFonts w:ascii="宋体" w:hAnsi="宋体" w:cs="宋体" w:hint="eastAsia"/>
                <w:color w:val="000000"/>
                <w:kern w:val="0"/>
                <w:sz w:val="18"/>
                <w:szCs w:val="18"/>
              </w:rPr>
              <w:lastRenderedPageBreak/>
              <w:t>额；②单位产出相对于市场同类产出的节约额；③部门公用经费的控制情况。</w:t>
            </w:r>
          </w:p>
        </w:tc>
        <w:tc>
          <w:tcPr>
            <w:tcW w:w="1289" w:type="pct"/>
            <w:vMerge w:val="restar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部门根据海淀法院情况自行确定并选择产出指标，合理确定各项指标权重。可量化的指标</w:t>
            </w:r>
            <w:r>
              <w:rPr>
                <w:rFonts w:ascii="宋体" w:hAnsi="宋体" w:cs="宋体" w:hint="eastAsia"/>
                <w:color w:val="000000"/>
                <w:kern w:val="0"/>
                <w:sz w:val="18"/>
                <w:szCs w:val="18"/>
              </w:rPr>
              <w:lastRenderedPageBreak/>
              <w:t>按照比率*单项指标分值即为该指标得分。如果不能定量评价，则以定性的方式进行自评。</w:t>
            </w:r>
          </w:p>
        </w:tc>
      </w:tr>
      <w:tr w:rsidR="00EB2C15" w:rsidTr="003851F4">
        <w:trPr>
          <w:trHeight w:val="1130"/>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nil"/>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员额法官人均办案工作量</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443.89</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473.1</w:t>
            </w:r>
            <w:r w:rsidR="007D00BB">
              <w:rPr>
                <w:rFonts w:ascii="宋体" w:hAnsi="宋体" w:cs="宋体" w:hint="eastAsia"/>
                <w:color w:val="000000"/>
                <w:kern w:val="0"/>
                <w:sz w:val="20"/>
                <w:szCs w:val="20"/>
              </w:rPr>
              <w:t>0</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196"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1258"/>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nil"/>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审判质效</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1:1.54</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1:1.41</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96"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975"/>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nil"/>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平均结案时间</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123.97</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123.6</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96"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975"/>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nil"/>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一审服判息诉率</w:t>
            </w:r>
          </w:p>
        </w:tc>
        <w:tc>
          <w:tcPr>
            <w:tcW w:w="403" w:type="pct"/>
            <w:tcBorders>
              <w:top w:val="nil"/>
              <w:left w:val="nil"/>
              <w:bottom w:val="single" w:sz="4" w:space="0" w:color="auto"/>
              <w:right w:val="single" w:sz="4" w:space="0" w:color="auto"/>
            </w:tcBorders>
            <w:shd w:val="clear" w:color="auto" w:fill="auto"/>
            <w:vAlign w:val="center"/>
          </w:tcPr>
          <w:p w:rsidR="00EB2C15" w:rsidRDefault="005D369F"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86.50%</w:t>
            </w:r>
          </w:p>
        </w:tc>
        <w:tc>
          <w:tcPr>
            <w:tcW w:w="517" w:type="pct"/>
            <w:tcBorders>
              <w:top w:val="nil"/>
              <w:left w:val="nil"/>
              <w:bottom w:val="single" w:sz="4" w:space="0" w:color="auto"/>
              <w:right w:val="single" w:sz="4" w:space="0" w:color="auto"/>
            </w:tcBorders>
            <w:shd w:val="clear" w:color="auto" w:fill="auto"/>
            <w:vAlign w:val="center"/>
          </w:tcPr>
          <w:p w:rsidR="00EB2C15" w:rsidRDefault="005D369F"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88.76</w:t>
            </w:r>
            <w:r w:rsidR="0072215A">
              <w:rPr>
                <w:rFonts w:ascii="宋体" w:hAnsi="宋体" w:cs="宋体" w:hint="eastAsia"/>
                <w:color w:val="000000"/>
                <w:kern w:val="0"/>
                <w:sz w:val="20"/>
                <w:szCs w:val="20"/>
              </w:rPr>
              <w:t>%</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96" w:type="pct"/>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975"/>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nil"/>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电子送达覆盖率</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65.00%</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70.10%</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96" w:type="pct"/>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975"/>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nil"/>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预算内额度</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44,227.76</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43,376.47</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3.92</w:t>
            </w:r>
          </w:p>
        </w:tc>
        <w:tc>
          <w:tcPr>
            <w:tcW w:w="1196" w:type="pct"/>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widowControl/>
              <w:spacing w:line="560" w:lineRule="exact"/>
              <w:jc w:val="left"/>
              <w:rPr>
                <w:rFonts w:ascii="宋体" w:hAnsi="宋体" w:cs="宋体"/>
                <w:color w:val="000000"/>
                <w:kern w:val="0"/>
                <w:sz w:val="18"/>
                <w:szCs w:val="18"/>
              </w:rPr>
            </w:pPr>
          </w:p>
        </w:tc>
        <w:tc>
          <w:tcPr>
            <w:tcW w:w="1289" w:type="pct"/>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675"/>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val="restart"/>
            <w:tcBorders>
              <w:top w:val="single" w:sz="4" w:space="0" w:color="auto"/>
              <w:left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保证首都经济运转和维护营商环境情况（文字描述）</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全力保障首都经济平稳运行，持续助力优化营商环境，增强</w:t>
            </w:r>
            <w:r>
              <w:rPr>
                <w:rFonts w:ascii="宋体" w:hAnsi="宋体" w:cs="宋体" w:hint="eastAsia"/>
                <w:color w:val="000000"/>
                <w:kern w:val="0"/>
                <w:sz w:val="20"/>
                <w:szCs w:val="20"/>
              </w:rPr>
              <w:lastRenderedPageBreak/>
              <w:t>服务保障的精细化和高效化水平。聚焦商事制度改革，积极营造法治化营商环境。</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着力营造法治化营商环境。缩短诉讼周期，适用小额诉讼程序审结商事案件5.15万件；</w:t>
            </w:r>
            <w:r>
              <w:rPr>
                <w:rFonts w:ascii="宋体" w:hAnsi="宋体" w:cs="宋体" w:hint="eastAsia"/>
                <w:color w:val="000000"/>
                <w:kern w:val="0"/>
                <w:sz w:val="20"/>
                <w:szCs w:val="20"/>
              </w:rPr>
              <w:lastRenderedPageBreak/>
              <w:t>深化“鉴定管理人”机制，探索以专家咨询意见解决专门性问题，相关工作机制获评最高法院司法技术“优秀工作成果类二等奖”。</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6</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196" w:type="pct"/>
            <w:vMerge w:val="restart"/>
            <w:tcBorders>
              <w:top w:val="nil"/>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w:t>
            </w:r>
            <w:r>
              <w:rPr>
                <w:rFonts w:ascii="宋体" w:hAnsi="宋体" w:cs="宋体" w:hint="eastAsia"/>
                <w:color w:val="000000"/>
                <w:kern w:val="0"/>
                <w:sz w:val="18"/>
                <w:szCs w:val="18"/>
              </w:rPr>
              <w:lastRenderedPageBreak/>
              <w:t>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289" w:type="pct"/>
            <w:vMerge w:val="restar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部门根据实际情况选择指标进行填写，并将其细化为相应的个性化指标。对于效益类指标可从受益对象瞄准度、受益广度和受益深度上进行设计分析。</w:t>
            </w:r>
          </w:p>
        </w:tc>
      </w:tr>
      <w:tr w:rsidR="00EB2C15" w:rsidTr="003851F4">
        <w:trPr>
          <w:trHeight w:val="630"/>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涉及营商环境（案件数）</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15577</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23222</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96"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690"/>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首都治安（案件数）</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2048</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2695</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291" w:type="pct"/>
            <w:tcBorders>
              <w:top w:val="single" w:sz="4" w:space="0" w:color="auto"/>
              <w:left w:val="single" w:sz="4" w:space="0" w:color="auto"/>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96"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675"/>
        </w:trPr>
        <w:tc>
          <w:tcPr>
            <w:tcW w:w="333" w:type="pct"/>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司法为民、公</w:t>
            </w:r>
            <w:r>
              <w:rPr>
                <w:rFonts w:ascii="宋体" w:hAnsi="宋体" w:cs="宋体" w:hint="eastAsia"/>
                <w:color w:val="000000"/>
                <w:kern w:val="0"/>
                <w:sz w:val="20"/>
                <w:szCs w:val="20"/>
              </w:rPr>
              <w:lastRenderedPageBreak/>
              <w:t>正司法情况（文字）</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发挥保障</w:t>
            </w:r>
            <w:r>
              <w:rPr>
                <w:rFonts w:ascii="宋体" w:hAnsi="宋体" w:cs="宋体" w:hint="eastAsia"/>
                <w:color w:val="000000"/>
                <w:kern w:val="0"/>
                <w:sz w:val="20"/>
                <w:szCs w:val="20"/>
              </w:rPr>
              <w:lastRenderedPageBreak/>
              <w:t>和改善民生职能作用，提升司法服务质效，大力推进解决执行难，加大普法力度。</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依法妥善办理</w:t>
            </w:r>
            <w:r>
              <w:rPr>
                <w:rFonts w:ascii="宋体" w:hAnsi="宋体" w:cs="宋体" w:hint="eastAsia"/>
                <w:color w:val="000000"/>
                <w:kern w:val="0"/>
                <w:sz w:val="20"/>
                <w:szCs w:val="20"/>
              </w:rPr>
              <w:lastRenderedPageBreak/>
              <w:t>民生案件，提升多元解纷和诉讼服务现代化水平；主动融入党建引领“大家商量着办”机制，加大12368热线、“人和海淀”平台接诉即办力度。四是以更优的质效彰显公平正义。</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6</w:t>
            </w:r>
          </w:p>
        </w:tc>
        <w:tc>
          <w:tcPr>
            <w:tcW w:w="291" w:type="pct"/>
            <w:tcBorders>
              <w:top w:val="nil"/>
              <w:left w:val="nil"/>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196" w:type="pct"/>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left"/>
            </w:pPr>
          </w:p>
        </w:tc>
        <w:tc>
          <w:tcPr>
            <w:tcW w:w="1289" w:type="pct"/>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rsidTr="003851F4">
        <w:trPr>
          <w:trHeight w:val="675"/>
        </w:trPr>
        <w:tc>
          <w:tcPr>
            <w:tcW w:w="333" w:type="pct"/>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216" w:type="pct"/>
            <w:vMerge/>
            <w:tcBorders>
              <w:left w:val="single" w:sz="4" w:space="0" w:color="auto"/>
              <w:bottom w:val="nil"/>
              <w:right w:val="single" w:sz="4" w:space="0" w:color="auto"/>
            </w:tcBorders>
            <w:shd w:val="clear" w:color="auto" w:fill="auto"/>
            <w:vAlign w:val="center"/>
          </w:tcPr>
          <w:p w:rsidR="00EB2C15" w:rsidRDefault="00EB2C15" w:rsidP="00786B02">
            <w:pPr>
              <w:spacing w:line="560" w:lineRule="exact"/>
              <w:jc w:val="center"/>
            </w:pPr>
          </w:p>
        </w:tc>
        <w:tc>
          <w:tcPr>
            <w:tcW w:w="472" w:type="pct"/>
            <w:gridSpan w:val="2"/>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群众满意度（文字）</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坚持以人民为中心，</w:t>
            </w:r>
            <w:r>
              <w:rPr>
                <w:rFonts w:ascii="宋体" w:hAnsi="宋体" w:cs="宋体" w:hint="eastAsia"/>
                <w:color w:val="000000"/>
                <w:kern w:val="0"/>
                <w:sz w:val="20"/>
                <w:szCs w:val="20"/>
              </w:rPr>
              <w:lastRenderedPageBreak/>
              <w:t>增强群众司法获得感和满意度</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守护群众美好生活。深化“为</w:t>
            </w:r>
            <w:r>
              <w:rPr>
                <w:rFonts w:ascii="宋体" w:hAnsi="宋体" w:cs="宋体" w:hint="eastAsia"/>
                <w:color w:val="000000"/>
                <w:kern w:val="0"/>
                <w:sz w:val="20"/>
                <w:szCs w:val="20"/>
              </w:rPr>
              <w:lastRenderedPageBreak/>
              <w:t>群众办实事”机制，在区不动产登记中心设立“法官工作站”，落实“十条举措”，推进无争议继承、离婚等涉房产登记事项的一站式办理机制。</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ind w:firstLineChars="150" w:firstLine="300"/>
              <w:rPr>
                <w:rFonts w:ascii="宋体" w:hAnsi="宋体" w:cs="宋体"/>
                <w:color w:val="000000"/>
                <w:kern w:val="0"/>
                <w:sz w:val="20"/>
                <w:szCs w:val="20"/>
              </w:rPr>
            </w:pPr>
            <w:r>
              <w:rPr>
                <w:rFonts w:ascii="宋体" w:hAnsi="宋体" w:cs="宋体" w:hint="eastAsia"/>
                <w:color w:val="000000"/>
                <w:kern w:val="0"/>
                <w:sz w:val="20"/>
                <w:szCs w:val="20"/>
              </w:rPr>
              <w:lastRenderedPageBreak/>
              <w:t>6</w:t>
            </w:r>
          </w:p>
        </w:tc>
        <w:tc>
          <w:tcPr>
            <w:tcW w:w="291" w:type="pct"/>
            <w:tcBorders>
              <w:top w:val="nil"/>
              <w:left w:val="nil"/>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196" w:type="pct"/>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widowControl/>
              <w:spacing w:line="560" w:lineRule="exact"/>
              <w:jc w:val="left"/>
              <w:rPr>
                <w:rFonts w:ascii="宋体" w:hAnsi="宋体" w:cs="宋体"/>
                <w:color w:val="000000"/>
                <w:kern w:val="0"/>
                <w:sz w:val="18"/>
                <w:szCs w:val="18"/>
              </w:rPr>
            </w:pPr>
          </w:p>
        </w:tc>
        <w:tc>
          <w:tcPr>
            <w:tcW w:w="1289" w:type="pct"/>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left"/>
            </w:pPr>
          </w:p>
        </w:tc>
      </w:tr>
      <w:tr w:rsidR="00EB2C15">
        <w:trPr>
          <w:trHeight w:val="699"/>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三、</w:t>
            </w:r>
            <w:r>
              <w:rPr>
                <w:rFonts w:ascii="宋体" w:hAnsi="宋体" w:cs="宋体" w:hint="eastAsia"/>
                <w:color w:val="000000"/>
                <w:kern w:val="0"/>
                <w:sz w:val="20"/>
                <w:szCs w:val="20"/>
              </w:rPr>
              <w:t>预算管理情况（20分）</w:t>
            </w:r>
          </w:p>
        </w:tc>
      </w:tr>
      <w:tr w:rsidR="00EB2C15" w:rsidTr="003851F4">
        <w:trPr>
          <w:trHeight w:val="702"/>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30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二级指标</w:t>
            </w:r>
          </w:p>
        </w:tc>
        <w:tc>
          <w:tcPr>
            <w:tcW w:w="38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三级指标</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91" w:type="pct"/>
            <w:tcBorders>
              <w:top w:val="single" w:sz="4" w:space="0" w:color="auto"/>
              <w:left w:val="nil"/>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96"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b/>
                <w:bCs/>
                <w:color w:val="000000"/>
                <w:kern w:val="0"/>
                <w:sz w:val="18"/>
                <w:szCs w:val="18"/>
              </w:rPr>
            </w:pPr>
            <w:r>
              <w:rPr>
                <w:rFonts w:ascii="宋体" w:hAnsi="宋体" w:cs="宋体" w:hint="eastAsia"/>
                <w:bCs/>
                <w:color w:val="000000"/>
                <w:kern w:val="0"/>
                <w:sz w:val="18"/>
                <w:szCs w:val="18"/>
              </w:rPr>
              <w:t>指标解释</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评分标准</w:t>
            </w:r>
          </w:p>
        </w:tc>
      </w:tr>
      <w:tr w:rsidR="00EB2C15" w:rsidTr="003851F4">
        <w:trPr>
          <w:trHeight w:val="1230"/>
        </w:trPr>
        <w:tc>
          <w:tcPr>
            <w:tcW w:w="333" w:type="pct"/>
            <w:vMerge w:val="restart"/>
            <w:tcBorders>
              <w:top w:val="nil"/>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预算管理情况（20）</w:t>
            </w:r>
          </w:p>
        </w:tc>
        <w:tc>
          <w:tcPr>
            <w:tcW w:w="302" w:type="pct"/>
            <w:gridSpan w:val="2"/>
            <w:vMerge w:val="restar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38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18"/>
                <w:szCs w:val="18"/>
              </w:rPr>
              <w:t>预算资金管理办法、绩效跟踪管理办法、资产管理办法等各项制度健全；部门内部财务管理制度完整、合规；会计核算制度完整、合规。</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制度健全</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91" w:type="pct"/>
            <w:tcBorders>
              <w:top w:val="single" w:sz="4" w:space="0" w:color="auto"/>
              <w:left w:val="nil"/>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0.5</w:t>
            </w:r>
          </w:p>
        </w:tc>
        <w:tc>
          <w:tcPr>
            <w:tcW w:w="1196"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EB2C15" w:rsidTr="003851F4">
        <w:trPr>
          <w:trHeight w:val="2220"/>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02" w:type="pct"/>
            <w:gridSpan w:val="2"/>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8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18"/>
                <w:szCs w:val="18"/>
              </w:rPr>
              <w:t>符合国家财经法规和财务管理制度规定以及有关专项资金管理办法的规定；资金的拨付有完整的审批程序和手续；项目的重大开支经过评估论证；符合部门预算</w:t>
            </w:r>
            <w:r>
              <w:rPr>
                <w:rFonts w:ascii="宋体" w:hAnsi="宋体" w:cs="宋体" w:hint="eastAsia"/>
                <w:color w:val="000000"/>
                <w:kern w:val="0"/>
                <w:sz w:val="18"/>
                <w:szCs w:val="18"/>
              </w:rPr>
              <w:lastRenderedPageBreak/>
              <w:t>批复的用途；无截留、挤占、挪用情况；资金使用符合政府采购的程序和流程；资金使用符合公务卡结算相关制度和规定。</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lastRenderedPageBreak/>
              <w:t>符合规定</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91" w:type="pct"/>
            <w:tcBorders>
              <w:top w:val="single" w:sz="4" w:space="0" w:color="auto"/>
              <w:left w:val="nil"/>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196"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EB2C15" w:rsidTr="003851F4">
        <w:trPr>
          <w:trHeight w:val="2389"/>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02" w:type="pct"/>
            <w:gridSpan w:val="2"/>
            <w:vMerge/>
            <w:tcBorders>
              <w:top w:val="nil"/>
              <w:left w:val="nil"/>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86"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40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18"/>
                <w:szCs w:val="18"/>
              </w:rPr>
              <w:t>基础数据信息和会计信息资料真实；基础数据信息和会计信息资料完整；基础数据信息和会计信息资料准确。</w:t>
            </w:r>
          </w:p>
        </w:tc>
        <w:tc>
          <w:tcPr>
            <w:tcW w:w="517"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资料真实</w:t>
            </w:r>
          </w:p>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完整准确</w:t>
            </w:r>
          </w:p>
        </w:tc>
        <w:tc>
          <w:tcPr>
            <w:tcW w:w="283" w:type="pct"/>
            <w:tcBorders>
              <w:top w:val="nil"/>
              <w:left w:val="nil"/>
              <w:bottom w:val="single" w:sz="4" w:space="0" w:color="auto"/>
              <w:right w:val="single" w:sz="4" w:space="0" w:color="auto"/>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91" w:type="pct"/>
            <w:tcBorders>
              <w:top w:val="nil"/>
              <w:left w:val="nil"/>
              <w:bottom w:val="single" w:sz="4" w:space="0" w:color="auto"/>
              <w:right w:val="nil"/>
            </w:tcBorders>
            <w:shd w:val="clear" w:color="auto" w:fill="auto"/>
            <w:noWrap/>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196" w:type="pct"/>
            <w:tcBorders>
              <w:top w:val="nil"/>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289"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EB2C15" w:rsidTr="003851F4">
        <w:trPr>
          <w:trHeight w:val="3415"/>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0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38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18"/>
                <w:szCs w:val="18"/>
              </w:rPr>
              <w:t>资产使用规范，不存在未经批准擅自出租、出借资产行为；资产处置规范，不存在未按要求进行报批或资产不公开处置行为；</w:t>
            </w:r>
            <w:r>
              <w:rPr>
                <w:rFonts w:ascii="宋体" w:hAnsi="宋体" w:cs="宋体" w:hint="eastAsia"/>
                <w:color w:val="000000"/>
                <w:kern w:val="0"/>
                <w:sz w:val="20"/>
                <w:szCs w:val="20"/>
              </w:rPr>
              <w:t>不</w:t>
            </w:r>
            <w:r>
              <w:rPr>
                <w:rFonts w:ascii="宋体" w:hAnsi="宋体" w:cs="宋体" w:hint="eastAsia"/>
                <w:color w:val="000000"/>
                <w:kern w:val="0"/>
                <w:sz w:val="18"/>
                <w:szCs w:val="18"/>
              </w:rPr>
              <w:t>存在因管理不当发生严重资</w:t>
            </w:r>
            <w:r>
              <w:rPr>
                <w:rFonts w:ascii="宋体" w:hAnsi="宋体" w:cs="宋体" w:hint="eastAsia"/>
                <w:color w:val="000000"/>
                <w:kern w:val="0"/>
                <w:sz w:val="18"/>
                <w:szCs w:val="18"/>
              </w:rPr>
              <w:lastRenderedPageBreak/>
              <w:t>产损失和丢失情况。</w:t>
            </w:r>
          </w:p>
        </w:tc>
        <w:tc>
          <w:tcPr>
            <w:tcW w:w="517" w:type="pct"/>
            <w:tcBorders>
              <w:top w:val="single" w:sz="4" w:space="0" w:color="auto"/>
              <w:left w:val="nil"/>
              <w:bottom w:val="single" w:sz="4" w:space="0" w:color="auto"/>
              <w:right w:val="single" w:sz="4" w:space="0" w:color="auto"/>
            </w:tcBorders>
            <w:shd w:val="clear" w:color="auto" w:fill="auto"/>
            <w:vAlign w:val="center"/>
          </w:tcPr>
          <w:p w:rsidR="00236456" w:rsidRDefault="0072215A" w:rsidP="00786B02">
            <w:pPr>
              <w:widowControl/>
              <w:spacing w:line="560" w:lineRule="exact"/>
              <w:jc w:val="center"/>
              <w:rPr>
                <w:rFonts w:ascii="宋体" w:hAnsi="宋体" w:cs="宋体"/>
                <w:color w:val="000000"/>
                <w:kern w:val="0"/>
                <w:sz w:val="18"/>
                <w:szCs w:val="18"/>
              </w:rPr>
            </w:pPr>
            <w:r>
              <w:rPr>
                <w:rFonts w:ascii="宋体" w:hAnsi="宋体" w:cs="宋体" w:hint="eastAsia"/>
                <w:color w:val="000000"/>
                <w:kern w:val="0"/>
                <w:sz w:val="18"/>
                <w:szCs w:val="18"/>
              </w:rPr>
              <w:lastRenderedPageBreak/>
              <w:t>资产使用规范</w:t>
            </w:r>
          </w:p>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18"/>
                <w:szCs w:val="18"/>
              </w:rPr>
              <w:t>资产处置规范</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19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EB2C15" w:rsidTr="003851F4">
        <w:trPr>
          <w:trHeight w:val="1750"/>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0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386"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40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18"/>
                <w:szCs w:val="18"/>
              </w:rPr>
              <w:t>及时对绩效信息进行汇总分析整理；对绩效目标偏离情况及时进行矫正。</w:t>
            </w:r>
          </w:p>
        </w:tc>
        <w:tc>
          <w:tcPr>
            <w:tcW w:w="517"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及时分析整理及时矫正</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single" w:sz="4" w:space="0" w:color="auto"/>
              <w:left w:val="nil"/>
              <w:bottom w:val="single" w:sz="4" w:space="0" w:color="auto"/>
              <w:right w:val="nil"/>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196"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EB2C15" w:rsidP="00786B02">
            <w:pPr>
              <w:pStyle w:val="ac"/>
              <w:widowControl/>
              <w:spacing w:line="560" w:lineRule="exact"/>
              <w:ind w:left="360" w:firstLineChars="0" w:firstLine="0"/>
              <w:jc w:val="left"/>
              <w:rPr>
                <w:rFonts w:ascii="宋体" w:hAnsi="宋体" w:cs="宋体"/>
                <w:color w:val="000000"/>
                <w:kern w:val="0"/>
                <w:sz w:val="18"/>
                <w:szCs w:val="18"/>
              </w:rPr>
            </w:pPr>
          </w:p>
          <w:p w:rsidR="00EB2C15" w:rsidRDefault="0072215A" w:rsidP="00786B02">
            <w:pPr>
              <w:widowControl/>
              <w:spacing w:line="560" w:lineRule="exact"/>
              <w:ind w:firstLine="360"/>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w:t>
            </w:r>
          </w:p>
          <w:p w:rsidR="00EB2C15" w:rsidRDefault="0072215A" w:rsidP="00786B02">
            <w:pPr>
              <w:pStyle w:val="ac"/>
              <w:widowControl/>
              <w:spacing w:line="560" w:lineRule="exact"/>
              <w:ind w:left="360" w:firstLineChars="0" w:firstLine="0"/>
              <w:jc w:val="left"/>
              <w:rPr>
                <w:rFonts w:ascii="宋体" w:hAnsi="宋体" w:cs="宋体"/>
                <w:color w:val="000000"/>
                <w:kern w:val="0"/>
                <w:sz w:val="18"/>
                <w:szCs w:val="18"/>
              </w:rPr>
            </w:pPr>
            <w:r>
              <w:rPr>
                <w:rFonts w:ascii="宋体" w:hAnsi="宋体" w:cs="宋体" w:hint="eastAsia"/>
                <w:color w:val="000000"/>
                <w:kern w:val="0"/>
                <w:sz w:val="18"/>
                <w:szCs w:val="18"/>
              </w:rPr>
              <w:t>②部门（单位）是否对绩效目标偏离情况及时进行矫正。每有一项不合格扣2分。</w:t>
            </w:r>
          </w:p>
          <w:p w:rsidR="00EB2C15" w:rsidRDefault="00EB2C15" w:rsidP="00786B02">
            <w:pPr>
              <w:widowControl/>
              <w:spacing w:line="560" w:lineRule="exact"/>
              <w:jc w:val="left"/>
              <w:rPr>
                <w:rFonts w:ascii="宋体" w:hAnsi="宋体" w:cs="宋体"/>
                <w:color w:val="000000"/>
                <w:kern w:val="0"/>
                <w:sz w:val="18"/>
                <w:szCs w:val="18"/>
              </w:rPr>
            </w:pPr>
          </w:p>
          <w:p w:rsidR="00EB2C15" w:rsidRDefault="00EB2C15" w:rsidP="00786B02">
            <w:pPr>
              <w:widowControl/>
              <w:spacing w:line="560" w:lineRule="exact"/>
              <w:jc w:val="left"/>
              <w:rPr>
                <w:rFonts w:ascii="宋体" w:hAnsi="宋体" w:cs="宋体"/>
                <w:color w:val="000000"/>
                <w:kern w:val="0"/>
                <w:sz w:val="18"/>
                <w:szCs w:val="18"/>
              </w:rPr>
            </w:pPr>
          </w:p>
        </w:tc>
      </w:tr>
      <w:tr w:rsidR="003851F4" w:rsidTr="003851F4">
        <w:trPr>
          <w:trHeight w:val="1750"/>
        </w:trPr>
        <w:tc>
          <w:tcPr>
            <w:tcW w:w="333" w:type="pct"/>
            <w:vMerge/>
            <w:tcBorders>
              <w:top w:val="nil"/>
              <w:left w:val="single" w:sz="4" w:space="0" w:color="auto"/>
              <w:bottom w:val="single" w:sz="4" w:space="0" w:color="auto"/>
              <w:right w:val="single" w:sz="4" w:space="0" w:color="auto"/>
            </w:tcBorders>
            <w:shd w:val="clear" w:color="auto" w:fill="auto"/>
            <w:vAlign w:val="center"/>
          </w:tcPr>
          <w:p w:rsidR="003851F4" w:rsidRDefault="003851F4" w:rsidP="00786B02">
            <w:pPr>
              <w:spacing w:line="560" w:lineRule="exact"/>
              <w:jc w:val="center"/>
            </w:pPr>
          </w:p>
        </w:tc>
        <w:tc>
          <w:tcPr>
            <w:tcW w:w="302" w:type="pct"/>
            <w:gridSpan w:val="2"/>
            <w:tcBorders>
              <w:top w:val="single" w:sz="4" w:space="0" w:color="auto"/>
              <w:left w:val="nil"/>
              <w:bottom w:val="single" w:sz="4" w:space="0" w:color="auto"/>
              <w:right w:val="single" w:sz="4" w:space="0" w:color="auto"/>
            </w:tcBorders>
            <w:shd w:val="clear" w:color="auto" w:fill="auto"/>
            <w:vAlign w:val="center"/>
          </w:tcPr>
          <w:p w:rsidR="003851F4" w:rsidRDefault="003851F4"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789" w:type="pct"/>
            <w:gridSpan w:val="2"/>
            <w:tcBorders>
              <w:top w:val="single" w:sz="4" w:space="0" w:color="auto"/>
              <w:left w:val="nil"/>
              <w:bottom w:val="single" w:sz="4" w:space="0" w:color="auto"/>
              <w:right w:val="single" w:sz="4" w:space="0" w:color="auto"/>
            </w:tcBorders>
            <w:shd w:val="clear" w:color="auto" w:fill="auto"/>
            <w:vAlign w:val="center"/>
          </w:tcPr>
          <w:p w:rsidR="003851F4" w:rsidRDefault="003851F4"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2023年</w:t>
            </w:r>
          </w:p>
        </w:tc>
        <w:tc>
          <w:tcPr>
            <w:tcW w:w="517" w:type="pct"/>
            <w:tcBorders>
              <w:top w:val="single" w:sz="4" w:space="0" w:color="auto"/>
              <w:left w:val="nil"/>
              <w:bottom w:val="single" w:sz="4" w:space="0" w:color="auto"/>
              <w:right w:val="single" w:sz="4" w:space="0" w:color="auto"/>
            </w:tcBorders>
            <w:shd w:val="clear" w:color="auto" w:fill="auto"/>
            <w:vAlign w:val="center"/>
          </w:tcPr>
          <w:p w:rsidR="003851F4" w:rsidRDefault="003851F4"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2024年</w:t>
            </w:r>
          </w:p>
        </w:tc>
        <w:tc>
          <w:tcPr>
            <w:tcW w:w="283" w:type="pct"/>
            <w:tcBorders>
              <w:top w:val="single" w:sz="4" w:space="0" w:color="auto"/>
              <w:left w:val="nil"/>
              <w:bottom w:val="single" w:sz="4" w:space="0" w:color="auto"/>
              <w:right w:val="single" w:sz="4" w:space="0" w:color="auto"/>
            </w:tcBorders>
            <w:shd w:val="clear" w:color="auto" w:fill="auto"/>
            <w:vAlign w:val="center"/>
          </w:tcPr>
          <w:p w:rsidR="003851F4" w:rsidRDefault="003851F4"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91" w:type="pct"/>
            <w:tcBorders>
              <w:top w:val="single" w:sz="4" w:space="0" w:color="auto"/>
              <w:left w:val="nil"/>
              <w:bottom w:val="single" w:sz="4" w:space="0" w:color="auto"/>
              <w:right w:val="nil"/>
            </w:tcBorders>
            <w:shd w:val="clear" w:color="auto" w:fill="auto"/>
            <w:vAlign w:val="center"/>
          </w:tcPr>
          <w:p w:rsidR="003851F4" w:rsidRDefault="003851F4"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96" w:type="pct"/>
            <w:tcBorders>
              <w:top w:val="single" w:sz="4" w:space="0" w:color="auto"/>
              <w:left w:val="single" w:sz="4" w:space="0" w:color="auto"/>
              <w:bottom w:val="single" w:sz="4" w:space="0" w:color="auto"/>
              <w:right w:val="single" w:sz="4" w:space="0" w:color="auto"/>
            </w:tcBorders>
            <w:shd w:val="clear" w:color="auto" w:fill="auto"/>
            <w:vAlign w:val="center"/>
          </w:tcPr>
          <w:p w:rsidR="003851F4" w:rsidRDefault="003851F4" w:rsidP="00786B02">
            <w:pPr>
              <w:widowControl/>
              <w:spacing w:line="560" w:lineRule="exact"/>
              <w:jc w:val="center"/>
              <w:rPr>
                <w:rFonts w:ascii="宋体" w:hAnsi="宋体" w:cs="宋体"/>
                <w:b/>
                <w:bCs/>
                <w:color w:val="000000"/>
                <w:kern w:val="0"/>
                <w:sz w:val="18"/>
                <w:szCs w:val="18"/>
              </w:rPr>
            </w:pPr>
            <w:r>
              <w:rPr>
                <w:rFonts w:ascii="宋体" w:hAnsi="宋体" w:cs="宋体" w:hint="eastAsia"/>
                <w:bCs/>
                <w:color w:val="000000"/>
                <w:kern w:val="0"/>
                <w:sz w:val="18"/>
                <w:szCs w:val="18"/>
              </w:rPr>
              <w:t>指标解释</w:t>
            </w:r>
          </w:p>
        </w:tc>
        <w:tc>
          <w:tcPr>
            <w:tcW w:w="1289" w:type="pct"/>
            <w:tcBorders>
              <w:top w:val="single" w:sz="4" w:space="0" w:color="auto"/>
              <w:left w:val="nil"/>
              <w:bottom w:val="single" w:sz="4" w:space="0" w:color="auto"/>
              <w:right w:val="single" w:sz="4" w:space="0" w:color="auto"/>
            </w:tcBorders>
            <w:shd w:val="clear" w:color="auto" w:fill="auto"/>
            <w:vAlign w:val="center"/>
          </w:tcPr>
          <w:p w:rsidR="003851F4" w:rsidRDefault="003851F4" w:rsidP="00786B02">
            <w:pPr>
              <w:widowControl/>
              <w:spacing w:line="560" w:lineRule="exact"/>
              <w:jc w:val="center"/>
              <w:rPr>
                <w:rFonts w:ascii="宋体" w:hAnsi="宋体" w:cs="宋体"/>
                <w:color w:val="000000"/>
                <w:kern w:val="0"/>
                <w:sz w:val="18"/>
                <w:szCs w:val="18"/>
              </w:rPr>
            </w:pPr>
            <w:r>
              <w:rPr>
                <w:rFonts w:ascii="宋体" w:hAnsi="宋体" w:cs="宋体" w:hint="eastAsia"/>
                <w:color w:val="000000"/>
                <w:kern w:val="0"/>
                <w:sz w:val="18"/>
                <w:szCs w:val="18"/>
              </w:rPr>
              <w:t>评分标准</w:t>
            </w:r>
          </w:p>
        </w:tc>
      </w:tr>
      <w:tr w:rsidR="00EB2C15" w:rsidTr="003851F4">
        <w:trPr>
          <w:trHeight w:val="1365"/>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7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3851F4" w:rsidP="00786B02">
            <w:pPr>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2.17%</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123525" w:rsidP="00786B02">
            <w:pPr>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1.92%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nil"/>
              <w:left w:val="nil"/>
              <w:bottom w:val="single" w:sz="4" w:space="0" w:color="auto"/>
              <w:right w:val="nil"/>
            </w:tcBorders>
            <w:shd w:val="clear" w:color="auto" w:fill="auto"/>
            <w:vAlign w:val="center"/>
          </w:tcPr>
          <w:p w:rsidR="00EB2C15" w:rsidRDefault="009732C9"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96"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结转结余总额：部门（单位）本年度的结转资金与结余资金之和。</w:t>
            </w:r>
          </w:p>
        </w:tc>
        <w:tc>
          <w:tcPr>
            <w:tcW w:w="1289"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EB2C15" w:rsidTr="003851F4">
        <w:trPr>
          <w:trHeight w:val="90"/>
        </w:trPr>
        <w:tc>
          <w:tcPr>
            <w:tcW w:w="333" w:type="pct"/>
            <w:vMerge/>
            <w:tcBorders>
              <w:top w:val="nil"/>
              <w:left w:val="single" w:sz="4" w:space="0" w:color="auto"/>
              <w:bottom w:val="single" w:sz="4" w:space="0" w:color="auto"/>
              <w:right w:val="single" w:sz="4" w:space="0" w:color="auto"/>
            </w:tcBorders>
            <w:shd w:val="clear" w:color="auto" w:fill="auto"/>
            <w:vAlign w:val="center"/>
          </w:tcPr>
          <w:p w:rsidR="00EB2C15" w:rsidRDefault="00EB2C15" w:rsidP="00786B02">
            <w:pPr>
              <w:spacing w:line="560" w:lineRule="exact"/>
              <w:jc w:val="center"/>
            </w:pPr>
          </w:p>
        </w:tc>
        <w:tc>
          <w:tcPr>
            <w:tcW w:w="302" w:type="pct"/>
            <w:gridSpan w:val="2"/>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789" w:type="pct"/>
            <w:gridSpan w:val="2"/>
            <w:tcBorders>
              <w:top w:val="single" w:sz="4" w:space="0" w:color="auto"/>
              <w:left w:val="nil"/>
              <w:bottom w:val="single" w:sz="4" w:space="0" w:color="auto"/>
              <w:right w:val="nil"/>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3.28%</w:t>
            </w:r>
          </w:p>
        </w:tc>
        <w:tc>
          <w:tcPr>
            <w:tcW w:w="283" w:type="pct"/>
            <w:tcBorders>
              <w:top w:val="single" w:sz="4" w:space="0" w:color="auto"/>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1" w:type="pct"/>
            <w:tcBorders>
              <w:top w:val="nil"/>
              <w:left w:val="nil"/>
              <w:bottom w:val="single" w:sz="4" w:space="0" w:color="auto"/>
              <w:right w:val="nil"/>
            </w:tcBorders>
            <w:shd w:val="clear" w:color="auto" w:fill="auto"/>
            <w:vAlign w:val="center"/>
          </w:tcPr>
          <w:p w:rsidR="00EB2C15" w:rsidRDefault="003B0E6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96" w:type="pct"/>
            <w:tcBorders>
              <w:top w:val="nil"/>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289"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EB2C15" w:rsidTr="003851F4">
        <w:trPr>
          <w:trHeight w:val="404"/>
        </w:trPr>
        <w:tc>
          <w:tcPr>
            <w:tcW w:w="194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83" w:type="pct"/>
            <w:tcBorders>
              <w:top w:val="nil"/>
              <w:left w:val="nil"/>
              <w:bottom w:val="single" w:sz="4" w:space="0" w:color="auto"/>
              <w:right w:val="single" w:sz="4" w:space="0" w:color="auto"/>
            </w:tcBorders>
            <w:shd w:val="clear" w:color="auto" w:fill="auto"/>
            <w:vAlign w:val="center"/>
          </w:tcPr>
          <w:p w:rsidR="00EB2C15" w:rsidRDefault="0072215A"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291" w:type="pct"/>
            <w:tcBorders>
              <w:top w:val="nil"/>
              <w:left w:val="nil"/>
              <w:bottom w:val="single" w:sz="4" w:space="0" w:color="auto"/>
              <w:right w:val="nil"/>
            </w:tcBorders>
            <w:shd w:val="clear" w:color="auto" w:fill="auto"/>
            <w:vAlign w:val="center"/>
          </w:tcPr>
          <w:p w:rsidR="00EB2C15" w:rsidRDefault="003A2401" w:rsidP="00786B02">
            <w:pPr>
              <w:widowControl/>
              <w:spacing w:line="560" w:lineRule="exact"/>
              <w:jc w:val="center"/>
              <w:rPr>
                <w:rFonts w:ascii="宋体" w:hAnsi="宋体" w:cs="宋体"/>
                <w:color w:val="000000"/>
                <w:kern w:val="0"/>
                <w:sz w:val="20"/>
                <w:szCs w:val="20"/>
              </w:rPr>
            </w:pPr>
            <w:r>
              <w:rPr>
                <w:rFonts w:ascii="宋体" w:hAnsi="宋体" w:cs="宋体" w:hint="eastAsia"/>
                <w:color w:val="000000"/>
                <w:kern w:val="0"/>
                <w:sz w:val="20"/>
                <w:szCs w:val="20"/>
              </w:rPr>
              <w:t>94.04</w:t>
            </w:r>
          </w:p>
        </w:tc>
        <w:tc>
          <w:tcPr>
            <w:tcW w:w="2485"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EB2C15" w:rsidRDefault="00EB2C15" w:rsidP="00786B02">
            <w:pPr>
              <w:widowControl/>
              <w:spacing w:line="560" w:lineRule="exact"/>
              <w:jc w:val="center"/>
              <w:rPr>
                <w:rFonts w:ascii="宋体" w:hAnsi="宋体" w:cs="宋体"/>
                <w:color w:val="000000"/>
                <w:kern w:val="0"/>
                <w:sz w:val="18"/>
                <w:szCs w:val="18"/>
              </w:rPr>
            </w:pPr>
          </w:p>
        </w:tc>
      </w:tr>
    </w:tbl>
    <w:p w:rsidR="00EB2C15" w:rsidRDefault="00EB2C15" w:rsidP="00786B02">
      <w:pPr>
        <w:spacing w:line="560" w:lineRule="exact"/>
      </w:pPr>
    </w:p>
    <w:sectPr w:rsidR="00EB2C15" w:rsidSect="00EB2C15">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B18" w:rsidRDefault="00990B18" w:rsidP="00FA2239">
      <w:r>
        <w:separator/>
      </w:r>
    </w:p>
  </w:endnote>
  <w:endnote w:type="continuationSeparator" w:id="1">
    <w:p w:rsidR="00990B18" w:rsidRDefault="00990B18" w:rsidP="00FA2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embedRegular r:id="rId1" w:subsetted="1" w:fontKey="{4D6C1465-8615-49A3-8BCF-8AC5EC9F4409}"/>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2" w:subsetted="1" w:fontKey="{6DE0958C-AE54-4CFF-9B4A-228E75BE60E5}"/>
  </w:font>
  <w:font w:name="方正小标宋简体">
    <w:altName w:val="方正舒体"/>
    <w:panose1 w:val="02000000000000000000"/>
    <w:charset w:val="86"/>
    <w:family w:val="auto"/>
    <w:pitch w:val="variable"/>
    <w:sig w:usb0="A00002BF" w:usb1="184F6CFA" w:usb2="00000012" w:usb3="00000000" w:csb0="00040001" w:csb1="00000000"/>
    <w:embedRegular r:id="rId3" w:subsetted="1" w:fontKey="{11F1C54E-5C6C-4C1A-BE3C-59F53A540C91}"/>
  </w:font>
  <w:font w:name="方正仿宋_GBK">
    <w:altName w:val="Arial Unicode MS"/>
    <w:charset w:val="86"/>
    <w:family w:val="auto"/>
    <w:pitch w:val="default"/>
    <w:sig w:usb0="00000000" w:usb1="08000000" w:usb2="00000000" w:usb3="00000000" w:csb0="00040000" w:csb1="00000000"/>
  </w:font>
  <w:font w:name="等线">
    <w:altName w:val="方正宋体S-超大字符集(SIP)"/>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embedRegular r:id="rId4" w:subsetted="1" w:fontKey="{5B1FEE66-35CB-4046-9178-5E9B2AB7B175}"/>
    <w:embedBold r:id="rId5" w:subsetted="1" w:fontKey="{8FF06576-556B-484F-A70D-7C5D427EC9D2}"/>
  </w:font>
  <w:font w:name="Droid Sans">
    <w:altName w:val="方正宋体S-超大字符集(SIP)"/>
    <w:charset w:val="00"/>
    <w:family w:val="auto"/>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embedRegular r:id="rId6" w:subsetted="1" w:fontKey="{A9F20B10-DF1B-49AF-8A00-0D8D1E4A8D89}"/>
    <w:embedBold r:id="rId7" w:subsetted="1" w:fontKey="{4D1FC1E5-272A-4BAC-BF7D-FFD01B67DA85}"/>
  </w:font>
  <w:font w:name="楷体_GB2312">
    <w:altName w:val="楷体"/>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default"/>
    <w:sig w:usb0="00000000" w:usb1="08000000" w:usb2="00000000" w:usb3="00000000" w:csb0="00040000" w:csb1="00000000"/>
    <w:embedRegular r:id="rId8" w:subsetted="1" w:fontKey="{6DB190DC-7F8E-47E7-A1EC-86629404ECAC}"/>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B18" w:rsidRDefault="00990B18" w:rsidP="00FA2239">
      <w:r>
        <w:separator/>
      </w:r>
    </w:p>
  </w:footnote>
  <w:footnote w:type="continuationSeparator" w:id="1">
    <w:p w:rsidR="00990B18" w:rsidRDefault="00990B18" w:rsidP="00FA22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C5D8A"/>
    <w:multiLevelType w:val="multilevel"/>
    <w:tmpl w:val="208C5D8A"/>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2C044404"/>
    <w:multiLevelType w:val="multilevel"/>
    <w:tmpl w:val="2C04440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44A8"/>
    <w:rsid w:val="000221A3"/>
    <w:rsid w:val="000370CC"/>
    <w:rsid w:val="00073FB2"/>
    <w:rsid w:val="000847FE"/>
    <w:rsid w:val="000E11AE"/>
    <w:rsid w:val="00123525"/>
    <w:rsid w:val="00171868"/>
    <w:rsid w:val="001C56B1"/>
    <w:rsid w:val="001E220D"/>
    <w:rsid w:val="00207C76"/>
    <w:rsid w:val="0022490A"/>
    <w:rsid w:val="00236456"/>
    <w:rsid w:val="00280FD2"/>
    <w:rsid w:val="002C12CF"/>
    <w:rsid w:val="002D5705"/>
    <w:rsid w:val="0030088D"/>
    <w:rsid w:val="00345CDA"/>
    <w:rsid w:val="00355BCF"/>
    <w:rsid w:val="003851F4"/>
    <w:rsid w:val="00391C6A"/>
    <w:rsid w:val="003A2401"/>
    <w:rsid w:val="003B0B6F"/>
    <w:rsid w:val="003B0E6A"/>
    <w:rsid w:val="003C1B0E"/>
    <w:rsid w:val="003E6EF7"/>
    <w:rsid w:val="00460B1E"/>
    <w:rsid w:val="004A2F0C"/>
    <w:rsid w:val="004B7D00"/>
    <w:rsid w:val="004F6233"/>
    <w:rsid w:val="00511663"/>
    <w:rsid w:val="00561D1A"/>
    <w:rsid w:val="005829D5"/>
    <w:rsid w:val="0059571D"/>
    <w:rsid w:val="005B3C5C"/>
    <w:rsid w:val="005C1534"/>
    <w:rsid w:val="005D369F"/>
    <w:rsid w:val="00642160"/>
    <w:rsid w:val="006566FB"/>
    <w:rsid w:val="00662BFB"/>
    <w:rsid w:val="006929D2"/>
    <w:rsid w:val="006E2B78"/>
    <w:rsid w:val="006F4CB9"/>
    <w:rsid w:val="00703A45"/>
    <w:rsid w:val="0072215A"/>
    <w:rsid w:val="00723C4F"/>
    <w:rsid w:val="00754125"/>
    <w:rsid w:val="007767B7"/>
    <w:rsid w:val="007852A2"/>
    <w:rsid w:val="00786B02"/>
    <w:rsid w:val="007D00BB"/>
    <w:rsid w:val="007F6B85"/>
    <w:rsid w:val="00816A35"/>
    <w:rsid w:val="00895FC3"/>
    <w:rsid w:val="008B5BBC"/>
    <w:rsid w:val="008C36EE"/>
    <w:rsid w:val="008E22AE"/>
    <w:rsid w:val="00951844"/>
    <w:rsid w:val="009732C9"/>
    <w:rsid w:val="009739A9"/>
    <w:rsid w:val="00990B18"/>
    <w:rsid w:val="009B3EA5"/>
    <w:rsid w:val="009F18F2"/>
    <w:rsid w:val="00A72F2E"/>
    <w:rsid w:val="00AA5267"/>
    <w:rsid w:val="00AA77B1"/>
    <w:rsid w:val="00AD47A5"/>
    <w:rsid w:val="00B23B91"/>
    <w:rsid w:val="00B34885"/>
    <w:rsid w:val="00B74140"/>
    <w:rsid w:val="00BE0589"/>
    <w:rsid w:val="00BF5738"/>
    <w:rsid w:val="00C00101"/>
    <w:rsid w:val="00C112C0"/>
    <w:rsid w:val="00CA2173"/>
    <w:rsid w:val="00CF3BD2"/>
    <w:rsid w:val="00D24189"/>
    <w:rsid w:val="00D74416"/>
    <w:rsid w:val="00DA7E1A"/>
    <w:rsid w:val="00E16767"/>
    <w:rsid w:val="00E22C29"/>
    <w:rsid w:val="00E31BC2"/>
    <w:rsid w:val="00E37AFD"/>
    <w:rsid w:val="00E42AC0"/>
    <w:rsid w:val="00E444A8"/>
    <w:rsid w:val="00E66034"/>
    <w:rsid w:val="00E950CB"/>
    <w:rsid w:val="00EA67F6"/>
    <w:rsid w:val="00EA79D1"/>
    <w:rsid w:val="00EB1284"/>
    <w:rsid w:val="00EB2C15"/>
    <w:rsid w:val="00EC562A"/>
    <w:rsid w:val="00EE6304"/>
    <w:rsid w:val="00EF23E4"/>
    <w:rsid w:val="00F635A1"/>
    <w:rsid w:val="00F90271"/>
    <w:rsid w:val="00F97B75"/>
    <w:rsid w:val="00FA2239"/>
    <w:rsid w:val="00FA4E59"/>
    <w:rsid w:val="00FA6B13"/>
    <w:rsid w:val="00FE1E12"/>
    <w:rsid w:val="00FF7110"/>
    <w:rsid w:val="15040747"/>
    <w:rsid w:val="15E81225"/>
    <w:rsid w:val="271F2C00"/>
    <w:rsid w:val="2ACC5169"/>
    <w:rsid w:val="3C295A5B"/>
    <w:rsid w:val="4E983FB7"/>
    <w:rsid w:val="753F54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9" w:semiHidden="0" w:uiPriority="0" w:unhideWhenUsed="0"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qFormat="1"/>
    <w:lsdException w:name="footer" w:qFormat="1"/>
    <w:lsdException w:name="caption" w:uiPriority="35" w:qFormat="1"/>
    <w:lsdException w:name="Title" w:semiHidden="0" w:unhideWhenUsed="0" w:qFormat="1"/>
    <w:lsdException w:name="Default Paragraph Font" w:uiPriority="1" w:qFormat="1"/>
    <w:lsdException w:name="Body Text" w:qFormat="1"/>
    <w:lsdException w:name="Body Text Indent" w:qFormat="1"/>
    <w:lsdException w:name="Subtitle" w:semiHidden="0" w:uiPriority="11" w:unhideWhenUsed="0" w:qFormat="1"/>
    <w:lsdException w:name="Body Text First Indent" w:semiHidden="0" w:qFormat="1"/>
    <w:lsdException w:name="Body Text First Indent 2"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B2C15"/>
    <w:pPr>
      <w:widowControl w:val="0"/>
      <w:jc w:val="both"/>
    </w:pPr>
    <w:rPr>
      <w:rFonts w:ascii="Calibri" w:eastAsia="宋体" w:hAnsi="Calibri" w:cs="Calibri"/>
      <w:kern w:val="2"/>
      <w:sz w:val="21"/>
      <w:szCs w:val="21"/>
    </w:rPr>
  </w:style>
  <w:style w:type="paragraph" w:styleId="1">
    <w:name w:val="heading 1"/>
    <w:basedOn w:val="a"/>
    <w:next w:val="a"/>
    <w:link w:val="1Char"/>
    <w:uiPriority w:val="99"/>
    <w:qFormat/>
    <w:rsid w:val="00EB2C15"/>
    <w:pPr>
      <w:spacing w:line="600" w:lineRule="exact"/>
      <w:ind w:firstLine="640"/>
      <w:outlineLvl w:val="0"/>
    </w:pPr>
    <w:rPr>
      <w:rFonts w:ascii="黑体" w:eastAsia="黑体" w:hAnsi="宋体" w:cs="宋体"/>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Char"/>
    <w:uiPriority w:val="99"/>
    <w:unhideWhenUsed/>
    <w:qFormat/>
    <w:rsid w:val="00EB2C15"/>
    <w:pPr>
      <w:spacing w:before="100" w:beforeAutospacing="1"/>
      <w:ind w:firstLineChars="200" w:firstLine="420"/>
    </w:pPr>
  </w:style>
  <w:style w:type="paragraph" w:styleId="a3">
    <w:name w:val="Body Text Indent"/>
    <w:basedOn w:val="a"/>
    <w:link w:val="Char"/>
    <w:uiPriority w:val="99"/>
    <w:semiHidden/>
    <w:unhideWhenUsed/>
    <w:qFormat/>
    <w:rsid w:val="00EB2C15"/>
    <w:pPr>
      <w:spacing w:after="120"/>
      <w:ind w:leftChars="200" w:left="420"/>
    </w:pPr>
  </w:style>
  <w:style w:type="paragraph" w:styleId="a4">
    <w:name w:val="Normal Indent"/>
    <w:basedOn w:val="a"/>
    <w:qFormat/>
    <w:rsid w:val="00EB2C15"/>
    <w:pPr>
      <w:ind w:firstLineChars="200" w:firstLine="200"/>
    </w:pPr>
    <w:rPr>
      <w:rFonts w:ascii="Times New Roman" w:hAnsi="Times New Roman" w:cs="Times New Roman"/>
      <w:szCs w:val="24"/>
    </w:rPr>
  </w:style>
  <w:style w:type="paragraph" w:styleId="a5">
    <w:name w:val="Body Text"/>
    <w:basedOn w:val="a"/>
    <w:link w:val="Char0"/>
    <w:uiPriority w:val="99"/>
    <w:semiHidden/>
    <w:unhideWhenUsed/>
    <w:qFormat/>
    <w:rsid w:val="00EB2C15"/>
    <w:pPr>
      <w:spacing w:after="120"/>
    </w:pPr>
  </w:style>
  <w:style w:type="paragraph" w:styleId="a6">
    <w:name w:val="footer"/>
    <w:basedOn w:val="a"/>
    <w:link w:val="Char1"/>
    <w:uiPriority w:val="99"/>
    <w:semiHidden/>
    <w:unhideWhenUsed/>
    <w:qFormat/>
    <w:rsid w:val="00EB2C15"/>
    <w:pPr>
      <w:tabs>
        <w:tab w:val="center" w:pos="4153"/>
        <w:tab w:val="right" w:pos="8306"/>
      </w:tabs>
      <w:snapToGrid w:val="0"/>
      <w:jc w:val="left"/>
    </w:pPr>
    <w:rPr>
      <w:sz w:val="18"/>
      <w:szCs w:val="18"/>
    </w:rPr>
  </w:style>
  <w:style w:type="paragraph" w:styleId="a7">
    <w:name w:val="header"/>
    <w:basedOn w:val="a"/>
    <w:link w:val="Char2"/>
    <w:uiPriority w:val="99"/>
    <w:semiHidden/>
    <w:unhideWhenUsed/>
    <w:qFormat/>
    <w:rsid w:val="00EB2C15"/>
    <w:pPr>
      <w:pBdr>
        <w:bottom w:val="single" w:sz="6" w:space="1" w:color="auto"/>
      </w:pBdr>
      <w:tabs>
        <w:tab w:val="center" w:pos="4153"/>
        <w:tab w:val="right" w:pos="8306"/>
      </w:tabs>
      <w:snapToGrid w:val="0"/>
      <w:jc w:val="center"/>
    </w:pPr>
    <w:rPr>
      <w:sz w:val="18"/>
      <w:szCs w:val="18"/>
    </w:rPr>
  </w:style>
  <w:style w:type="paragraph" w:styleId="9">
    <w:name w:val="index 9"/>
    <w:next w:val="a"/>
    <w:qFormat/>
    <w:rsid w:val="00EB2C15"/>
    <w:pPr>
      <w:widowControl w:val="0"/>
      <w:ind w:leftChars="1600" w:left="1600"/>
      <w:jc w:val="both"/>
    </w:pPr>
    <w:rPr>
      <w:rFonts w:ascii="Times New Roman" w:eastAsia="宋体" w:hAnsi="Times New Roman" w:cs="Times New Roman" w:hint="eastAsia"/>
      <w:kern w:val="2"/>
      <w:sz w:val="21"/>
    </w:rPr>
  </w:style>
  <w:style w:type="paragraph" w:styleId="a8">
    <w:name w:val="Normal (Web)"/>
    <w:basedOn w:val="a"/>
    <w:uiPriority w:val="99"/>
    <w:unhideWhenUsed/>
    <w:qFormat/>
    <w:rsid w:val="00EB2C15"/>
    <w:rPr>
      <w:sz w:val="24"/>
      <w:szCs w:val="24"/>
    </w:rPr>
  </w:style>
  <w:style w:type="paragraph" w:styleId="a9">
    <w:name w:val="Title"/>
    <w:basedOn w:val="a"/>
    <w:next w:val="a"/>
    <w:link w:val="Char3"/>
    <w:uiPriority w:val="99"/>
    <w:qFormat/>
    <w:rsid w:val="00EB2C15"/>
    <w:pPr>
      <w:spacing w:line="560" w:lineRule="exact"/>
      <w:jc w:val="center"/>
    </w:pPr>
    <w:rPr>
      <w:rFonts w:ascii="方正小标宋简体" w:eastAsia="方正小标宋简体" w:cs="宋体"/>
      <w:sz w:val="44"/>
      <w:szCs w:val="44"/>
    </w:rPr>
  </w:style>
  <w:style w:type="paragraph" w:styleId="aa">
    <w:name w:val="Body Text First Indent"/>
    <w:basedOn w:val="a"/>
    <w:link w:val="Char4"/>
    <w:uiPriority w:val="99"/>
    <w:unhideWhenUsed/>
    <w:qFormat/>
    <w:rsid w:val="00EB2C15"/>
    <w:pPr>
      <w:spacing w:before="100" w:beforeAutospacing="1" w:after="140" w:line="273" w:lineRule="auto"/>
      <w:ind w:firstLineChars="100" w:firstLine="420"/>
    </w:pPr>
    <w:rPr>
      <w:rFonts w:ascii="Times New Roman" w:hAnsi="Times New Roman" w:cs="Times New Roman"/>
    </w:rPr>
  </w:style>
  <w:style w:type="character" w:customStyle="1" w:styleId="1Char">
    <w:name w:val="标题 1 Char"/>
    <w:basedOn w:val="a0"/>
    <w:link w:val="1"/>
    <w:uiPriority w:val="99"/>
    <w:qFormat/>
    <w:rsid w:val="00EB2C15"/>
    <w:rPr>
      <w:rFonts w:ascii="黑体" w:eastAsia="黑体" w:hAnsi="宋体" w:cs="宋体"/>
      <w:color w:val="000000"/>
      <w:kern w:val="0"/>
      <w:szCs w:val="21"/>
    </w:rPr>
  </w:style>
  <w:style w:type="character" w:customStyle="1" w:styleId="Char">
    <w:name w:val="正文文本缩进 Char"/>
    <w:basedOn w:val="a0"/>
    <w:link w:val="a3"/>
    <w:uiPriority w:val="99"/>
    <w:semiHidden/>
    <w:qFormat/>
    <w:rsid w:val="00EB2C15"/>
    <w:rPr>
      <w:rFonts w:ascii="Calibri" w:eastAsia="宋体" w:hAnsi="Calibri" w:cs="Calibri"/>
      <w:szCs w:val="21"/>
    </w:rPr>
  </w:style>
  <w:style w:type="character" w:customStyle="1" w:styleId="2Char">
    <w:name w:val="正文首行缩进 2 Char"/>
    <w:basedOn w:val="Char"/>
    <w:link w:val="2"/>
    <w:uiPriority w:val="99"/>
    <w:qFormat/>
    <w:rsid w:val="00EB2C15"/>
  </w:style>
  <w:style w:type="paragraph" w:customStyle="1" w:styleId="ab">
    <w:name w:val="附件栏"/>
    <w:basedOn w:val="a"/>
    <w:qFormat/>
    <w:rsid w:val="00EB2C15"/>
    <w:pPr>
      <w:autoSpaceDE w:val="0"/>
      <w:autoSpaceDN w:val="0"/>
      <w:snapToGrid w:val="0"/>
      <w:spacing w:line="590" w:lineRule="atLeast"/>
      <w:ind w:firstLine="624"/>
    </w:pPr>
    <w:rPr>
      <w:rFonts w:eastAsia="方正仿宋_GBK"/>
      <w:kern w:val="0"/>
      <w:sz w:val="32"/>
      <w:szCs w:val="32"/>
    </w:rPr>
  </w:style>
  <w:style w:type="character" w:customStyle="1" w:styleId="Char3">
    <w:name w:val="标题 Char"/>
    <w:basedOn w:val="a0"/>
    <w:link w:val="a9"/>
    <w:uiPriority w:val="99"/>
    <w:qFormat/>
    <w:rsid w:val="00EB2C15"/>
    <w:rPr>
      <w:rFonts w:ascii="方正小标宋简体" w:eastAsia="方正小标宋简体" w:hAnsi="Calibri" w:cs="宋体"/>
      <w:sz w:val="44"/>
      <w:szCs w:val="44"/>
    </w:rPr>
  </w:style>
  <w:style w:type="paragraph" w:customStyle="1" w:styleId="msonospacing0">
    <w:name w:val="msonospacing"/>
    <w:basedOn w:val="a"/>
    <w:qFormat/>
    <w:rsid w:val="00EB2C15"/>
    <w:rPr>
      <w:rFonts w:cs="Times New Roman"/>
    </w:rPr>
  </w:style>
  <w:style w:type="character" w:customStyle="1" w:styleId="Char0">
    <w:name w:val="正文文本 Char"/>
    <w:basedOn w:val="a0"/>
    <w:link w:val="a5"/>
    <w:uiPriority w:val="99"/>
    <w:semiHidden/>
    <w:qFormat/>
    <w:rsid w:val="00EB2C15"/>
    <w:rPr>
      <w:rFonts w:ascii="Calibri" w:eastAsia="宋体" w:hAnsi="Calibri" w:cs="Calibri"/>
      <w:szCs w:val="21"/>
    </w:rPr>
  </w:style>
  <w:style w:type="character" w:customStyle="1" w:styleId="Char4">
    <w:name w:val="正文首行缩进 Char"/>
    <w:basedOn w:val="Char0"/>
    <w:link w:val="aa"/>
    <w:uiPriority w:val="99"/>
    <w:qFormat/>
    <w:rsid w:val="00EB2C15"/>
    <w:rPr>
      <w:rFonts w:ascii="Times New Roman" w:hAnsi="Times New Roman" w:cs="Times New Roman"/>
    </w:rPr>
  </w:style>
  <w:style w:type="character" w:customStyle="1" w:styleId="Char2">
    <w:name w:val="页眉 Char"/>
    <w:basedOn w:val="a0"/>
    <w:link w:val="a7"/>
    <w:uiPriority w:val="99"/>
    <w:semiHidden/>
    <w:qFormat/>
    <w:rsid w:val="00EB2C15"/>
    <w:rPr>
      <w:rFonts w:ascii="Calibri" w:eastAsia="宋体" w:hAnsi="Calibri" w:cs="Calibri"/>
      <w:sz w:val="18"/>
      <w:szCs w:val="18"/>
    </w:rPr>
  </w:style>
  <w:style w:type="character" w:customStyle="1" w:styleId="Char1">
    <w:name w:val="页脚 Char"/>
    <w:basedOn w:val="a0"/>
    <w:link w:val="a6"/>
    <w:uiPriority w:val="99"/>
    <w:semiHidden/>
    <w:qFormat/>
    <w:rsid w:val="00EB2C15"/>
    <w:rPr>
      <w:rFonts w:ascii="Calibri" w:eastAsia="宋体" w:hAnsi="Calibri" w:cs="Calibri"/>
      <w:sz w:val="18"/>
      <w:szCs w:val="18"/>
    </w:rPr>
  </w:style>
  <w:style w:type="paragraph" w:styleId="ac">
    <w:name w:val="List Paragraph"/>
    <w:basedOn w:val="a"/>
    <w:uiPriority w:val="99"/>
    <w:unhideWhenUsed/>
    <w:qFormat/>
    <w:rsid w:val="00EB2C15"/>
    <w:pPr>
      <w:ind w:firstLineChars="200" w:firstLine="420"/>
    </w:pPr>
    <w:rPr>
      <w:rFonts w:ascii="Times New Roman" w:hAnsi="Times New Roman" w:cs="Times New Roman"/>
      <w:szCs w:val="24"/>
    </w:rPr>
  </w:style>
  <w:style w:type="paragraph" w:customStyle="1" w:styleId="Ad">
    <w:name w:val="正文 A"/>
    <w:basedOn w:val="a"/>
    <w:rsid w:val="00CF3BD2"/>
    <w:rPr>
      <w:color w:val="000000"/>
    </w:rPr>
  </w:style>
  <w:style w:type="character" w:customStyle="1" w:styleId="16">
    <w:name w:val="16"/>
    <w:basedOn w:val="a0"/>
    <w:rsid w:val="005B3C5C"/>
    <w:rPr>
      <w:rFonts w:ascii="Times New Roman" w:eastAsia="宋体" w:hAnsi="Times New Roman" w:cs="Times New Roman" w:hint="default"/>
      <w:b/>
      <w:bCs/>
    </w:rPr>
  </w:style>
  <w:style w:type="paragraph" w:styleId="3">
    <w:name w:val="toc 3"/>
    <w:basedOn w:val="a"/>
    <w:next w:val="a"/>
    <w:autoRedefine/>
    <w:uiPriority w:val="99"/>
    <w:unhideWhenUsed/>
    <w:rsid w:val="00F635A1"/>
    <w:pPr>
      <w:spacing w:before="100" w:beforeAutospacing="1" w:after="100" w:afterAutospacing="1"/>
      <w:ind w:left="420"/>
    </w:pPr>
    <w:rPr>
      <w:rFonts w:ascii="等线" w:hAnsi="等线" w:cs="Times New Roman"/>
      <w:b/>
      <w:bCs/>
      <w:sz w:val="30"/>
      <w:szCs w:val="30"/>
    </w:rPr>
  </w:style>
</w:styles>
</file>

<file path=word/webSettings.xml><?xml version="1.0" encoding="utf-8"?>
<w:webSettings xmlns:r="http://schemas.openxmlformats.org/officeDocument/2006/relationships" xmlns:w="http://schemas.openxmlformats.org/wordprocessingml/2006/main">
  <w:divs>
    <w:div w:id="442769220">
      <w:bodyDiv w:val="1"/>
      <w:marLeft w:val="0"/>
      <w:marRight w:val="0"/>
      <w:marTop w:val="0"/>
      <w:marBottom w:val="0"/>
      <w:divBdr>
        <w:top w:val="none" w:sz="0" w:space="0" w:color="auto"/>
        <w:left w:val="none" w:sz="0" w:space="0" w:color="auto"/>
        <w:bottom w:val="none" w:sz="0" w:space="0" w:color="auto"/>
        <w:right w:val="none" w:sz="0" w:space="0" w:color="auto"/>
      </w:divBdr>
      <w:divsChild>
        <w:div w:id="799877765">
          <w:marLeft w:val="0"/>
          <w:marRight w:val="0"/>
          <w:marTop w:val="0"/>
          <w:marBottom w:val="0"/>
          <w:divBdr>
            <w:top w:val="none" w:sz="0" w:space="0" w:color="auto"/>
            <w:left w:val="none" w:sz="0" w:space="0" w:color="auto"/>
            <w:bottom w:val="none" w:sz="0" w:space="0" w:color="auto"/>
            <w:right w:val="none" w:sz="0" w:space="0" w:color="auto"/>
          </w:divBdr>
        </w:div>
        <w:div w:id="1289624066">
          <w:marLeft w:val="0"/>
          <w:marRight w:val="0"/>
          <w:marTop w:val="0"/>
          <w:marBottom w:val="0"/>
          <w:divBdr>
            <w:top w:val="none" w:sz="0" w:space="0" w:color="auto"/>
            <w:left w:val="none" w:sz="0" w:space="0" w:color="auto"/>
            <w:bottom w:val="none" w:sz="0" w:space="0" w:color="auto"/>
            <w:right w:val="none" w:sz="0" w:space="0" w:color="auto"/>
          </w:divBdr>
        </w:div>
      </w:divsChild>
    </w:div>
    <w:div w:id="461847657">
      <w:bodyDiv w:val="1"/>
      <w:marLeft w:val="0"/>
      <w:marRight w:val="0"/>
      <w:marTop w:val="0"/>
      <w:marBottom w:val="0"/>
      <w:divBdr>
        <w:top w:val="none" w:sz="0" w:space="0" w:color="auto"/>
        <w:left w:val="none" w:sz="0" w:space="0" w:color="auto"/>
        <w:bottom w:val="none" w:sz="0" w:space="0" w:color="auto"/>
        <w:right w:val="none" w:sz="0" w:space="0" w:color="auto"/>
      </w:divBdr>
    </w:div>
    <w:div w:id="478108761">
      <w:bodyDiv w:val="1"/>
      <w:marLeft w:val="0"/>
      <w:marRight w:val="0"/>
      <w:marTop w:val="0"/>
      <w:marBottom w:val="0"/>
      <w:divBdr>
        <w:top w:val="none" w:sz="0" w:space="0" w:color="auto"/>
        <w:left w:val="none" w:sz="0" w:space="0" w:color="auto"/>
        <w:bottom w:val="none" w:sz="0" w:space="0" w:color="auto"/>
        <w:right w:val="none" w:sz="0" w:space="0" w:color="auto"/>
      </w:divBdr>
    </w:div>
    <w:div w:id="481586304">
      <w:bodyDiv w:val="1"/>
      <w:marLeft w:val="0"/>
      <w:marRight w:val="0"/>
      <w:marTop w:val="0"/>
      <w:marBottom w:val="0"/>
      <w:divBdr>
        <w:top w:val="none" w:sz="0" w:space="0" w:color="auto"/>
        <w:left w:val="none" w:sz="0" w:space="0" w:color="auto"/>
        <w:bottom w:val="none" w:sz="0" w:space="0" w:color="auto"/>
        <w:right w:val="none" w:sz="0" w:space="0" w:color="auto"/>
      </w:divBdr>
    </w:div>
    <w:div w:id="565535903">
      <w:bodyDiv w:val="1"/>
      <w:marLeft w:val="0"/>
      <w:marRight w:val="0"/>
      <w:marTop w:val="0"/>
      <w:marBottom w:val="0"/>
      <w:divBdr>
        <w:top w:val="none" w:sz="0" w:space="0" w:color="auto"/>
        <w:left w:val="none" w:sz="0" w:space="0" w:color="auto"/>
        <w:bottom w:val="none" w:sz="0" w:space="0" w:color="auto"/>
        <w:right w:val="none" w:sz="0" w:space="0" w:color="auto"/>
      </w:divBdr>
    </w:div>
    <w:div w:id="1025710174">
      <w:bodyDiv w:val="1"/>
      <w:marLeft w:val="0"/>
      <w:marRight w:val="0"/>
      <w:marTop w:val="0"/>
      <w:marBottom w:val="0"/>
      <w:divBdr>
        <w:top w:val="none" w:sz="0" w:space="0" w:color="auto"/>
        <w:left w:val="none" w:sz="0" w:space="0" w:color="auto"/>
        <w:bottom w:val="none" w:sz="0" w:space="0" w:color="auto"/>
        <w:right w:val="none" w:sz="0" w:space="0" w:color="auto"/>
      </w:divBdr>
    </w:div>
    <w:div w:id="1549488439">
      <w:bodyDiv w:val="1"/>
      <w:marLeft w:val="0"/>
      <w:marRight w:val="0"/>
      <w:marTop w:val="0"/>
      <w:marBottom w:val="0"/>
      <w:divBdr>
        <w:top w:val="none" w:sz="0" w:space="0" w:color="auto"/>
        <w:left w:val="none" w:sz="0" w:space="0" w:color="auto"/>
        <w:bottom w:val="none" w:sz="0" w:space="0" w:color="auto"/>
        <w:right w:val="none" w:sz="0" w:space="0" w:color="auto"/>
      </w:divBdr>
    </w:div>
    <w:div w:id="1720322103">
      <w:bodyDiv w:val="1"/>
      <w:marLeft w:val="0"/>
      <w:marRight w:val="0"/>
      <w:marTop w:val="0"/>
      <w:marBottom w:val="0"/>
      <w:divBdr>
        <w:top w:val="none" w:sz="0" w:space="0" w:color="auto"/>
        <w:left w:val="none" w:sz="0" w:space="0" w:color="auto"/>
        <w:bottom w:val="none" w:sz="0" w:space="0" w:color="auto"/>
        <w:right w:val="none" w:sz="0" w:space="0" w:color="auto"/>
      </w:divBdr>
    </w:div>
    <w:div w:id="1782529678">
      <w:bodyDiv w:val="1"/>
      <w:marLeft w:val="0"/>
      <w:marRight w:val="0"/>
      <w:marTop w:val="0"/>
      <w:marBottom w:val="0"/>
      <w:divBdr>
        <w:top w:val="none" w:sz="0" w:space="0" w:color="auto"/>
        <w:left w:val="none" w:sz="0" w:space="0" w:color="auto"/>
        <w:bottom w:val="none" w:sz="0" w:space="0" w:color="auto"/>
        <w:right w:val="none" w:sz="0" w:space="0" w:color="auto"/>
      </w:divBdr>
    </w:div>
    <w:div w:id="1868369619">
      <w:bodyDiv w:val="1"/>
      <w:marLeft w:val="0"/>
      <w:marRight w:val="0"/>
      <w:marTop w:val="0"/>
      <w:marBottom w:val="0"/>
      <w:divBdr>
        <w:top w:val="none" w:sz="0" w:space="0" w:color="auto"/>
        <w:left w:val="none" w:sz="0" w:space="0" w:color="auto"/>
        <w:bottom w:val="none" w:sz="0" w:space="0" w:color="auto"/>
        <w:right w:val="none" w:sz="0" w:space="0" w:color="auto"/>
      </w:divBdr>
    </w:div>
    <w:div w:id="2106610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567E-B3E8-4E4C-970E-F31D32C9A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27</Pages>
  <Words>1491</Words>
  <Characters>8504</Characters>
  <Application>Microsoft Office Word</Application>
  <DocSecurity>0</DocSecurity>
  <Lines>70</Lines>
  <Paragraphs>19</Paragraphs>
  <ScaleCrop>false</ScaleCrop>
  <Company>Lenovo</Company>
  <LinksUpToDate>false</LinksUpToDate>
  <CharactersWithSpaces>9976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37</cp:revision>
  <cp:lastPrinted>2025-07-21T01:06:00Z</cp:lastPrinted>
  <dcterms:created xsi:type="dcterms:W3CDTF">2025-07-21T02:05:00Z</dcterms:created>
  <dcterms:modified xsi:type="dcterms:W3CDTF">2025-08-27T03:08:00Z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eyJoZGlkIjoiNTYyYThmZjFhOTM1MWE2YzdjZWI1Y2YwMGM2MjZhZWYiLCJ1c2VySWQiOiIxMTY3MDA2MTU1In0=</vt:lpwstr>
  </property>
  <property fmtid="{D5CDD505-2E9C-101B-9397-08002B2CF9AE}" pid="3" name="KSOProductBuildVer">
    <vt:lpwstr>2052-12.1.0.21171</vt:lpwstr>
  </property>
  <property fmtid="{D5CDD505-2E9C-101B-9397-08002B2CF9AE}" pid="4" name="ICV">
    <vt:lpwstr>0D9C64D0CA9D476CB2005BEE18C4E4F2_12</vt:lpwstr>
  </property>
</Properties>
</file>