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7777D">
      <w:pPr>
        <w:spacing w:line="300" w:lineRule="auto"/>
        <w:ind w:firstLine="0" w:firstLineChars="0"/>
        <w:jc w:val="center"/>
        <w:rPr>
          <w:rFonts w:ascii="华文中宋" w:hAnsi="华文中宋" w:eastAsia="华文中宋"/>
          <w:bCs/>
          <w:sz w:val="36"/>
          <w:szCs w:val="44"/>
        </w:rPr>
      </w:pPr>
      <w:bookmarkStart w:id="0" w:name="_Toc35588393"/>
      <w:bookmarkStart w:id="1" w:name="_Toc73095361"/>
      <w:bookmarkStart w:id="2" w:name="_Toc35588408"/>
      <w:r>
        <w:rPr>
          <w:rFonts w:hint="eastAsia" w:ascii="华文中宋" w:hAnsi="华文中宋" w:eastAsia="华文中宋"/>
          <w:bCs/>
          <w:sz w:val="36"/>
          <w:szCs w:val="44"/>
        </w:rPr>
        <w:t>北京市机关事务管理中心</w:t>
      </w:r>
    </w:p>
    <w:p w14:paraId="0CE28C13">
      <w:pPr>
        <w:spacing w:line="300" w:lineRule="auto"/>
        <w:ind w:firstLine="0" w:firstLineChars="0"/>
        <w:jc w:val="center"/>
        <w:rPr>
          <w:rFonts w:ascii="华文中宋" w:hAnsi="华文中宋" w:eastAsia="华文中宋"/>
          <w:bCs/>
          <w:sz w:val="36"/>
          <w:szCs w:val="44"/>
        </w:rPr>
      </w:pPr>
      <w:r>
        <w:rPr>
          <w:rFonts w:hint="eastAsia" w:ascii="华文中宋" w:hAnsi="华文中宋" w:eastAsia="华文中宋"/>
          <w:bCs/>
          <w:sz w:val="36"/>
          <w:szCs w:val="44"/>
        </w:rPr>
        <w:t>2024年六里桥办公区6、9号门门前广场维修提升</w:t>
      </w:r>
    </w:p>
    <w:p w14:paraId="0AAD1C61">
      <w:pPr>
        <w:spacing w:line="300" w:lineRule="auto"/>
        <w:ind w:firstLine="0" w:firstLineChars="0"/>
        <w:jc w:val="center"/>
        <w:rPr>
          <w:rFonts w:ascii="华文中宋" w:hAnsi="华文中宋" w:eastAsia="华文中宋"/>
          <w:szCs w:val="32"/>
        </w:rPr>
      </w:pPr>
      <w:r>
        <w:rPr>
          <w:rFonts w:hint="eastAsia" w:ascii="华文中宋" w:hAnsi="华文中宋" w:eastAsia="华文中宋"/>
          <w:bCs/>
          <w:sz w:val="36"/>
          <w:szCs w:val="44"/>
        </w:rPr>
        <w:t>项目支出绩效评价报告</w:t>
      </w:r>
    </w:p>
    <w:p w14:paraId="6E5A9ACB">
      <w:pPr>
        <w:ind w:firstLine="640"/>
        <w:rPr>
          <w:rFonts w:ascii="黑体" w:eastAsia="黑体"/>
          <w:szCs w:val="32"/>
        </w:rPr>
      </w:pPr>
    </w:p>
    <w:p w14:paraId="22348C61">
      <w:pPr>
        <w:ind w:firstLine="640"/>
        <w:outlineLvl w:val="0"/>
        <w:rPr>
          <w:rFonts w:ascii="黑体" w:eastAsia="黑体"/>
          <w:szCs w:val="32"/>
        </w:rPr>
      </w:pPr>
      <w:bookmarkStart w:id="3" w:name="_Toc5709"/>
      <w:r>
        <w:rPr>
          <w:rFonts w:hint="eastAsia" w:ascii="黑体" w:eastAsia="黑体"/>
          <w:szCs w:val="32"/>
        </w:rPr>
        <w:t>一、基本情况</w:t>
      </w:r>
      <w:bookmarkEnd w:id="0"/>
      <w:bookmarkEnd w:id="1"/>
      <w:bookmarkEnd w:id="3"/>
    </w:p>
    <w:p w14:paraId="03E64DD5">
      <w:pPr>
        <w:ind w:firstLine="640"/>
        <w:outlineLvl w:val="1"/>
        <w:rPr>
          <w:rFonts w:ascii="楷体_GB2312" w:eastAsia="楷体_GB2312"/>
          <w:szCs w:val="32"/>
        </w:rPr>
      </w:pPr>
      <w:bookmarkStart w:id="4" w:name="_Toc73095362"/>
      <w:bookmarkStart w:id="5" w:name="_Toc35588394"/>
      <w:bookmarkStart w:id="6" w:name="_Toc9922"/>
      <w:r>
        <w:rPr>
          <w:rFonts w:hint="eastAsia" w:ascii="楷体_GB2312" w:eastAsia="楷体_GB2312"/>
          <w:szCs w:val="32"/>
        </w:rPr>
        <w:t>（一）项目概况</w:t>
      </w:r>
      <w:bookmarkEnd w:id="4"/>
      <w:bookmarkEnd w:id="5"/>
      <w:bookmarkEnd w:id="6"/>
    </w:p>
    <w:p w14:paraId="1D1AC714">
      <w:pPr>
        <w:pStyle w:val="30"/>
        <w:outlineLvl w:val="2"/>
      </w:pPr>
      <w:bookmarkStart w:id="7" w:name="_Toc35588395"/>
      <w:bookmarkStart w:id="8" w:name="_Toc73095363"/>
      <w:r>
        <w:rPr>
          <w:rFonts w:hint="eastAsia"/>
        </w:rPr>
        <w:t>1.项目背景</w:t>
      </w:r>
      <w:bookmarkEnd w:id="7"/>
      <w:bookmarkEnd w:id="8"/>
    </w:p>
    <w:p w14:paraId="3A7E6D53">
      <w:pPr>
        <w:ind w:firstLine="640"/>
      </w:pPr>
      <w:r>
        <w:rPr>
          <w:rFonts w:hint="eastAsia" w:ascii="仿宋_GB2312" w:hAnsi="仿宋_GB2312" w:cs="仿宋_GB2312"/>
          <w:szCs w:val="32"/>
        </w:rPr>
        <w:t>2024年5月15日主持召开2024北京接诉即办改革论坛专题会，提出在六里桥办公区设置12345职场，并对北京市政务服务中心</w:t>
      </w:r>
      <w:r>
        <w:rPr>
          <w:rStyle w:val="38"/>
          <w:rFonts w:hint="eastAsia" w:ascii="仿宋_GB2312" w:hAnsi="仿宋_GB2312" w:cs="仿宋_GB2312"/>
          <w:szCs w:val="32"/>
        </w:rPr>
        <w:footnoteReference w:id="0"/>
      </w:r>
      <w:r>
        <w:rPr>
          <w:rFonts w:hint="eastAsia" w:ascii="仿宋_GB2312" w:hAnsi="仿宋_GB2312" w:cs="仿宋_GB2312"/>
          <w:szCs w:val="32"/>
        </w:rPr>
        <w:t>（以下简称“市政务服务中心”）进行整体提升改造；同时，</w:t>
      </w:r>
      <w:bookmarkStart w:id="63" w:name="_GoBack"/>
      <w:bookmarkEnd w:id="63"/>
      <w:r>
        <w:rPr>
          <w:rFonts w:hint="eastAsia" w:ascii="仿宋_GB2312" w:hAnsi="仿宋_GB2312" w:cs="仿宋_GB2312"/>
          <w:szCs w:val="32"/>
        </w:rPr>
        <w:t>提出“为便于接待大、中型检查、参观、调研活动，6、9号门门前广场需常态化停放不同车型车辆”。六里桥办公区于2015年10月正式投入使用，10年来6、9号门门前广场曾多次出现部分石材砖破损、地面塌陷、地下设备用房漏水等问题，但以往均采取抢修、消隐等局部维修措施，未做整体维修提升安排，经结构安全性评估、空洞探测、实例验证等发现，6、9号门门前广场地下土体存在空洞、脱空等病害18处，地砖存在破损、地砖厚度难以满足临时停放大型车辆的条件。基于上述情况，</w:t>
      </w:r>
      <w:r>
        <w:rPr>
          <w:rFonts w:hint="eastAsia"/>
        </w:rPr>
        <w:t>市机关事务管理中心本级申请设立2024年六里桥办公区6、9号门门前广场维修提升项目，旨在通过对破损部位石材拆除和恢复，以及病害、下陷部位处理等工作，配合做好市政务服务中心的整体改造提升工作，满足</w:t>
      </w:r>
      <w:r>
        <w:rPr>
          <w:rFonts w:hint="eastAsia" w:ascii="仿宋_GB2312" w:hAnsi="仿宋_GB2312" w:cs="仿宋_GB2312"/>
          <w:szCs w:val="32"/>
        </w:rPr>
        <w:t>2024北京接诉即办改革论坛以及其他大、中型检查、参观、调研活动需求。</w:t>
      </w:r>
    </w:p>
    <w:p w14:paraId="65EC73F9">
      <w:pPr>
        <w:pStyle w:val="30"/>
        <w:outlineLvl w:val="2"/>
      </w:pPr>
      <w:bookmarkStart w:id="9" w:name="_Toc35588396"/>
      <w:bookmarkStart w:id="10" w:name="_Toc73095364"/>
      <w:r>
        <w:t>2.项目主要内容</w:t>
      </w:r>
      <w:bookmarkEnd w:id="9"/>
      <w:r>
        <w:t>及实施情况</w:t>
      </w:r>
      <w:bookmarkEnd w:id="10"/>
    </w:p>
    <w:p w14:paraId="7657FD96">
      <w:pPr>
        <w:ind w:firstLine="640"/>
        <w:rPr>
          <w:rFonts w:ascii="仿宋_GB2312" w:hAnsi="仿宋_GB2312" w:cs="仿宋_GB2312"/>
          <w:szCs w:val="32"/>
        </w:rPr>
      </w:pPr>
      <w:r>
        <w:rPr>
          <w:rFonts w:hint="eastAsia" w:ascii="仿宋_GB2312" w:hAnsi="仿宋_GB2312" w:cs="仿宋_GB2312"/>
          <w:szCs w:val="32"/>
        </w:rPr>
        <w:t>该项目为一次性项目，2024年度项目计划完成内容为：一是处理6、9号门门前广场地下空洞18处；二是9号门广场石材更换为100mm厚</w:t>
      </w:r>
      <w:r>
        <w:rPr>
          <w:rFonts w:hint="eastAsia"/>
        </w:rPr>
        <w:t>花</w:t>
      </w:r>
      <w:r>
        <w:rPr>
          <w:rFonts w:hint="eastAsia" w:ascii="仿宋_GB2312" w:hAnsi="仿宋_GB2312" w:cs="仿宋_GB2312"/>
          <w:szCs w:val="32"/>
        </w:rPr>
        <w:t>岗岩地砖，对应面积为2000平方米；三是6号广场北侧消防车道更新为沥青路面，对应面积为400平方米；四是处理东地库出入口地面下沉及路障基础面层380平方米；五是6号门沥青道路安砌侧(平、缘）石133.6米。</w:t>
      </w:r>
    </w:p>
    <w:p w14:paraId="331EB7DC">
      <w:pPr>
        <w:ind w:firstLine="640"/>
        <w:rPr>
          <w:rFonts w:ascii="仿宋_GB2312" w:hAnsi="仿宋_GB2312" w:cs="仿宋_GB2312"/>
          <w:szCs w:val="32"/>
        </w:rPr>
      </w:pPr>
      <w:r>
        <w:rPr>
          <w:rFonts w:hint="eastAsia" w:ascii="仿宋_GB2312" w:hAnsi="仿宋_GB2312" w:cs="仿宋_GB2312"/>
          <w:szCs w:val="32"/>
        </w:rPr>
        <w:t>项目于2024年10月23日开工，于2024年12月2日经建设单位、设计单位、施工单位和监理单位项目负责人组成的验收组进行验收，形成工程竣工验收记录。项目整体验收合格，除9号门广场石材更换为100mm厚花岗岩地砖计划工程量2000平方米、实际按照需求处理面积为1859平方米外，其余计划内容均已完成。此外，实际施工中结合市政务服务中心等入驻单位需求，额外完成了6、9号门广场破损石材利旧更换、东侧步道砖利旧重铺、东南出入口衔接市政道路沥青路面、内部道路沥青路面面层翻新等工作（见表1）。</w:t>
      </w:r>
    </w:p>
    <w:p w14:paraId="3480CB22">
      <w:pPr>
        <w:ind w:firstLine="0" w:firstLineChars="0"/>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1</w:t>
      </w:r>
      <w:r>
        <w:rPr>
          <w:rFonts w:hint="eastAsia" w:ascii="黑体" w:hAnsi="黑体" w:eastAsia="黑体"/>
          <w:sz w:val="28"/>
          <w:szCs w:val="28"/>
        </w:rPr>
        <w:t>：项目计划内容与实际完成情况表</w:t>
      </w:r>
    </w:p>
    <w:tbl>
      <w:tblPr>
        <w:tblStyle w:val="3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84"/>
        <w:gridCol w:w="4300"/>
        <w:gridCol w:w="1590"/>
        <w:gridCol w:w="2353"/>
      </w:tblGrid>
      <w:tr w14:paraId="720A3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blHeader/>
        </w:trPr>
        <w:tc>
          <w:tcPr>
            <w:tcW w:w="484" w:type="pct"/>
            <w:shd w:val="clear" w:color="auto" w:fill="auto"/>
            <w:tcMar>
              <w:top w:w="72" w:type="dxa"/>
              <w:left w:w="144" w:type="dxa"/>
              <w:bottom w:w="72" w:type="dxa"/>
              <w:right w:w="144" w:type="dxa"/>
            </w:tcMar>
            <w:vAlign w:val="center"/>
          </w:tcPr>
          <w:p w14:paraId="584551C8">
            <w:pPr>
              <w:pStyle w:val="30"/>
              <w:widowControl/>
              <w:spacing w:beforeAutospacing="1" w:afterAutospacing="1" w:line="240" w:lineRule="auto"/>
              <w:ind w:firstLine="0" w:firstLineChars="0"/>
              <w:jc w:val="center"/>
              <w:rPr>
                <w:rFonts w:ascii="宋体" w:hAnsi="宋体" w:eastAsia="宋体" w:cs="宋体"/>
                <w:b/>
                <w:bCs/>
                <w:sz w:val="20"/>
                <w:szCs w:val="20"/>
              </w:rPr>
            </w:pPr>
            <w:r>
              <w:rPr>
                <w:rFonts w:hint="eastAsia" w:ascii="宋体" w:hAnsi="宋体" w:eastAsia="宋体" w:cs="宋体"/>
                <w:b/>
                <w:bCs/>
                <w:sz w:val="20"/>
                <w:szCs w:val="20"/>
              </w:rPr>
              <w:t>序号</w:t>
            </w:r>
          </w:p>
        </w:tc>
        <w:tc>
          <w:tcPr>
            <w:tcW w:w="2355" w:type="pct"/>
            <w:shd w:val="clear" w:color="auto" w:fill="auto"/>
            <w:tcMar>
              <w:top w:w="72" w:type="dxa"/>
              <w:left w:w="144" w:type="dxa"/>
              <w:bottom w:w="72" w:type="dxa"/>
              <w:right w:w="144" w:type="dxa"/>
            </w:tcMar>
            <w:vAlign w:val="center"/>
          </w:tcPr>
          <w:p w14:paraId="473490C0">
            <w:pPr>
              <w:pStyle w:val="30"/>
              <w:widowControl/>
              <w:spacing w:beforeAutospacing="1" w:afterAutospacing="1" w:line="240" w:lineRule="auto"/>
              <w:ind w:firstLine="0" w:firstLineChars="0"/>
              <w:jc w:val="center"/>
              <w:rPr>
                <w:rFonts w:ascii="宋体" w:hAnsi="宋体" w:eastAsia="宋体" w:cs="宋体"/>
                <w:b/>
                <w:bCs/>
                <w:sz w:val="20"/>
                <w:szCs w:val="20"/>
              </w:rPr>
            </w:pPr>
            <w:r>
              <w:rPr>
                <w:rFonts w:hint="eastAsia" w:ascii="宋体" w:hAnsi="宋体" w:eastAsia="宋体" w:cs="宋体"/>
                <w:b/>
                <w:bCs/>
                <w:sz w:val="20"/>
                <w:szCs w:val="20"/>
              </w:rPr>
              <w:t>计划内容</w:t>
            </w:r>
          </w:p>
        </w:tc>
        <w:tc>
          <w:tcPr>
            <w:tcW w:w="871" w:type="pct"/>
            <w:shd w:val="clear" w:color="auto" w:fill="auto"/>
            <w:tcMar>
              <w:top w:w="72" w:type="dxa"/>
              <w:left w:w="144" w:type="dxa"/>
              <w:bottom w:w="72" w:type="dxa"/>
              <w:right w:w="144" w:type="dxa"/>
            </w:tcMar>
            <w:vAlign w:val="center"/>
          </w:tcPr>
          <w:p w14:paraId="4C0334D7">
            <w:pPr>
              <w:pStyle w:val="30"/>
              <w:widowControl/>
              <w:spacing w:beforeAutospacing="1" w:afterAutospacing="1" w:line="240" w:lineRule="auto"/>
              <w:ind w:firstLine="0" w:firstLineChars="0"/>
              <w:jc w:val="center"/>
              <w:rPr>
                <w:rFonts w:ascii="宋体" w:hAnsi="宋体" w:eastAsia="宋体" w:cs="宋体"/>
                <w:b/>
                <w:bCs/>
                <w:sz w:val="20"/>
                <w:szCs w:val="20"/>
              </w:rPr>
            </w:pPr>
            <w:r>
              <w:rPr>
                <w:rFonts w:hint="eastAsia" w:ascii="宋体" w:hAnsi="宋体" w:eastAsia="宋体" w:cs="宋体"/>
                <w:b/>
                <w:bCs/>
                <w:sz w:val="20"/>
                <w:szCs w:val="20"/>
              </w:rPr>
              <w:t>计划工程量</w:t>
            </w:r>
          </w:p>
        </w:tc>
        <w:tc>
          <w:tcPr>
            <w:tcW w:w="1289" w:type="pct"/>
            <w:shd w:val="clear" w:color="auto" w:fill="auto"/>
            <w:tcMar>
              <w:top w:w="72" w:type="dxa"/>
              <w:left w:w="144" w:type="dxa"/>
              <w:bottom w:w="72" w:type="dxa"/>
              <w:right w:w="144" w:type="dxa"/>
            </w:tcMar>
            <w:vAlign w:val="center"/>
          </w:tcPr>
          <w:p w14:paraId="0B1D9636">
            <w:pPr>
              <w:pStyle w:val="30"/>
              <w:widowControl/>
              <w:spacing w:beforeAutospacing="1" w:afterAutospacing="1" w:line="240" w:lineRule="auto"/>
              <w:ind w:firstLine="0" w:firstLineChars="0"/>
              <w:jc w:val="center"/>
              <w:rPr>
                <w:rFonts w:ascii="宋体" w:hAnsi="宋体" w:eastAsia="宋体" w:cs="宋体"/>
                <w:b/>
                <w:bCs/>
                <w:sz w:val="20"/>
                <w:szCs w:val="20"/>
              </w:rPr>
            </w:pPr>
            <w:r>
              <w:rPr>
                <w:rFonts w:hint="eastAsia" w:ascii="宋体" w:hAnsi="宋体" w:eastAsia="宋体" w:cs="宋体"/>
                <w:b/>
                <w:bCs/>
                <w:sz w:val="20"/>
                <w:szCs w:val="20"/>
              </w:rPr>
              <w:t>实际完成工程量</w:t>
            </w:r>
          </w:p>
        </w:tc>
      </w:tr>
      <w:tr w14:paraId="1E03F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rPr>
        <w:tc>
          <w:tcPr>
            <w:tcW w:w="484" w:type="pct"/>
            <w:shd w:val="clear" w:color="auto" w:fill="auto"/>
            <w:tcMar>
              <w:top w:w="72" w:type="dxa"/>
              <w:left w:w="144" w:type="dxa"/>
              <w:bottom w:w="72" w:type="dxa"/>
              <w:right w:w="144" w:type="dxa"/>
            </w:tcMar>
            <w:vAlign w:val="center"/>
          </w:tcPr>
          <w:p w14:paraId="4D6D2A2C">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1</w:t>
            </w:r>
          </w:p>
        </w:tc>
        <w:tc>
          <w:tcPr>
            <w:tcW w:w="2355" w:type="pct"/>
            <w:shd w:val="clear" w:color="auto" w:fill="auto"/>
            <w:tcMar>
              <w:top w:w="72" w:type="dxa"/>
              <w:left w:w="144" w:type="dxa"/>
              <w:bottom w:w="72" w:type="dxa"/>
              <w:right w:w="144" w:type="dxa"/>
            </w:tcMar>
            <w:vAlign w:val="center"/>
          </w:tcPr>
          <w:p w14:paraId="4D65A422">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6、9号门门前广场地下空洞处理</w:t>
            </w:r>
          </w:p>
        </w:tc>
        <w:tc>
          <w:tcPr>
            <w:tcW w:w="871" w:type="pct"/>
            <w:shd w:val="clear" w:color="auto" w:fill="auto"/>
            <w:tcMar>
              <w:top w:w="72" w:type="dxa"/>
              <w:left w:w="144" w:type="dxa"/>
              <w:bottom w:w="72" w:type="dxa"/>
              <w:right w:w="144" w:type="dxa"/>
            </w:tcMar>
            <w:vAlign w:val="center"/>
          </w:tcPr>
          <w:p w14:paraId="0479171A">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18处</w:t>
            </w:r>
          </w:p>
        </w:tc>
        <w:tc>
          <w:tcPr>
            <w:tcW w:w="1289" w:type="pct"/>
            <w:shd w:val="clear" w:color="auto" w:fill="auto"/>
            <w:tcMar>
              <w:top w:w="72" w:type="dxa"/>
              <w:left w:w="144" w:type="dxa"/>
              <w:bottom w:w="72" w:type="dxa"/>
              <w:right w:w="144" w:type="dxa"/>
            </w:tcMar>
            <w:vAlign w:val="center"/>
          </w:tcPr>
          <w:p w14:paraId="1F2AE4D7">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18处</w:t>
            </w:r>
          </w:p>
        </w:tc>
      </w:tr>
      <w:tr w14:paraId="4D33C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rPr>
        <w:tc>
          <w:tcPr>
            <w:tcW w:w="484" w:type="pct"/>
            <w:shd w:val="clear" w:color="auto" w:fill="auto"/>
            <w:tcMar>
              <w:top w:w="72" w:type="dxa"/>
              <w:left w:w="144" w:type="dxa"/>
              <w:bottom w:w="72" w:type="dxa"/>
              <w:right w:w="144" w:type="dxa"/>
            </w:tcMar>
            <w:vAlign w:val="center"/>
          </w:tcPr>
          <w:p w14:paraId="60E00755">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2</w:t>
            </w:r>
          </w:p>
        </w:tc>
        <w:tc>
          <w:tcPr>
            <w:tcW w:w="2355" w:type="pct"/>
            <w:shd w:val="clear" w:color="auto" w:fill="auto"/>
            <w:tcMar>
              <w:top w:w="72" w:type="dxa"/>
              <w:left w:w="144" w:type="dxa"/>
              <w:bottom w:w="72" w:type="dxa"/>
              <w:right w:w="144" w:type="dxa"/>
            </w:tcMar>
            <w:vAlign w:val="center"/>
          </w:tcPr>
          <w:p w14:paraId="18DC4B63">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9号门广场石材更换为100厚花岗岩地砖</w:t>
            </w:r>
          </w:p>
        </w:tc>
        <w:tc>
          <w:tcPr>
            <w:tcW w:w="871" w:type="pct"/>
            <w:shd w:val="clear" w:color="auto" w:fill="auto"/>
            <w:tcMar>
              <w:top w:w="72" w:type="dxa"/>
              <w:left w:w="144" w:type="dxa"/>
              <w:bottom w:w="72" w:type="dxa"/>
              <w:right w:w="144" w:type="dxa"/>
            </w:tcMar>
            <w:vAlign w:val="center"/>
          </w:tcPr>
          <w:p w14:paraId="70202F60">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2000平方米</w:t>
            </w:r>
          </w:p>
        </w:tc>
        <w:tc>
          <w:tcPr>
            <w:tcW w:w="1289" w:type="pct"/>
            <w:shd w:val="clear" w:color="auto" w:fill="auto"/>
            <w:tcMar>
              <w:top w:w="72" w:type="dxa"/>
              <w:left w:w="144" w:type="dxa"/>
              <w:bottom w:w="72" w:type="dxa"/>
              <w:right w:w="144" w:type="dxa"/>
            </w:tcMar>
            <w:vAlign w:val="center"/>
          </w:tcPr>
          <w:p w14:paraId="059D52C2">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1859平方米</w:t>
            </w:r>
          </w:p>
        </w:tc>
      </w:tr>
      <w:tr w14:paraId="4E7AE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rPr>
        <w:tc>
          <w:tcPr>
            <w:tcW w:w="484" w:type="pct"/>
            <w:shd w:val="clear" w:color="auto" w:fill="auto"/>
            <w:tcMar>
              <w:top w:w="72" w:type="dxa"/>
              <w:left w:w="144" w:type="dxa"/>
              <w:bottom w:w="72" w:type="dxa"/>
              <w:right w:w="144" w:type="dxa"/>
            </w:tcMar>
            <w:vAlign w:val="center"/>
          </w:tcPr>
          <w:p w14:paraId="477820F3">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3</w:t>
            </w:r>
          </w:p>
        </w:tc>
        <w:tc>
          <w:tcPr>
            <w:tcW w:w="2355" w:type="pct"/>
            <w:shd w:val="clear" w:color="auto" w:fill="auto"/>
            <w:tcMar>
              <w:top w:w="72" w:type="dxa"/>
              <w:left w:w="144" w:type="dxa"/>
              <w:bottom w:w="72" w:type="dxa"/>
              <w:right w:w="144" w:type="dxa"/>
            </w:tcMar>
            <w:vAlign w:val="center"/>
          </w:tcPr>
          <w:p w14:paraId="43136A4E">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6号广场北侧消防车道更新为沥青路面</w:t>
            </w:r>
          </w:p>
        </w:tc>
        <w:tc>
          <w:tcPr>
            <w:tcW w:w="871" w:type="pct"/>
            <w:shd w:val="clear" w:color="auto" w:fill="auto"/>
            <w:tcMar>
              <w:top w:w="72" w:type="dxa"/>
              <w:left w:w="144" w:type="dxa"/>
              <w:bottom w:w="72" w:type="dxa"/>
              <w:right w:w="144" w:type="dxa"/>
            </w:tcMar>
            <w:vAlign w:val="center"/>
          </w:tcPr>
          <w:p w14:paraId="56107AF9">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400平方米</w:t>
            </w:r>
          </w:p>
        </w:tc>
        <w:tc>
          <w:tcPr>
            <w:tcW w:w="1289" w:type="pct"/>
            <w:shd w:val="clear" w:color="auto" w:fill="auto"/>
            <w:tcMar>
              <w:top w:w="72" w:type="dxa"/>
              <w:left w:w="144" w:type="dxa"/>
              <w:bottom w:w="72" w:type="dxa"/>
              <w:right w:w="144" w:type="dxa"/>
            </w:tcMar>
            <w:vAlign w:val="center"/>
          </w:tcPr>
          <w:p w14:paraId="5A4258DF">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400平方米</w:t>
            </w:r>
          </w:p>
        </w:tc>
      </w:tr>
      <w:tr w14:paraId="31004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rPr>
        <w:tc>
          <w:tcPr>
            <w:tcW w:w="484" w:type="pct"/>
            <w:shd w:val="clear" w:color="auto" w:fill="auto"/>
            <w:tcMar>
              <w:top w:w="72" w:type="dxa"/>
              <w:left w:w="144" w:type="dxa"/>
              <w:bottom w:w="72" w:type="dxa"/>
              <w:right w:w="144" w:type="dxa"/>
            </w:tcMar>
            <w:vAlign w:val="center"/>
          </w:tcPr>
          <w:p w14:paraId="28815AF0">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4</w:t>
            </w:r>
          </w:p>
        </w:tc>
        <w:tc>
          <w:tcPr>
            <w:tcW w:w="2355" w:type="pct"/>
            <w:shd w:val="clear" w:color="auto" w:fill="auto"/>
            <w:tcMar>
              <w:top w:w="72" w:type="dxa"/>
              <w:left w:w="144" w:type="dxa"/>
              <w:bottom w:w="72" w:type="dxa"/>
              <w:right w:w="144" w:type="dxa"/>
            </w:tcMar>
            <w:vAlign w:val="center"/>
          </w:tcPr>
          <w:p w14:paraId="77359399">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东地库出入口地面下沉及路障基础面层处理</w:t>
            </w:r>
          </w:p>
        </w:tc>
        <w:tc>
          <w:tcPr>
            <w:tcW w:w="871" w:type="pct"/>
            <w:shd w:val="clear" w:color="auto" w:fill="auto"/>
            <w:tcMar>
              <w:top w:w="72" w:type="dxa"/>
              <w:left w:w="144" w:type="dxa"/>
              <w:bottom w:w="72" w:type="dxa"/>
              <w:right w:w="144" w:type="dxa"/>
            </w:tcMar>
            <w:vAlign w:val="center"/>
          </w:tcPr>
          <w:p w14:paraId="64D3DF26">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380平方米</w:t>
            </w:r>
          </w:p>
        </w:tc>
        <w:tc>
          <w:tcPr>
            <w:tcW w:w="1289" w:type="pct"/>
            <w:shd w:val="clear" w:color="auto" w:fill="auto"/>
            <w:tcMar>
              <w:top w:w="72" w:type="dxa"/>
              <w:left w:w="144" w:type="dxa"/>
              <w:bottom w:w="72" w:type="dxa"/>
              <w:right w:w="144" w:type="dxa"/>
            </w:tcMar>
            <w:vAlign w:val="center"/>
          </w:tcPr>
          <w:p w14:paraId="7EB98720">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380平方米</w:t>
            </w:r>
          </w:p>
        </w:tc>
      </w:tr>
      <w:tr w14:paraId="5B048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rPr>
        <w:tc>
          <w:tcPr>
            <w:tcW w:w="484" w:type="pct"/>
            <w:shd w:val="clear" w:color="auto" w:fill="auto"/>
            <w:tcMar>
              <w:top w:w="72" w:type="dxa"/>
              <w:left w:w="144" w:type="dxa"/>
              <w:bottom w:w="72" w:type="dxa"/>
              <w:right w:w="144" w:type="dxa"/>
            </w:tcMar>
            <w:vAlign w:val="center"/>
          </w:tcPr>
          <w:p w14:paraId="43EB3774">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5</w:t>
            </w:r>
          </w:p>
        </w:tc>
        <w:tc>
          <w:tcPr>
            <w:tcW w:w="2355" w:type="pct"/>
            <w:shd w:val="clear" w:color="auto" w:fill="auto"/>
            <w:tcMar>
              <w:top w:w="72" w:type="dxa"/>
              <w:left w:w="144" w:type="dxa"/>
              <w:bottom w:w="72" w:type="dxa"/>
              <w:right w:w="144" w:type="dxa"/>
            </w:tcMar>
            <w:vAlign w:val="center"/>
          </w:tcPr>
          <w:p w14:paraId="760C71FC">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6号门沥青道路安砌侧(平、缘）石</w:t>
            </w:r>
          </w:p>
        </w:tc>
        <w:tc>
          <w:tcPr>
            <w:tcW w:w="871" w:type="pct"/>
            <w:shd w:val="clear" w:color="auto" w:fill="auto"/>
            <w:tcMar>
              <w:top w:w="72" w:type="dxa"/>
              <w:left w:w="144" w:type="dxa"/>
              <w:bottom w:w="72" w:type="dxa"/>
              <w:right w:w="144" w:type="dxa"/>
            </w:tcMar>
            <w:vAlign w:val="center"/>
          </w:tcPr>
          <w:p w14:paraId="208EF2CC">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133.6米</w:t>
            </w:r>
          </w:p>
        </w:tc>
        <w:tc>
          <w:tcPr>
            <w:tcW w:w="1289" w:type="pct"/>
            <w:shd w:val="clear" w:color="auto" w:fill="auto"/>
            <w:tcMar>
              <w:top w:w="72" w:type="dxa"/>
              <w:left w:w="144" w:type="dxa"/>
              <w:bottom w:w="72" w:type="dxa"/>
              <w:right w:w="144" w:type="dxa"/>
            </w:tcMar>
            <w:vAlign w:val="center"/>
          </w:tcPr>
          <w:p w14:paraId="75580BD5">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133.6米</w:t>
            </w:r>
          </w:p>
        </w:tc>
      </w:tr>
      <w:tr w14:paraId="6ECF8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rPr>
        <w:tc>
          <w:tcPr>
            <w:tcW w:w="484" w:type="pct"/>
            <w:shd w:val="clear" w:color="auto" w:fill="auto"/>
            <w:tcMar>
              <w:top w:w="72" w:type="dxa"/>
              <w:left w:w="144" w:type="dxa"/>
              <w:bottom w:w="72" w:type="dxa"/>
              <w:right w:w="144" w:type="dxa"/>
            </w:tcMar>
            <w:vAlign w:val="center"/>
          </w:tcPr>
          <w:p w14:paraId="5CAF6ACF">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6</w:t>
            </w:r>
          </w:p>
        </w:tc>
        <w:tc>
          <w:tcPr>
            <w:tcW w:w="2355" w:type="pct"/>
            <w:shd w:val="clear" w:color="auto" w:fill="auto"/>
            <w:tcMar>
              <w:top w:w="72" w:type="dxa"/>
              <w:left w:w="144" w:type="dxa"/>
              <w:bottom w:w="72" w:type="dxa"/>
              <w:right w:w="144" w:type="dxa"/>
            </w:tcMar>
            <w:vAlign w:val="center"/>
          </w:tcPr>
          <w:p w14:paraId="34589EC2">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6、9号门广场破损石材利旧更换</w:t>
            </w:r>
          </w:p>
        </w:tc>
        <w:tc>
          <w:tcPr>
            <w:tcW w:w="871" w:type="pct"/>
            <w:vMerge w:val="restart"/>
            <w:shd w:val="clear" w:color="auto" w:fill="auto"/>
            <w:tcMar>
              <w:top w:w="72" w:type="dxa"/>
              <w:left w:w="144" w:type="dxa"/>
              <w:bottom w:w="72" w:type="dxa"/>
              <w:right w:w="144" w:type="dxa"/>
            </w:tcMar>
            <w:vAlign w:val="center"/>
          </w:tcPr>
          <w:p w14:paraId="4D6E998B">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非计划内容，依据实际需求增加相关工作</w:t>
            </w:r>
          </w:p>
        </w:tc>
        <w:tc>
          <w:tcPr>
            <w:tcW w:w="1289" w:type="pct"/>
            <w:shd w:val="clear" w:color="auto" w:fill="auto"/>
            <w:tcMar>
              <w:top w:w="72" w:type="dxa"/>
              <w:left w:w="144" w:type="dxa"/>
              <w:bottom w:w="72" w:type="dxa"/>
              <w:right w:w="144" w:type="dxa"/>
            </w:tcMar>
            <w:vAlign w:val="center"/>
          </w:tcPr>
          <w:p w14:paraId="529948C3">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160平方米</w:t>
            </w:r>
          </w:p>
        </w:tc>
      </w:tr>
      <w:tr w14:paraId="1430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rPr>
        <w:tc>
          <w:tcPr>
            <w:tcW w:w="484" w:type="pct"/>
            <w:shd w:val="clear" w:color="auto" w:fill="auto"/>
            <w:tcMar>
              <w:top w:w="72" w:type="dxa"/>
              <w:left w:w="144" w:type="dxa"/>
              <w:bottom w:w="72" w:type="dxa"/>
              <w:right w:w="144" w:type="dxa"/>
            </w:tcMar>
            <w:vAlign w:val="center"/>
          </w:tcPr>
          <w:p w14:paraId="0C72AC72">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7</w:t>
            </w:r>
          </w:p>
        </w:tc>
        <w:tc>
          <w:tcPr>
            <w:tcW w:w="2355" w:type="pct"/>
            <w:shd w:val="clear" w:color="auto" w:fill="auto"/>
            <w:tcMar>
              <w:top w:w="72" w:type="dxa"/>
              <w:left w:w="144" w:type="dxa"/>
              <w:bottom w:w="72" w:type="dxa"/>
              <w:right w:w="144" w:type="dxa"/>
            </w:tcMar>
            <w:vAlign w:val="center"/>
          </w:tcPr>
          <w:p w14:paraId="15623F2D">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东侧步道砖利旧重铺</w:t>
            </w:r>
          </w:p>
        </w:tc>
        <w:tc>
          <w:tcPr>
            <w:tcW w:w="871" w:type="pct"/>
            <w:vMerge w:val="continue"/>
            <w:shd w:val="clear" w:color="auto" w:fill="auto"/>
            <w:tcMar>
              <w:top w:w="72" w:type="dxa"/>
              <w:left w:w="144" w:type="dxa"/>
              <w:bottom w:w="72" w:type="dxa"/>
              <w:right w:w="144" w:type="dxa"/>
            </w:tcMar>
            <w:vAlign w:val="center"/>
          </w:tcPr>
          <w:p w14:paraId="675137A0">
            <w:pPr>
              <w:pStyle w:val="30"/>
              <w:widowControl/>
              <w:spacing w:beforeAutospacing="1" w:afterAutospacing="1" w:line="240" w:lineRule="auto"/>
              <w:ind w:firstLine="0" w:firstLineChars="0"/>
              <w:jc w:val="center"/>
              <w:rPr>
                <w:rFonts w:ascii="宋体" w:hAnsi="宋体" w:eastAsia="宋体" w:cs="宋体"/>
                <w:sz w:val="20"/>
                <w:szCs w:val="20"/>
              </w:rPr>
            </w:pPr>
          </w:p>
        </w:tc>
        <w:tc>
          <w:tcPr>
            <w:tcW w:w="1289" w:type="pct"/>
            <w:shd w:val="clear" w:color="auto" w:fill="auto"/>
            <w:tcMar>
              <w:top w:w="72" w:type="dxa"/>
              <w:left w:w="144" w:type="dxa"/>
              <w:bottom w:w="72" w:type="dxa"/>
              <w:right w:w="144" w:type="dxa"/>
            </w:tcMar>
            <w:vAlign w:val="center"/>
          </w:tcPr>
          <w:p w14:paraId="67B5AB47">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300平方米</w:t>
            </w:r>
          </w:p>
        </w:tc>
      </w:tr>
      <w:tr w14:paraId="3B620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rPr>
        <w:tc>
          <w:tcPr>
            <w:tcW w:w="484" w:type="pct"/>
            <w:shd w:val="clear" w:color="auto" w:fill="auto"/>
            <w:tcMar>
              <w:top w:w="72" w:type="dxa"/>
              <w:left w:w="144" w:type="dxa"/>
              <w:bottom w:w="72" w:type="dxa"/>
              <w:right w:w="144" w:type="dxa"/>
            </w:tcMar>
            <w:vAlign w:val="center"/>
          </w:tcPr>
          <w:p w14:paraId="15A315D5">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8</w:t>
            </w:r>
          </w:p>
        </w:tc>
        <w:tc>
          <w:tcPr>
            <w:tcW w:w="2355" w:type="pct"/>
            <w:shd w:val="clear" w:color="auto" w:fill="auto"/>
            <w:tcMar>
              <w:top w:w="72" w:type="dxa"/>
              <w:left w:w="144" w:type="dxa"/>
              <w:bottom w:w="72" w:type="dxa"/>
              <w:right w:w="144" w:type="dxa"/>
            </w:tcMar>
            <w:vAlign w:val="center"/>
          </w:tcPr>
          <w:p w14:paraId="48CF67AA">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东南出入口衔接市政道路沥青路面</w:t>
            </w:r>
          </w:p>
        </w:tc>
        <w:tc>
          <w:tcPr>
            <w:tcW w:w="871" w:type="pct"/>
            <w:vMerge w:val="continue"/>
            <w:shd w:val="clear" w:color="auto" w:fill="auto"/>
            <w:tcMar>
              <w:top w:w="72" w:type="dxa"/>
              <w:left w:w="144" w:type="dxa"/>
              <w:bottom w:w="72" w:type="dxa"/>
              <w:right w:w="144" w:type="dxa"/>
            </w:tcMar>
            <w:vAlign w:val="center"/>
          </w:tcPr>
          <w:p w14:paraId="2D606FE7">
            <w:pPr>
              <w:pStyle w:val="30"/>
              <w:widowControl/>
              <w:spacing w:beforeAutospacing="1" w:afterAutospacing="1" w:line="240" w:lineRule="auto"/>
              <w:ind w:firstLine="0" w:firstLineChars="0"/>
              <w:jc w:val="center"/>
              <w:rPr>
                <w:rFonts w:ascii="宋体" w:hAnsi="宋体" w:eastAsia="宋体" w:cs="宋体"/>
                <w:sz w:val="20"/>
                <w:szCs w:val="20"/>
              </w:rPr>
            </w:pPr>
          </w:p>
        </w:tc>
        <w:tc>
          <w:tcPr>
            <w:tcW w:w="1289" w:type="pct"/>
            <w:shd w:val="clear" w:color="auto" w:fill="auto"/>
            <w:tcMar>
              <w:top w:w="72" w:type="dxa"/>
              <w:left w:w="144" w:type="dxa"/>
              <w:bottom w:w="72" w:type="dxa"/>
              <w:right w:w="144" w:type="dxa"/>
            </w:tcMar>
            <w:vAlign w:val="center"/>
          </w:tcPr>
          <w:p w14:paraId="2ED41375">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250平方米</w:t>
            </w:r>
          </w:p>
        </w:tc>
      </w:tr>
      <w:tr w14:paraId="03A2E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rPr>
        <w:tc>
          <w:tcPr>
            <w:tcW w:w="484" w:type="pct"/>
            <w:shd w:val="clear" w:color="auto" w:fill="auto"/>
            <w:tcMar>
              <w:top w:w="72" w:type="dxa"/>
              <w:left w:w="144" w:type="dxa"/>
              <w:bottom w:w="72" w:type="dxa"/>
              <w:right w:w="144" w:type="dxa"/>
            </w:tcMar>
            <w:vAlign w:val="center"/>
          </w:tcPr>
          <w:p w14:paraId="635ECED2">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9</w:t>
            </w:r>
          </w:p>
        </w:tc>
        <w:tc>
          <w:tcPr>
            <w:tcW w:w="2355" w:type="pct"/>
            <w:shd w:val="clear" w:color="auto" w:fill="auto"/>
            <w:tcMar>
              <w:top w:w="72" w:type="dxa"/>
              <w:left w:w="144" w:type="dxa"/>
              <w:bottom w:w="72" w:type="dxa"/>
              <w:right w:w="144" w:type="dxa"/>
            </w:tcMar>
            <w:vAlign w:val="center"/>
          </w:tcPr>
          <w:p w14:paraId="436F0648">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内部道路沥青路面面层翻新</w:t>
            </w:r>
          </w:p>
        </w:tc>
        <w:tc>
          <w:tcPr>
            <w:tcW w:w="871" w:type="pct"/>
            <w:vMerge w:val="continue"/>
            <w:shd w:val="clear" w:color="auto" w:fill="auto"/>
            <w:tcMar>
              <w:top w:w="72" w:type="dxa"/>
              <w:left w:w="144" w:type="dxa"/>
              <w:bottom w:w="72" w:type="dxa"/>
              <w:right w:w="144" w:type="dxa"/>
            </w:tcMar>
            <w:vAlign w:val="center"/>
          </w:tcPr>
          <w:p w14:paraId="076F8C2F">
            <w:pPr>
              <w:pStyle w:val="30"/>
              <w:widowControl/>
              <w:spacing w:beforeAutospacing="1" w:afterAutospacing="1" w:line="240" w:lineRule="auto"/>
              <w:ind w:firstLine="0" w:firstLineChars="0"/>
              <w:jc w:val="center"/>
              <w:rPr>
                <w:rFonts w:ascii="宋体" w:hAnsi="宋体" w:eastAsia="宋体" w:cs="宋体"/>
                <w:sz w:val="20"/>
                <w:szCs w:val="20"/>
              </w:rPr>
            </w:pPr>
          </w:p>
        </w:tc>
        <w:tc>
          <w:tcPr>
            <w:tcW w:w="1289" w:type="pct"/>
            <w:shd w:val="clear" w:color="auto" w:fill="auto"/>
            <w:tcMar>
              <w:top w:w="72" w:type="dxa"/>
              <w:left w:w="144" w:type="dxa"/>
              <w:bottom w:w="72" w:type="dxa"/>
              <w:right w:w="144" w:type="dxa"/>
            </w:tcMar>
            <w:vAlign w:val="center"/>
          </w:tcPr>
          <w:p w14:paraId="1628140A">
            <w:pPr>
              <w:pStyle w:val="30"/>
              <w:widowControl/>
              <w:spacing w:beforeAutospacing="1" w:afterAutospacing="1" w:line="240" w:lineRule="auto"/>
              <w:ind w:firstLine="0" w:firstLineChars="0"/>
              <w:jc w:val="center"/>
              <w:rPr>
                <w:rFonts w:ascii="宋体" w:hAnsi="宋体" w:eastAsia="宋体" w:cs="宋体"/>
                <w:sz w:val="20"/>
                <w:szCs w:val="20"/>
              </w:rPr>
            </w:pPr>
            <w:r>
              <w:rPr>
                <w:rFonts w:hint="eastAsia" w:ascii="宋体" w:hAnsi="宋体" w:eastAsia="宋体" w:cs="宋体"/>
                <w:sz w:val="20"/>
                <w:szCs w:val="20"/>
              </w:rPr>
              <w:t>2100平方米</w:t>
            </w:r>
          </w:p>
        </w:tc>
      </w:tr>
    </w:tbl>
    <w:p w14:paraId="17B82846">
      <w:pPr>
        <w:pStyle w:val="30"/>
        <w:spacing w:line="240" w:lineRule="auto"/>
        <w:ind w:firstLine="0" w:firstLineChars="0"/>
        <w:rPr>
          <w:sz w:val="20"/>
          <w:szCs w:val="20"/>
        </w:rPr>
      </w:pPr>
    </w:p>
    <w:p w14:paraId="76AE4F18">
      <w:pPr>
        <w:pStyle w:val="30"/>
        <w:outlineLvl w:val="2"/>
      </w:pPr>
      <w:bookmarkStart w:id="11" w:name="_Toc35588397"/>
      <w:bookmarkStart w:id="12" w:name="_Toc73095365"/>
      <w:r>
        <w:rPr>
          <w:rFonts w:hint="eastAsia"/>
        </w:rPr>
        <w:t>3.项目资金投入</w:t>
      </w:r>
      <w:bookmarkEnd w:id="11"/>
      <w:r>
        <w:rPr>
          <w:rFonts w:hint="eastAsia"/>
        </w:rPr>
        <w:t>和使用情况</w:t>
      </w:r>
      <w:bookmarkEnd w:id="12"/>
    </w:p>
    <w:p w14:paraId="1D7D3E4E">
      <w:pPr>
        <w:pStyle w:val="30"/>
      </w:pPr>
      <w:r>
        <w:rPr>
          <w:rFonts w:hint="eastAsia"/>
        </w:rPr>
        <w:t>此项目为2</w:t>
      </w:r>
      <w:r>
        <w:t>02</w:t>
      </w:r>
      <w:r>
        <w:rPr>
          <w:rFonts w:hint="eastAsia"/>
        </w:rPr>
        <w:t>4年度年中追加项目，经</w:t>
      </w:r>
      <w:r>
        <w:rPr>
          <w:rFonts w:hint="eastAsia" w:hAnsi="宋体" w:cs="宋体"/>
          <w:kern w:val="0"/>
        </w:rPr>
        <w:t>市机关事务管理中心主任办公会和</w:t>
      </w:r>
      <w:r>
        <w:rPr>
          <w:rFonts w:hint="eastAsia"/>
        </w:rPr>
        <w:t>市机关事务管理局党组会议确定项目金额为321.46万元，由部门内调剂预算保障；2024年12月20日，经北京市财政局</w:t>
      </w:r>
      <w:r>
        <w:rPr>
          <w:rFonts w:hint="eastAsia" w:hAnsi="仿宋"/>
        </w:rPr>
        <w:t>（以下简称“市财政局”）</w:t>
      </w:r>
      <w:r>
        <w:rPr>
          <w:rFonts w:hint="eastAsia"/>
        </w:rPr>
        <w:t>审批，</w:t>
      </w:r>
      <w:r>
        <w:t>调增</w:t>
      </w:r>
      <w:r>
        <w:rPr>
          <w:rFonts w:hint="eastAsia"/>
        </w:rPr>
        <w:t>六里桥办公区6、9号门门前广场维修提升项目预算321.46万元；项目全年预算金额为321.46万元，均为当年财政拨款。</w:t>
      </w:r>
      <w:bookmarkStart w:id="13" w:name="_Toc35588398"/>
      <w:bookmarkStart w:id="14" w:name="_Toc73095366"/>
      <w:r>
        <w:rPr>
          <w:rFonts w:hint="eastAsia"/>
        </w:rPr>
        <w:t>截至2</w:t>
      </w:r>
      <w:r>
        <w:t>02</w:t>
      </w:r>
      <w:r>
        <w:rPr>
          <w:rFonts w:hint="eastAsia"/>
        </w:rPr>
        <w:t>4年1</w:t>
      </w:r>
      <w:r>
        <w:t>2</w:t>
      </w:r>
      <w:r>
        <w:rPr>
          <w:rFonts w:hint="eastAsia"/>
        </w:rPr>
        <w:t>月3</w:t>
      </w:r>
      <w:r>
        <w:t>1</w:t>
      </w:r>
      <w:r>
        <w:rPr>
          <w:rFonts w:hint="eastAsia"/>
        </w:rPr>
        <w:t>日，项目预算资金已全部执行，分别于2024年11月支付合同首款96.44万元，于2024年12月支付合同尾款225.02万元。项目预算执行率为100.00</w:t>
      </w:r>
      <w:r>
        <w:t>%</w:t>
      </w:r>
      <w:r>
        <w:rPr>
          <w:rFonts w:hint="eastAsia"/>
        </w:rPr>
        <w:t>。</w:t>
      </w:r>
    </w:p>
    <w:p w14:paraId="11525650">
      <w:pPr>
        <w:ind w:firstLine="640"/>
        <w:outlineLvl w:val="1"/>
        <w:rPr>
          <w:rFonts w:ascii="楷体_GB2312" w:eastAsia="楷体_GB2312"/>
          <w:szCs w:val="32"/>
        </w:rPr>
      </w:pPr>
      <w:bookmarkStart w:id="15" w:name="_Toc1420"/>
      <w:r>
        <w:rPr>
          <w:rFonts w:hint="eastAsia" w:ascii="楷体_GB2312" w:eastAsia="楷体_GB2312"/>
          <w:szCs w:val="32"/>
        </w:rPr>
        <w:t>（二）项目绩效目标</w:t>
      </w:r>
      <w:bookmarkEnd w:id="13"/>
      <w:bookmarkEnd w:id="14"/>
      <w:bookmarkEnd w:id="15"/>
    </w:p>
    <w:p w14:paraId="1EBFE914">
      <w:pPr>
        <w:pStyle w:val="30"/>
        <w:outlineLvl w:val="2"/>
      </w:pPr>
      <w:bookmarkStart w:id="16" w:name="_Toc35588401"/>
      <w:bookmarkStart w:id="17" w:name="_Toc73095369"/>
      <w:r>
        <w:rPr>
          <w:rFonts w:hint="eastAsia"/>
        </w:rPr>
        <w:t>1.项目年度绩效目标</w:t>
      </w:r>
    </w:p>
    <w:p w14:paraId="7B50CB37">
      <w:pPr>
        <w:pStyle w:val="30"/>
        <w:rPr>
          <w:iCs/>
        </w:rPr>
      </w:pPr>
      <w:r>
        <w:t>项目</w:t>
      </w:r>
      <w:r>
        <w:rPr>
          <w:rFonts w:hint="eastAsia"/>
        </w:rPr>
        <w:t>年度绩效目标</w:t>
      </w:r>
      <w:r>
        <w:t>为：</w:t>
      </w:r>
      <w:bookmarkStart w:id="18" w:name="_Toc73095368"/>
      <w:bookmarkStart w:id="19" w:name="_Toc35588400"/>
      <w:r>
        <w:rPr>
          <w:rFonts w:hint="eastAsia"/>
        </w:rPr>
        <w:t>配合做好市政务服务中心的整体改造提升工作。</w:t>
      </w:r>
    </w:p>
    <w:p w14:paraId="714FE72A">
      <w:pPr>
        <w:pStyle w:val="30"/>
        <w:outlineLvl w:val="2"/>
      </w:pPr>
      <w:r>
        <w:rPr>
          <w:rFonts w:hint="eastAsia"/>
        </w:rPr>
        <w:t>2.项目年度绩效</w:t>
      </w:r>
      <w:bookmarkEnd w:id="18"/>
      <w:bookmarkEnd w:id="19"/>
      <w:r>
        <w:rPr>
          <w:rFonts w:hint="eastAsia"/>
        </w:rPr>
        <w:t>指标</w:t>
      </w:r>
    </w:p>
    <w:p w14:paraId="5133E4D0">
      <w:pPr>
        <w:pStyle w:val="30"/>
        <w:rPr>
          <w:rFonts w:ascii="黑体" w:hAnsi="黑体" w:eastAsia="黑体"/>
        </w:rPr>
      </w:pPr>
      <w:r>
        <w:rPr>
          <w:rFonts w:hint="eastAsia"/>
        </w:rPr>
        <w:t>围绕年度绩效目标，2</w:t>
      </w:r>
      <w:r>
        <w:t>02</w:t>
      </w:r>
      <w:r>
        <w:rPr>
          <w:rFonts w:hint="eastAsia"/>
        </w:rPr>
        <w:t>4年度项目设置绩效指标如下表</w:t>
      </w:r>
      <w:r>
        <w:rPr>
          <w:rFonts w:hint="eastAsia" w:hAnsi="仿宋" w:cs="Arial"/>
          <w:bCs/>
          <w:iCs/>
          <w:kern w:val="0"/>
        </w:rPr>
        <w:t>2所示</w:t>
      </w:r>
      <w:r>
        <w:rPr>
          <w:rFonts w:hint="eastAsia" w:hAnsi="仿宋"/>
          <w:iCs/>
        </w:rPr>
        <w:t>。</w:t>
      </w:r>
    </w:p>
    <w:p w14:paraId="64A66BEB">
      <w:pPr>
        <w:ind w:firstLine="0" w:firstLineChars="0"/>
        <w:rPr>
          <w:rFonts w:ascii="黑体" w:hAnsi="黑体" w:eastAsia="黑体"/>
          <w:sz w:val="28"/>
          <w:szCs w:val="28"/>
        </w:rPr>
      </w:pPr>
    </w:p>
    <w:p w14:paraId="1CE72CAA">
      <w:pPr>
        <w:pStyle w:val="30"/>
        <w:ind w:firstLine="0" w:firstLineChars="0"/>
        <w:jc w:val="center"/>
        <w:rPr>
          <w:rFonts w:ascii="黑体" w:hAnsi="黑体" w:eastAsia="黑体"/>
          <w:sz w:val="28"/>
          <w:szCs w:val="28"/>
        </w:rPr>
      </w:pPr>
      <w:r>
        <w:rPr>
          <w:rFonts w:hint="eastAsia" w:ascii="黑体" w:hAnsi="黑体" w:eastAsia="黑体"/>
          <w:sz w:val="28"/>
          <w:szCs w:val="28"/>
        </w:rPr>
        <w:t>表2：</w:t>
      </w:r>
      <w:bookmarkStart w:id="20" w:name="_Hlk73095174"/>
      <w:r>
        <w:rPr>
          <w:rFonts w:hint="eastAsia" w:ascii="黑体" w:hAnsi="黑体" w:eastAsia="黑体"/>
          <w:sz w:val="28"/>
          <w:szCs w:val="28"/>
        </w:rPr>
        <w:t>2</w:t>
      </w:r>
      <w:r>
        <w:rPr>
          <w:rFonts w:ascii="黑体" w:hAnsi="黑体" w:eastAsia="黑体"/>
          <w:sz w:val="28"/>
          <w:szCs w:val="28"/>
        </w:rPr>
        <w:t>02</w:t>
      </w:r>
      <w:r>
        <w:rPr>
          <w:rFonts w:hint="eastAsia" w:ascii="黑体" w:hAnsi="黑体" w:eastAsia="黑体"/>
          <w:sz w:val="28"/>
          <w:szCs w:val="28"/>
        </w:rPr>
        <w:t>4年度</w:t>
      </w:r>
      <w:r>
        <w:rPr>
          <w:rFonts w:ascii="黑体" w:hAnsi="黑体" w:eastAsia="黑体"/>
          <w:sz w:val="28"/>
          <w:szCs w:val="28"/>
        </w:rPr>
        <w:t>项目绩效指标</w:t>
      </w:r>
      <w:bookmarkEnd w:id="20"/>
    </w:p>
    <w:tbl>
      <w:tblPr>
        <w:tblStyle w:val="32"/>
        <w:tblW w:w="5000" w:type="pct"/>
        <w:tblInd w:w="0" w:type="dxa"/>
        <w:tblLayout w:type="autofit"/>
        <w:tblCellMar>
          <w:top w:w="0" w:type="dxa"/>
          <w:left w:w="28" w:type="dxa"/>
          <w:bottom w:w="0" w:type="dxa"/>
          <w:right w:w="28" w:type="dxa"/>
        </w:tblCellMar>
      </w:tblPr>
      <w:tblGrid>
        <w:gridCol w:w="1398"/>
        <w:gridCol w:w="1768"/>
        <w:gridCol w:w="3750"/>
        <w:gridCol w:w="1984"/>
      </w:tblGrid>
      <w:tr w14:paraId="7B14336A">
        <w:tblPrEx>
          <w:tblCellMar>
            <w:top w:w="0" w:type="dxa"/>
            <w:left w:w="28" w:type="dxa"/>
            <w:bottom w:w="0" w:type="dxa"/>
            <w:right w:w="28" w:type="dxa"/>
          </w:tblCellMar>
        </w:tblPrEx>
        <w:trPr>
          <w:trHeight w:val="397" w:hRule="atLeast"/>
          <w:tblHeader/>
        </w:trPr>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F0B28">
            <w:pPr>
              <w:widowControl/>
              <w:spacing w:line="240" w:lineRule="auto"/>
              <w:ind w:firstLine="0" w:firstLineChars="0"/>
              <w:jc w:val="center"/>
              <w:textAlignment w:val="center"/>
              <w:rPr>
                <w:rFonts w:ascii="宋体" w:hAnsi="宋体" w:eastAsia="宋体" w:cs="宋体"/>
                <w:b/>
                <w:bCs/>
                <w:sz w:val="20"/>
                <w:szCs w:val="20"/>
              </w:rPr>
            </w:pPr>
            <w:r>
              <w:rPr>
                <w:rFonts w:hint="eastAsia" w:ascii="宋体" w:hAnsi="宋体" w:eastAsia="宋体" w:cs="宋体"/>
                <w:b/>
                <w:bCs/>
                <w:kern w:val="0"/>
                <w:sz w:val="20"/>
                <w:szCs w:val="20"/>
              </w:rPr>
              <w:t>一级指标</w:t>
            </w:r>
          </w:p>
        </w:tc>
        <w:tc>
          <w:tcPr>
            <w:tcW w:w="9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74BC0">
            <w:pPr>
              <w:widowControl/>
              <w:spacing w:line="240" w:lineRule="auto"/>
              <w:ind w:firstLine="0" w:firstLineChars="0"/>
              <w:jc w:val="center"/>
              <w:textAlignment w:val="center"/>
              <w:rPr>
                <w:rFonts w:ascii="宋体" w:hAnsi="宋体" w:eastAsia="宋体" w:cs="宋体"/>
                <w:b/>
                <w:bCs/>
                <w:sz w:val="20"/>
                <w:szCs w:val="20"/>
              </w:rPr>
            </w:pPr>
            <w:r>
              <w:rPr>
                <w:rFonts w:hint="eastAsia" w:ascii="宋体" w:hAnsi="宋体" w:eastAsia="宋体" w:cs="宋体"/>
                <w:b/>
                <w:bCs/>
                <w:kern w:val="0"/>
                <w:sz w:val="20"/>
                <w:szCs w:val="20"/>
              </w:rPr>
              <w:t>二级指标</w:t>
            </w: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E48ED">
            <w:pPr>
              <w:widowControl/>
              <w:spacing w:line="240" w:lineRule="auto"/>
              <w:ind w:firstLine="0" w:firstLineChars="0"/>
              <w:jc w:val="center"/>
              <w:textAlignment w:val="center"/>
              <w:rPr>
                <w:rFonts w:ascii="宋体" w:hAnsi="宋体" w:eastAsia="宋体" w:cs="宋体"/>
                <w:b/>
                <w:bCs/>
                <w:sz w:val="20"/>
                <w:szCs w:val="20"/>
              </w:rPr>
            </w:pPr>
            <w:r>
              <w:rPr>
                <w:rFonts w:hint="eastAsia" w:ascii="宋体" w:hAnsi="宋体" w:eastAsia="宋体" w:cs="宋体"/>
                <w:b/>
                <w:bCs/>
                <w:kern w:val="0"/>
                <w:sz w:val="20"/>
                <w:szCs w:val="20"/>
              </w:rPr>
              <w:t>三级指标</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FD3AF">
            <w:pPr>
              <w:widowControl/>
              <w:spacing w:line="240" w:lineRule="auto"/>
              <w:ind w:firstLine="0" w:firstLineChars="0"/>
              <w:jc w:val="center"/>
              <w:textAlignment w:val="center"/>
              <w:rPr>
                <w:rFonts w:ascii="宋体" w:hAnsi="宋体" w:eastAsia="宋体" w:cs="宋体"/>
                <w:b/>
                <w:bCs/>
                <w:sz w:val="20"/>
                <w:szCs w:val="20"/>
              </w:rPr>
            </w:pPr>
            <w:r>
              <w:rPr>
                <w:rFonts w:hint="eastAsia" w:ascii="宋体" w:hAnsi="宋体" w:eastAsia="宋体" w:cs="宋体"/>
                <w:b/>
                <w:bCs/>
                <w:kern w:val="0"/>
                <w:sz w:val="20"/>
                <w:szCs w:val="20"/>
              </w:rPr>
              <w:t>年度指标值</w:t>
            </w:r>
          </w:p>
        </w:tc>
      </w:tr>
      <w:tr w14:paraId="2E21F522">
        <w:tblPrEx>
          <w:tblCellMar>
            <w:top w:w="0" w:type="dxa"/>
            <w:left w:w="28" w:type="dxa"/>
            <w:bottom w:w="0" w:type="dxa"/>
            <w:right w:w="28" w:type="dxa"/>
          </w:tblCellMar>
        </w:tblPrEx>
        <w:trPr>
          <w:trHeight w:val="397" w:hRule="atLeast"/>
        </w:trPr>
        <w:tc>
          <w:tcPr>
            <w:tcW w:w="7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988FDD">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成本指标</w:t>
            </w:r>
          </w:p>
        </w:tc>
        <w:tc>
          <w:tcPr>
            <w:tcW w:w="9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7A38F0">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经济成本指标</w:t>
            </w: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EFAEA">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办公用房修缮、改造成本</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60A05">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≤321.457522万元</w:t>
            </w:r>
          </w:p>
        </w:tc>
      </w:tr>
      <w:tr w14:paraId="09200960">
        <w:tblPrEx>
          <w:tblCellMar>
            <w:top w:w="0" w:type="dxa"/>
            <w:left w:w="28" w:type="dxa"/>
            <w:bottom w:w="0" w:type="dxa"/>
            <w:right w:w="28" w:type="dxa"/>
          </w:tblCellMar>
        </w:tblPrEx>
        <w:trPr>
          <w:trHeight w:val="397" w:hRule="atLeast"/>
        </w:trPr>
        <w:tc>
          <w:tcPr>
            <w:tcW w:w="7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599EEC">
            <w:pPr>
              <w:widowControl/>
              <w:spacing w:line="240" w:lineRule="auto"/>
              <w:ind w:firstLine="0" w:firstLineChars="0"/>
              <w:jc w:val="center"/>
              <w:rPr>
                <w:rFonts w:ascii="宋体" w:hAnsi="宋体" w:eastAsia="宋体" w:cs="宋体"/>
                <w:sz w:val="20"/>
                <w:szCs w:val="20"/>
              </w:rPr>
            </w:pPr>
          </w:p>
        </w:tc>
        <w:tc>
          <w:tcPr>
            <w:tcW w:w="9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158AF">
            <w:pPr>
              <w:widowControl/>
              <w:spacing w:line="240" w:lineRule="auto"/>
              <w:ind w:firstLine="0" w:firstLineChars="0"/>
              <w:jc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C7672">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取费标准</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E453B">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≤25.5646万元</w:t>
            </w:r>
          </w:p>
        </w:tc>
      </w:tr>
      <w:tr w14:paraId="4D1A8DD0">
        <w:tblPrEx>
          <w:tblCellMar>
            <w:top w:w="0" w:type="dxa"/>
            <w:left w:w="28" w:type="dxa"/>
            <w:bottom w:w="0" w:type="dxa"/>
            <w:right w:w="28" w:type="dxa"/>
          </w:tblCellMar>
        </w:tblPrEx>
        <w:trPr>
          <w:trHeight w:val="397" w:hRule="atLeast"/>
        </w:trPr>
        <w:tc>
          <w:tcPr>
            <w:tcW w:w="785" w:type="pct"/>
            <w:vMerge w:val="restart"/>
            <w:tcBorders>
              <w:top w:val="single" w:color="000000" w:sz="4" w:space="0"/>
              <w:left w:val="single" w:color="000000" w:sz="4" w:space="0"/>
              <w:right w:val="single" w:color="000000" w:sz="4" w:space="0"/>
            </w:tcBorders>
            <w:shd w:val="clear" w:color="auto" w:fill="auto"/>
            <w:vAlign w:val="center"/>
          </w:tcPr>
          <w:p w14:paraId="300D0880">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产出指标</w:t>
            </w:r>
          </w:p>
        </w:tc>
        <w:tc>
          <w:tcPr>
            <w:tcW w:w="993" w:type="pct"/>
            <w:vMerge w:val="restart"/>
            <w:tcBorders>
              <w:top w:val="single" w:color="000000" w:sz="4" w:space="0"/>
              <w:left w:val="single" w:color="000000" w:sz="4" w:space="0"/>
              <w:right w:val="single" w:color="000000" w:sz="4" w:space="0"/>
            </w:tcBorders>
            <w:shd w:val="clear" w:color="auto" w:fill="auto"/>
            <w:vAlign w:val="center"/>
          </w:tcPr>
          <w:p w14:paraId="401FDE96">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数量指标</w:t>
            </w: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56718">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6号门门前广场地砖拆除、新铺沥青道路</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610A6">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≥400平方米</w:t>
            </w:r>
          </w:p>
        </w:tc>
      </w:tr>
      <w:tr w14:paraId="5A96B66D">
        <w:tblPrEx>
          <w:tblCellMar>
            <w:top w:w="0" w:type="dxa"/>
            <w:left w:w="28" w:type="dxa"/>
            <w:bottom w:w="0" w:type="dxa"/>
            <w:right w:w="28" w:type="dxa"/>
          </w:tblCellMar>
        </w:tblPrEx>
        <w:trPr>
          <w:trHeight w:val="397" w:hRule="atLeast"/>
        </w:trPr>
        <w:tc>
          <w:tcPr>
            <w:tcW w:w="785" w:type="pct"/>
            <w:vMerge w:val="continue"/>
            <w:tcBorders>
              <w:left w:val="single" w:color="000000" w:sz="4" w:space="0"/>
              <w:right w:val="single" w:color="000000" w:sz="4" w:space="0"/>
            </w:tcBorders>
            <w:shd w:val="clear" w:color="auto" w:fill="auto"/>
            <w:vAlign w:val="center"/>
          </w:tcPr>
          <w:p w14:paraId="72698B81">
            <w:pPr>
              <w:widowControl/>
              <w:spacing w:line="240" w:lineRule="auto"/>
              <w:ind w:firstLine="0" w:firstLineChars="0"/>
              <w:jc w:val="center"/>
              <w:rPr>
                <w:rFonts w:ascii="宋体" w:hAnsi="宋体" w:eastAsia="宋体" w:cs="宋体"/>
                <w:sz w:val="20"/>
                <w:szCs w:val="20"/>
              </w:rPr>
            </w:pPr>
          </w:p>
        </w:tc>
        <w:tc>
          <w:tcPr>
            <w:tcW w:w="993" w:type="pct"/>
            <w:vMerge w:val="continue"/>
            <w:tcBorders>
              <w:left w:val="single" w:color="000000" w:sz="4" w:space="0"/>
              <w:right w:val="single" w:color="000000" w:sz="4" w:space="0"/>
            </w:tcBorders>
            <w:shd w:val="clear" w:color="auto" w:fill="auto"/>
            <w:vAlign w:val="center"/>
          </w:tcPr>
          <w:p w14:paraId="2ECC526C">
            <w:pPr>
              <w:widowControl/>
              <w:spacing w:line="240" w:lineRule="auto"/>
              <w:ind w:firstLine="0" w:firstLineChars="0"/>
              <w:jc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A1FAD">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6号门门前广场地下空洞处理</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BC7AE">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≥400平方米</w:t>
            </w:r>
          </w:p>
        </w:tc>
      </w:tr>
      <w:tr w14:paraId="361593A5">
        <w:tblPrEx>
          <w:tblCellMar>
            <w:top w:w="0" w:type="dxa"/>
            <w:left w:w="28" w:type="dxa"/>
            <w:bottom w:w="0" w:type="dxa"/>
            <w:right w:w="28" w:type="dxa"/>
          </w:tblCellMar>
        </w:tblPrEx>
        <w:trPr>
          <w:trHeight w:val="397" w:hRule="atLeast"/>
        </w:trPr>
        <w:tc>
          <w:tcPr>
            <w:tcW w:w="785" w:type="pct"/>
            <w:vMerge w:val="continue"/>
            <w:tcBorders>
              <w:left w:val="single" w:color="000000" w:sz="4" w:space="0"/>
              <w:right w:val="single" w:color="000000" w:sz="4" w:space="0"/>
            </w:tcBorders>
            <w:shd w:val="clear" w:color="auto" w:fill="auto"/>
            <w:vAlign w:val="center"/>
          </w:tcPr>
          <w:p w14:paraId="30D8ED42">
            <w:pPr>
              <w:widowControl/>
              <w:spacing w:line="240" w:lineRule="auto"/>
              <w:ind w:firstLine="0" w:firstLineChars="0"/>
              <w:jc w:val="center"/>
              <w:rPr>
                <w:rFonts w:ascii="宋体" w:hAnsi="宋体" w:eastAsia="宋体" w:cs="宋体"/>
                <w:sz w:val="20"/>
                <w:szCs w:val="20"/>
              </w:rPr>
            </w:pPr>
          </w:p>
        </w:tc>
        <w:tc>
          <w:tcPr>
            <w:tcW w:w="993" w:type="pct"/>
            <w:vMerge w:val="continue"/>
            <w:tcBorders>
              <w:left w:val="single" w:color="000000" w:sz="4" w:space="0"/>
              <w:right w:val="single" w:color="000000" w:sz="4" w:space="0"/>
            </w:tcBorders>
            <w:shd w:val="clear" w:color="auto" w:fill="auto"/>
            <w:vAlign w:val="center"/>
          </w:tcPr>
          <w:p w14:paraId="3F19408A">
            <w:pPr>
              <w:widowControl/>
              <w:spacing w:line="240" w:lineRule="auto"/>
              <w:ind w:firstLine="0" w:firstLineChars="0"/>
              <w:jc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113D4">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9号门门前广场拆除旧砖、新铺10cm地砖</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98C05">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≥1859平方米</w:t>
            </w:r>
          </w:p>
        </w:tc>
      </w:tr>
      <w:tr w14:paraId="2249AE7D">
        <w:tblPrEx>
          <w:tblCellMar>
            <w:top w:w="0" w:type="dxa"/>
            <w:left w:w="28" w:type="dxa"/>
            <w:bottom w:w="0" w:type="dxa"/>
            <w:right w:w="28" w:type="dxa"/>
          </w:tblCellMar>
        </w:tblPrEx>
        <w:trPr>
          <w:trHeight w:val="397" w:hRule="atLeast"/>
        </w:trPr>
        <w:tc>
          <w:tcPr>
            <w:tcW w:w="785" w:type="pct"/>
            <w:vMerge w:val="continue"/>
            <w:tcBorders>
              <w:left w:val="single" w:color="000000" w:sz="4" w:space="0"/>
              <w:right w:val="single" w:color="000000" w:sz="4" w:space="0"/>
            </w:tcBorders>
            <w:shd w:val="clear" w:color="auto" w:fill="auto"/>
            <w:vAlign w:val="center"/>
          </w:tcPr>
          <w:p w14:paraId="6ECC2C51">
            <w:pPr>
              <w:widowControl/>
              <w:spacing w:line="240" w:lineRule="auto"/>
              <w:ind w:firstLine="0" w:firstLineChars="0"/>
              <w:jc w:val="center"/>
              <w:rPr>
                <w:rFonts w:ascii="宋体" w:hAnsi="宋体" w:eastAsia="宋体" w:cs="宋体"/>
                <w:sz w:val="20"/>
                <w:szCs w:val="20"/>
              </w:rPr>
            </w:pPr>
          </w:p>
        </w:tc>
        <w:tc>
          <w:tcPr>
            <w:tcW w:w="993" w:type="pct"/>
            <w:vMerge w:val="continue"/>
            <w:tcBorders>
              <w:left w:val="single" w:color="000000" w:sz="4" w:space="0"/>
              <w:right w:val="single" w:color="000000" w:sz="4" w:space="0"/>
            </w:tcBorders>
            <w:shd w:val="clear" w:color="auto" w:fill="auto"/>
            <w:vAlign w:val="center"/>
          </w:tcPr>
          <w:p w14:paraId="15E57723">
            <w:pPr>
              <w:widowControl/>
              <w:spacing w:line="240" w:lineRule="auto"/>
              <w:ind w:firstLine="0" w:firstLineChars="0"/>
              <w:jc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2F5083">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9号门门前广场地下空洞处理</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46F34">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≥130平方米</w:t>
            </w:r>
          </w:p>
        </w:tc>
      </w:tr>
      <w:tr w14:paraId="1F8A3AFB">
        <w:tblPrEx>
          <w:tblCellMar>
            <w:top w:w="0" w:type="dxa"/>
            <w:left w:w="28" w:type="dxa"/>
            <w:bottom w:w="0" w:type="dxa"/>
            <w:right w:w="28" w:type="dxa"/>
          </w:tblCellMar>
        </w:tblPrEx>
        <w:trPr>
          <w:trHeight w:val="397" w:hRule="atLeast"/>
        </w:trPr>
        <w:tc>
          <w:tcPr>
            <w:tcW w:w="785" w:type="pct"/>
            <w:vMerge w:val="continue"/>
            <w:tcBorders>
              <w:left w:val="single" w:color="000000" w:sz="4" w:space="0"/>
              <w:right w:val="single" w:color="000000" w:sz="4" w:space="0"/>
            </w:tcBorders>
            <w:shd w:val="clear" w:color="auto" w:fill="auto"/>
            <w:vAlign w:val="center"/>
          </w:tcPr>
          <w:p w14:paraId="6F0152C5">
            <w:pPr>
              <w:widowControl/>
              <w:spacing w:line="240" w:lineRule="auto"/>
              <w:ind w:firstLine="0" w:firstLineChars="0"/>
              <w:jc w:val="center"/>
              <w:textAlignment w:val="center"/>
              <w:rPr>
                <w:rFonts w:ascii="宋体" w:hAnsi="宋体" w:eastAsia="宋体" w:cs="宋体"/>
                <w:sz w:val="20"/>
                <w:szCs w:val="20"/>
              </w:rPr>
            </w:pPr>
          </w:p>
        </w:tc>
        <w:tc>
          <w:tcPr>
            <w:tcW w:w="993" w:type="pct"/>
            <w:vMerge w:val="continue"/>
            <w:tcBorders>
              <w:left w:val="single" w:color="000000" w:sz="4" w:space="0"/>
              <w:right w:val="single" w:color="000000" w:sz="4" w:space="0"/>
            </w:tcBorders>
            <w:shd w:val="clear" w:color="auto" w:fill="auto"/>
            <w:vAlign w:val="center"/>
          </w:tcPr>
          <w:p w14:paraId="63CC2438">
            <w:pPr>
              <w:widowControl/>
              <w:spacing w:line="240" w:lineRule="auto"/>
              <w:ind w:firstLine="0" w:firstLineChars="0"/>
              <w:jc w:val="center"/>
              <w:textAlignment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1C290">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东南出入口地砖利旧重铺</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30D21">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≥340平方米</w:t>
            </w:r>
          </w:p>
        </w:tc>
      </w:tr>
      <w:tr w14:paraId="38ED87A9">
        <w:tblPrEx>
          <w:tblCellMar>
            <w:top w:w="0" w:type="dxa"/>
            <w:left w:w="28" w:type="dxa"/>
            <w:bottom w:w="0" w:type="dxa"/>
            <w:right w:w="28" w:type="dxa"/>
          </w:tblCellMar>
        </w:tblPrEx>
        <w:trPr>
          <w:trHeight w:val="397" w:hRule="atLeast"/>
        </w:trPr>
        <w:tc>
          <w:tcPr>
            <w:tcW w:w="785" w:type="pct"/>
            <w:vMerge w:val="continue"/>
            <w:tcBorders>
              <w:left w:val="single" w:color="000000" w:sz="4" w:space="0"/>
              <w:right w:val="single" w:color="000000" w:sz="4" w:space="0"/>
            </w:tcBorders>
            <w:shd w:val="clear" w:color="auto" w:fill="auto"/>
            <w:vAlign w:val="center"/>
          </w:tcPr>
          <w:p w14:paraId="586D34AC">
            <w:pPr>
              <w:widowControl/>
              <w:spacing w:line="240" w:lineRule="auto"/>
              <w:ind w:firstLine="0" w:firstLineChars="0"/>
              <w:jc w:val="center"/>
              <w:rPr>
                <w:rFonts w:ascii="宋体" w:hAnsi="宋体" w:eastAsia="宋体" w:cs="宋体"/>
                <w:sz w:val="20"/>
                <w:szCs w:val="20"/>
              </w:rPr>
            </w:pPr>
          </w:p>
        </w:tc>
        <w:tc>
          <w:tcPr>
            <w:tcW w:w="993" w:type="pct"/>
            <w:vMerge w:val="continue"/>
            <w:tcBorders>
              <w:left w:val="single" w:color="000000" w:sz="4" w:space="0"/>
              <w:right w:val="single" w:color="000000" w:sz="4" w:space="0"/>
            </w:tcBorders>
            <w:shd w:val="clear" w:color="auto" w:fill="auto"/>
            <w:vAlign w:val="center"/>
          </w:tcPr>
          <w:p w14:paraId="54B2630E">
            <w:pPr>
              <w:widowControl/>
              <w:spacing w:line="240" w:lineRule="auto"/>
              <w:ind w:firstLine="0" w:firstLineChars="0"/>
              <w:jc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025AB">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6号门门前广场地砖利旧更换</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2281E">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≥160平方米</w:t>
            </w:r>
          </w:p>
        </w:tc>
      </w:tr>
      <w:tr w14:paraId="26EAF280">
        <w:tblPrEx>
          <w:tblCellMar>
            <w:top w:w="0" w:type="dxa"/>
            <w:left w:w="28" w:type="dxa"/>
            <w:bottom w:w="0" w:type="dxa"/>
            <w:right w:w="28" w:type="dxa"/>
          </w:tblCellMar>
        </w:tblPrEx>
        <w:trPr>
          <w:trHeight w:val="397" w:hRule="atLeast"/>
        </w:trPr>
        <w:tc>
          <w:tcPr>
            <w:tcW w:w="785" w:type="pct"/>
            <w:vMerge w:val="continue"/>
            <w:tcBorders>
              <w:left w:val="single" w:color="000000" w:sz="4" w:space="0"/>
              <w:right w:val="single" w:color="000000" w:sz="4" w:space="0"/>
            </w:tcBorders>
            <w:shd w:val="clear" w:color="auto" w:fill="auto"/>
            <w:vAlign w:val="center"/>
          </w:tcPr>
          <w:p w14:paraId="4A46680B">
            <w:pPr>
              <w:widowControl/>
              <w:spacing w:line="240" w:lineRule="auto"/>
              <w:ind w:firstLine="0" w:firstLineChars="0"/>
              <w:jc w:val="center"/>
              <w:rPr>
                <w:rFonts w:ascii="宋体" w:hAnsi="宋体" w:eastAsia="宋体" w:cs="宋体"/>
                <w:sz w:val="20"/>
                <w:szCs w:val="20"/>
              </w:rPr>
            </w:pPr>
          </w:p>
        </w:tc>
        <w:tc>
          <w:tcPr>
            <w:tcW w:w="993" w:type="pct"/>
            <w:vMerge w:val="continue"/>
            <w:tcBorders>
              <w:left w:val="single" w:color="000000" w:sz="4" w:space="0"/>
              <w:right w:val="single" w:color="000000" w:sz="4" w:space="0"/>
            </w:tcBorders>
            <w:shd w:val="clear" w:color="auto" w:fill="auto"/>
            <w:vAlign w:val="center"/>
          </w:tcPr>
          <w:p w14:paraId="43E9148B">
            <w:pPr>
              <w:widowControl/>
              <w:spacing w:line="240" w:lineRule="auto"/>
              <w:ind w:firstLine="0" w:firstLineChars="0"/>
              <w:jc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2FF32">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6号门门前广场沥青路面翻新</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F14AA">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≥2100平方米</w:t>
            </w:r>
          </w:p>
        </w:tc>
      </w:tr>
      <w:tr w14:paraId="66D003E0">
        <w:tblPrEx>
          <w:tblCellMar>
            <w:top w:w="0" w:type="dxa"/>
            <w:left w:w="28" w:type="dxa"/>
            <w:bottom w:w="0" w:type="dxa"/>
            <w:right w:w="28" w:type="dxa"/>
          </w:tblCellMar>
        </w:tblPrEx>
        <w:trPr>
          <w:trHeight w:val="397" w:hRule="atLeast"/>
        </w:trPr>
        <w:tc>
          <w:tcPr>
            <w:tcW w:w="785" w:type="pct"/>
            <w:vMerge w:val="continue"/>
            <w:tcBorders>
              <w:left w:val="single" w:color="000000" w:sz="4" w:space="0"/>
              <w:right w:val="single" w:color="000000" w:sz="4" w:space="0"/>
            </w:tcBorders>
            <w:shd w:val="clear" w:color="auto" w:fill="auto"/>
            <w:vAlign w:val="center"/>
          </w:tcPr>
          <w:p w14:paraId="6421C823">
            <w:pPr>
              <w:widowControl/>
              <w:spacing w:line="240" w:lineRule="auto"/>
              <w:ind w:firstLine="0" w:firstLineChars="0"/>
              <w:jc w:val="center"/>
              <w:rPr>
                <w:rFonts w:ascii="宋体" w:hAnsi="宋体" w:eastAsia="宋体" w:cs="宋体"/>
                <w:sz w:val="20"/>
                <w:szCs w:val="20"/>
              </w:rPr>
            </w:pPr>
          </w:p>
        </w:tc>
        <w:tc>
          <w:tcPr>
            <w:tcW w:w="993" w:type="pct"/>
            <w:vMerge w:val="continue"/>
            <w:tcBorders>
              <w:left w:val="single" w:color="000000" w:sz="4" w:space="0"/>
              <w:right w:val="single" w:color="000000" w:sz="4" w:space="0"/>
            </w:tcBorders>
            <w:shd w:val="clear" w:color="auto" w:fill="auto"/>
            <w:vAlign w:val="center"/>
          </w:tcPr>
          <w:p w14:paraId="79105691">
            <w:pPr>
              <w:widowControl/>
              <w:spacing w:line="240" w:lineRule="auto"/>
              <w:ind w:firstLine="0" w:firstLineChars="0"/>
              <w:jc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BF7BA">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东侧步道砖利旧重铺</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33154">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≥300平方米</w:t>
            </w:r>
          </w:p>
        </w:tc>
      </w:tr>
      <w:tr w14:paraId="056FA6DE">
        <w:tblPrEx>
          <w:tblCellMar>
            <w:top w:w="0" w:type="dxa"/>
            <w:left w:w="28" w:type="dxa"/>
            <w:bottom w:w="0" w:type="dxa"/>
            <w:right w:w="28" w:type="dxa"/>
          </w:tblCellMar>
        </w:tblPrEx>
        <w:trPr>
          <w:trHeight w:val="397" w:hRule="atLeast"/>
        </w:trPr>
        <w:tc>
          <w:tcPr>
            <w:tcW w:w="785" w:type="pct"/>
            <w:vMerge w:val="continue"/>
            <w:tcBorders>
              <w:left w:val="single" w:color="000000" w:sz="4" w:space="0"/>
              <w:right w:val="single" w:color="000000" w:sz="4" w:space="0"/>
            </w:tcBorders>
            <w:shd w:val="clear" w:color="auto" w:fill="auto"/>
            <w:vAlign w:val="center"/>
          </w:tcPr>
          <w:p w14:paraId="27740E4C">
            <w:pPr>
              <w:widowControl/>
              <w:spacing w:line="240" w:lineRule="auto"/>
              <w:ind w:firstLine="0" w:firstLineChars="0"/>
              <w:jc w:val="center"/>
              <w:rPr>
                <w:rFonts w:ascii="宋体" w:hAnsi="宋体" w:eastAsia="宋体" w:cs="宋体"/>
                <w:sz w:val="20"/>
                <w:szCs w:val="20"/>
              </w:rPr>
            </w:pPr>
          </w:p>
        </w:tc>
        <w:tc>
          <w:tcPr>
            <w:tcW w:w="993" w:type="pct"/>
            <w:vMerge w:val="continue"/>
            <w:tcBorders>
              <w:left w:val="single" w:color="000000" w:sz="4" w:space="0"/>
              <w:right w:val="single" w:color="000000" w:sz="4" w:space="0"/>
            </w:tcBorders>
            <w:shd w:val="clear" w:color="auto" w:fill="auto"/>
            <w:vAlign w:val="center"/>
          </w:tcPr>
          <w:p w14:paraId="6BBB4062">
            <w:pPr>
              <w:widowControl/>
              <w:spacing w:line="240" w:lineRule="auto"/>
              <w:ind w:firstLine="0" w:firstLineChars="0"/>
              <w:jc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753B1">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东南出入口衔接市政道路处新铺沥青道路</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E9955">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≥15平方米</w:t>
            </w:r>
          </w:p>
        </w:tc>
      </w:tr>
      <w:tr w14:paraId="3C44BD88">
        <w:tblPrEx>
          <w:tblCellMar>
            <w:top w:w="0" w:type="dxa"/>
            <w:left w:w="28" w:type="dxa"/>
            <w:bottom w:w="0" w:type="dxa"/>
            <w:right w:w="28" w:type="dxa"/>
          </w:tblCellMar>
        </w:tblPrEx>
        <w:trPr>
          <w:trHeight w:val="397" w:hRule="atLeast"/>
        </w:trPr>
        <w:tc>
          <w:tcPr>
            <w:tcW w:w="785" w:type="pct"/>
            <w:vMerge w:val="continue"/>
            <w:tcBorders>
              <w:left w:val="single" w:color="000000" w:sz="4" w:space="0"/>
              <w:right w:val="single" w:color="000000" w:sz="4" w:space="0"/>
            </w:tcBorders>
            <w:shd w:val="clear" w:color="auto" w:fill="auto"/>
            <w:vAlign w:val="center"/>
          </w:tcPr>
          <w:p w14:paraId="4500420C">
            <w:pPr>
              <w:widowControl/>
              <w:spacing w:line="240" w:lineRule="auto"/>
              <w:ind w:firstLine="0" w:firstLineChars="0"/>
              <w:jc w:val="center"/>
              <w:rPr>
                <w:rFonts w:ascii="宋体" w:hAnsi="宋体" w:eastAsia="宋体" w:cs="宋体"/>
                <w:sz w:val="20"/>
                <w:szCs w:val="20"/>
              </w:rPr>
            </w:pPr>
          </w:p>
        </w:tc>
        <w:tc>
          <w:tcPr>
            <w:tcW w:w="993" w:type="pct"/>
            <w:vMerge w:val="continue"/>
            <w:tcBorders>
              <w:left w:val="single" w:color="000000" w:sz="4" w:space="0"/>
              <w:right w:val="single" w:color="000000" w:sz="4" w:space="0"/>
            </w:tcBorders>
            <w:shd w:val="clear" w:color="auto" w:fill="auto"/>
            <w:vAlign w:val="center"/>
          </w:tcPr>
          <w:p w14:paraId="2D6AFB6F">
            <w:pPr>
              <w:widowControl/>
              <w:spacing w:line="240" w:lineRule="auto"/>
              <w:ind w:firstLine="0" w:firstLineChars="0"/>
              <w:jc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D15E8">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修缮、改造工程数量</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B40DD9">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≥1个</w:t>
            </w:r>
          </w:p>
        </w:tc>
      </w:tr>
      <w:tr w14:paraId="18EDCE9F">
        <w:tblPrEx>
          <w:tblCellMar>
            <w:top w:w="0" w:type="dxa"/>
            <w:left w:w="28" w:type="dxa"/>
            <w:bottom w:w="0" w:type="dxa"/>
            <w:right w:w="28" w:type="dxa"/>
          </w:tblCellMar>
        </w:tblPrEx>
        <w:trPr>
          <w:trHeight w:val="397" w:hRule="atLeast"/>
        </w:trPr>
        <w:tc>
          <w:tcPr>
            <w:tcW w:w="785" w:type="pct"/>
            <w:vMerge w:val="continue"/>
            <w:tcBorders>
              <w:left w:val="single" w:color="000000" w:sz="4" w:space="0"/>
              <w:right w:val="single" w:color="000000" w:sz="4" w:space="0"/>
            </w:tcBorders>
            <w:shd w:val="clear" w:color="auto" w:fill="auto"/>
            <w:vAlign w:val="center"/>
          </w:tcPr>
          <w:p w14:paraId="244503C4">
            <w:pPr>
              <w:widowControl/>
              <w:spacing w:line="240" w:lineRule="auto"/>
              <w:ind w:firstLine="0" w:firstLineChars="0"/>
              <w:jc w:val="center"/>
              <w:rPr>
                <w:rFonts w:ascii="宋体" w:hAnsi="宋体" w:eastAsia="宋体" w:cs="宋体"/>
                <w:sz w:val="20"/>
                <w:szCs w:val="20"/>
              </w:rPr>
            </w:pPr>
          </w:p>
        </w:tc>
        <w:tc>
          <w:tcPr>
            <w:tcW w:w="993" w:type="pct"/>
            <w:vMerge w:val="continue"/>
            <w:tcBorders>
              <w:left w:val="single" w:color="000000" w:sz="4" w:space="0"/>
              <w:right w:val="single" w:color="000000" w:sz="4" w:space="0"/>
            </w:tcBorders>
            <w:shd w:val="clear" w:color="auto" w:fill="auto"/>
            <w:vAlign w:val="center"/>
          </w:tcPr>
          <w:p w14:paraId="6925AD1B">
            <w:pPr>
              <w:widowControl/>
              <w:spacing w:line="240" w:lineRule="auto"/>
              <w:ind w:firstLine="0" w:firstLineChars="0"/>
              <w:jc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C0BDC">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西坡道出入口地砖利旧重铺</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EA158">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≥50平方米</w:t>
            </w:r>
          </w:p>
        </w:tc>
      </w:tr>
      <w:tr w14:paraId="5B0B0927">
        <w:tblPrEx>
          <w:tblCellMar>
            <w:top w:w="0" w:type="dxa"/>
            <w:left w:w="28" w:type="dxa"/>
            <w:bottom w:w="0" w:type="dxa"/>
            <w:right w:w="28" w:type="dxa"/>
          </w:tblCellMar>
        </w:tblPrEx>
        <w:trPr>
          <w:trHeight w:val="397" w:hRule="atLeast"/>
        </w:trPr>
        <w:tc>
          <w:tcPr>
            <w:tcW w:w="785" w:type="pct"/>
            <w:vMerge w:val="continue"/>
            <w:tcBorders>
              <w:left w:val="single" w:color="000000" w:sz="4" w:space="0"/>
              <w:right w:val="single" w:color="000000" w:sz="4" w:space="0"/>
            </w:tcBorders>
            <w:shd w:val="clear" w:color="auto" w:fill="auto"/>
            <w:vAlign w:val="center"/>
          </w:tcPr>
          <w:p w14:paraId="37FCE88C">
            <w:pPr>
              <w:widowControl/>
              <w:spacing w:line="240" w:lineRule="auto"/>
              <w:ind w:firstLine="0" w:firstLineChars="0"/>
              <w:jc w:val="center"/>
              <w:rPr>
                <w:rFonts w:ascii="宋体" w:hAnsi="宋体" w:eastAsia="宋体" w:cs="宋体"/>
                <w:sz w:val="20"/>
                <w:szCs w:val="20"/>
              </w:rPr>
            </w:pPr>
          </w:p>
        </w:tc>
        <w:tc>
          <w:tcPr>
            <w:tcW w:w="993" w:type="pct"/>
            <w:vMerge w:val="continue"/>
            <w:tcBorders>
              <w:left w:val="single" w:color="000000" w:sz="4" w:space="0"/>
              <w:bottom w:val="single" w:color="000000" w:sz="4" w:space="0"/>
              <w:right w:val="single" w:color="000000" w:sz="4" w:space="0"/>
            </w:tcBorders>
            <w:shd w:val="clear" w:color="auto" w:fill="auto"/>
            <w:vAlign w:val="center"/>
          </w:tcPr>
          <w:p w14:paraId="055CE8DB">
            <w:pPr>
              <w:widowControl/>
              <w:spacing w:line="240" w:lineRule="auto"/>
              <w:ind w:firstLine="0" w:firstLineChars="0"/>
              <w:jc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C8EA4">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9号门门前广场衔接市政道路处新铺沥青道路</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8F1AC">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≥250平方米</w:t>
            </w:r>
          </w:p>
        </w:tc>
      </w:tr>
      <w:tr w14:paraId="1EB2C515">
        <w:tblPrEx>
          <w:tblCellMar>
            <w:top w:w="0" w:type="dxa"/>
            <w:left w:w="28" w:type="dxa"/>
            <w:bottom w:w="0" w:type="dxa"/>
            <w:right w:w="28" w:type="dxa"/>
          </w:tblCellMar>
        </w:tblPrEx>
        <w:trPr>
          <w:trHeight w:val="397" w:hRule="atLeast"/>
        </w:trPr>
        <w:tc>
          <w:tcPr>
            <w:tcW w:w="785" w:type="pct"/>
            <w:vMerge w:val="continue"/>
            <w:tcBorders>
              <w:left w:val="single" w:color="000000" w:sz="4" w:space="0"/>
              <w:right w:val="single" w:color="000000" w:sz="4" w:space="0"/>
            </w:tcBorders>
            <w:shd w:val="clear" w:color="auto" w:fill="auto"/>
            <w:vAlign w:val="center"/>
          </w:tcPr>
          <w:p w14:paraId="3B5AE1F9">
            <w:pPr>
              <w:widowControl/>
              <w:spacing w:line="240" w:lineRule="auto"/>
              <w:ind w:firstLine="0" w:firstLineChars="0"/>
              <w:jc w:val="center"/>
              <w:rPr>
                <w:rFonts w:ascii="宋体" w:hAnsi="宋体" w:eastAsia="宋体" w:cs="宋体"/>
                <w:sz w:val="20"/>
                <w:szCs w:val="20"/>
              </w:rPr>
            </w:pPr>
          </w:p>
        </w:tc>
        <w:tc>
          <w:tcPr>
            <w:tcW w:w="9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1AEE62">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质量指标</w:t>
            </w: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97B73">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设施有效运转率</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0CA91">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≥100%</w:t>
            </w:r>
          </w:p>
        </w:tc>
      </w:tr>
      <w:tr w14:paraId="641DF902">
        <w:tblPrEx>
          <w:tblCellMar>
            <w:top w:w="0" w:type="dxa"/>
            <w:left w:w="28" w:type="dxa"/>
            <w:bottom w:w="0" w:type="dxa"/>
            <w:right w:w="28" w:type="dxa"/>
          </w:tblCellMar>
        </w:tblPrEx>
        <w:trPr>
          <w:trHeight w:val="397" w:hRule="atLeast"/>
        </w:trPr>
        <w:tc>
          <w:tcPr>
            <w:tcW w:w="785" w:type="pct"/>
            <w:vMerge w:val="continue"/>
            <w:tcBorders>
              <w:left w:val="single" w:color="000000" w:sz="4" w:space="0"/>
              <w:right w:val="single" w:color="000000" w:sz="4" w:space="0"/>
            </w:tcBorders>
            <w:shd w:val="clear" w:color="auto" w:fill="auto"/>
            <w:vAlign w:val="center"/>
          </w:tcPr>
          <w:p w14:paraId="55B7D1B1">
            <w:pPr>
              <w:widowControl/>
              <w:spacing w:line="240" w:lineRule="auto"/>
              <w:ind w:firstLine="0" w:firstLineChars="0"/>
              <w:jc w:val="center"/>
              <w:rPr>
                <w:rFonts w:ascii="宋体" w:hAnsi="宋体" w:eastAsia="宋体" w:cs="宋体"/>
                <w:sz w:val="20"/>
                <w:szCs w:val="20"/>
              </w:rPr>
            </w:pPr>
          </w:p>
        </w:tc>
        <w:tc>
          <w:tcPr>
            <w:tcW w:w="9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25FF1C">
            <w:pPr>
              <w:widowControl/>
              <w:spacing w:line="240" w:lineRule="auto"/>
              <w:ind w:firstLine="0" w:firstLineChars="0"/>
              <w:jc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1034D">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竣工验收合格率</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EA7AA">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≥100%</w:t>
            </w:r>
          </w:p>
        </w:tc>
      </w:tr>
      <w:tr w14:paraId="580E0D85">
        <w:tblPrEx>
          <w:tblCellMar>
            <w:top w:w="0" w:type="dxa"/>
            <w:left w:w="28" w:type="dxa"/>
            <w:bottom w:w="0" w:type="dxa"/>
            <w:right w:w="28" w:type="dxa"/>
          </w:tblCellMar>
        </w:tblPrEx>
        <w:trPr>
          <w:trHeight w:val="397" w:hRule="atLeast"/>
        </w:trPr>
        <w:tc>
          <w:tcPr>
            <w:tcW w:w="785" w:type="pct"/>
            <w:vMerge w:val="continue"/>
            <w:tcBorders>
              <w:left w:val="single" w:color="000000" w:sz="4" w:space="0"/>
              <w:bottom w:val="single" w:color="000000" w:sz="4" w:space="0"/>
              <w:right w:val="single" w:color="000000" w:sz="4" w:space="0"/>
            </w:tcBorders>
            <w:shd w:val="clear" w:color="auto" w:fill="auto"/>
            <w:vAlign w:val="center"/>
          </w:tcPr>
          <w:p w14:paraId="62E9F721">
            <w:pPr>
              <w:widowControl/>
              <w:spacing w:line="240" w:lineRule="auto"/>
              <w:ind w:firstLine="0" w:firstLineChars="0"/>
              <w:jc w:val="center"/>
              <w:rPr>
                <w:rFonts w:ascii="宋体" w:hAnsi="宋体" w:eastAsia="宋体" w:cs="宋体"/>
                <w:sz w:val="20"/>
                <w:szCs w:val="20"/>
              </w:rPr>
            </w:pPr>
          </w:p>
        </w:tc>
        <w:tc>
          <w:tcPr>
            <w:tcW w:w="9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0FEC4">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时效指标</w:t>
            </w: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46F7C">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项目按计划完工率</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077E3">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≥100%</w:t>
            </w:r>
          </w:p>
        </w:tc>
      </w:tr>
      <w:tr w14:paraId="4CC76011">
        <w:tblPrEx>
          <w:tblCellMar>
            <w:top w:w="0" w:type="dxa"/>
            <w:left w:w="28" w:type="dxa"/>
            <w:bottom w:w="0" w:type="dxa"/>
            <w:right w:w="28" w:type="dxa"/>
          </w:tblCellMar>
        </w:tblPrEx>
        <w:trPr>
          <w:trHeight w:val="397" w:hRule="atLeast"/>
        </w:trPr>
        <w:tc>
          <w:tcPr>
            <w:tcW w:w="7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C58CD4">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效益指标</w:t>
            </w:r>
          </w:p>
        </w:tc>
        <w:tc>
          <w:tcPr>
            <w:tcW w:w="9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3A4BB5">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社会效益指标</w:t>
            </w: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4543A">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项目受益人数</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9F2BA0">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≥4000人</w:t>
            </w:r>
          </w:p>
        </w:tc>
      </w:tr>
      <w:tr w14:paraId="2FCDD44C">
        <w:tblPrEx>
          <w:tblCellMar>
            <w:top w:w="0" w:type="dxa"/>
            <w:left w:w="28" w:type="dxa"/>
            <w:bottom w:w="0" w:type="dxa"/>
            <w:right w:w="28" w:type="dxa"/>
          </w:tblCellMar>
        </w:tblPrEx>
        <w:trPr>
          <w:trHeight w:val="397" w:hRule="atLeast"/>
        </w:trPr>
        <w:tc>
          <w:tcPr>
            <w:tcW w:w="7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F96D8">
            <w:pPr>
              <w:widowControl/>
              <w:spacing w:line="240" w:lineRule="auto"/>
              <w:ind w:firstLine="0" w:firstLineChars="0"/>
              <w:jc w:val="center"/>
              <w:rPr>
                <w:rFonts w:ascii="宋体" w:hAnsi="宋体" w:eastAsia="宋体" w:cs="宋体"/>
                <w:sz w:val="20"/>
                <w:szCs w:val="20"/>
              </w:rPr>
            </w:pPr>
          </w:p>
        </w:tc>
        <w:tc>
          <w:tcPr>
            <w:tcW w:w="9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EAE03">
            <w:pPr>
              <w:widowControl/>
              <w:spacing w:line="240" w:lineRule="auto"/>
              <w:ind w:firstLine="0" w:firstLineChars="0"/>
              <w:jc w:val="center"/>
              <w:rPr>
                <w:rFonts w:ascii="宋体" w:hAnsi="宋体" w:eastAsia="宋体" w:cs="宋体"/>
                <w:sz w:val="20"/>
                <w:szCs w:val="20"/>
              </w:rPr>
            </w:pP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A7BBB">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满足办公需求程度</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3605F">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定性优，达成预期条件</w:t>
            </w:r>
          </w:p>
        </w:tc>
      </w:tr>
      <w:tr w14:paraId="63CFED1C">
        <w:tblPrEx>
          <w:tblCellMar>
            <w:top w:w="0" w:type="dxa"/>
            <w:left w:w="28" w:type="dxa"/>
            <w:bottom w:w="0" w:type="dxa"/>
            <w:right w:w="28" w:type="dxa"/>
          </w:tblCellMar>
        </w:tblPrEx>
        <w:trPr>
          <w:trHeight w:val="397" w:hRule="atLeast"/>
        </w:trPr>
        <w:tc>
          <w:tcPr>
            <w:tcW w:w="7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B028C5">
            <w:pPr>
              <w:widowControl/>
              <w:spacing w:line="240" w:lineRule="auto"/>
              <w:ind w:firstLine="0" w:firstLineChars="0"/>
              <w:jc w:val="center"/>
              <w:rPr>
                <w:rFonts w:ascii="宋体" w:hAnsi="宋体" w:eastAsia="宋体" w:cs="宋体"/>
                <w:sz w:val="20"/>
                <w:szCs w:val="20"/>
              </w:rPr>
            </w:pPr>
          </w:p>
        </w:tc>
        <w:tc>
          <w:tcPr>
            <w:tcW w:w="9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00908">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可持续影响指标</w:t>
            </w: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57961">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预计使用年限</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49572">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≥10年</w:t>
            </w:r>
          </w:p>
        </w:tc>
      </w:tr>
      <w:tr w14:paraId="0D7A7F76">
        <w:tblPrEx>
          <w:tblCellMar>
            <w:top w:w="0" w:type="dxa"/>
            <w:left w:w="28" w:type="dxa"/>
            <w:bottom w:w="0" w:type="dxa"/>
            <w:right w:w="28" w:type="dxa"/>
          </w:tblCellMar>
        </w:tblPrEx>
        <w:trPr>
          <w:trHeight w:val="397" w:hRule="atLeast"/>
        </w:trPr>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E96A8">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满意度指标</w:t>
            </w:r>
          </w:p>
        </w:tc>
        <w:tc>
          <w:tcPr>
            <w:tcW w:w="9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86034">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服务对象满意度指标</w:t>
            </w:r>
          </w:p>
        </w:tc>
        <w:tc>
          <w:tcPr>
            <w:tcW w:w="2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32444">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使用（管理）人员满意度</w:t>
            </w:r>
          </w:p>
        </w:tc>
        <w:tc>
          <w:tcPr>
            <w:tcW w:w="1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DC620">
            <w:pPr>
              <w:widowControl/>
              <w:spacing w:line="240" w:lineRule="auto"/>
              <w:ind w:firstLine="0" w:firstLineChars="0"/>
              <w:jc w:val="center"/>
              <w:textAlignment w:val="center"/>
              <w:rPr>
                <w:rFonts w:ascii="宋体" w:hAnsi="宋体" w:eastAsia="宋体" w:cs="宋体"/>
                <w:sz w:val="20"/>
                <w:szCs w:val="20"/>
              </w:rPr>
            </w:pPr>
            <w:r>
              <w:rPr>
                <w:rFonts w:hint="eastAsia" w:ascii="宋体" w:hAnsi="宋体" w:eastAsia="宋体" w:cs="宋体"/>
                <w:kern w:val="0"/>
                <w:sz w:val="20"/>
                <w:szCs w:val="20"/>
              </w:rPr>
              <w:t>≥95%</w:t>
            </w:r>
          </w:p>
        </w:tc>
      </w:tr>
    </w:tbl>
    <w:p w14:paraId="4140424E">
      <w:pPr>
        <w:pStyle w:val="30"/>
        <w:spacing w:line="240" w:lineRule="auto"/>
        <w:ind w:firstLine="0" w:firstLineChars="0"/>
        <w:rPr>
          <w:sz w:val="20"/>
          <w:szCs w:val="20"/>
        </w:rPr>
      </w:pPr>
    </w:p>
    <w:p w14:paraId="78A1C0F6">
      <w:pPr>
        <w:ind w:firstLine="640"/>
        <w:outlineLvl w:val="0"/>
        <w:rPr>
          <w:rFonts w:ascii="黑体" w:eastAsia="黑体"/>
          <w:szCs w:val="32"/>
        </w:rPr>
      </w:pPr>
      <w:bookmarkStart w:id="21" w:name="_Toc17378"/>
      <w:r>
        <w:rPr>
          <w:rFonts w:hint="eastAsia" w:ascii="黑体" w:eastAsia="黑体"/>
          <w:szCs w:val="32"/>
        </w:rPr>
        <w:t>二、绩效评价工作开展情况</w:t>
      </w:r>
      <w:bookmarkEnd w:id="16"/>
      <w:bookmarkEnd w:id="17"/>
      <w:bookmarkEnd w:id="21"/>
    </w:p>
    <w:p w14:paraId="5E7C77E3">
      <w:pPr>
        <w:ind w:firstLine="640"/>
        <w:outlineLvl w:val="1"/>
        <w:rPr>
          <w:rFonts w:ascii="楷体_GB2312" w:eastAsia="楷体_GB2312"/>
          <w:szCs w:val="32"/>
        </w:rPr>
      </w:pPr>
      <w:bookmarkStart w:id="22" w:name="_Toc313007027"/>
      <w:bookmarkStart w:id="23" w:name="_Toc73095370"/>
      <w:bookmarkStart w:id="24" w:name="_Toc5936"/>
      <w:bookmarkStart w:id="25" w:name="_Toc35588402"/>
      <w:r>
        <w:rPr>
          <w:rFonts w:hint="eastAsia" w:ascii="楷体_GB2312" w:eastAsia="楷体_GB2312"/>
          <w:szCs w:val="32"/>
        </w:rPr>
        <w:t>（一）</w:t>
      </w:r>
      <w:bookmarkEnd w:id="22"/>
      <w:r>
        <w:rPr>
          <w:rFonts w:hint="eastAsia" w:ascii="楷体_GB2312" w:eastAsia="楷体_GB2312"/>
          <w:szCs w:val="32"/>
        </w:rPr>
        <w:t>绩效评价目的、对象及范围</w:t>
      </w:r>
      <w:bookmarkEnd w:id="23"/>
      <w:bookmarkEnd w:id="24"/>
      <w:bookmarkEnd w:id="25"/>
    </w:p>
    <w:p w14:paraId="4DAAE1AE">
      <w:pPr>
        <w:ind w:firstLine="640"/>
        <w:rPr>
          <w:rFonts w:ascii="仿宋_GB2312" w:hAnsi="仿宋" w:cs="仿宋"/>
          <w:b/>
          <w:bCs/>
          <w:szCs w:val="32"/>
        </w:rPr>
      </w:pPr>
      <w:bookmarkStart w:id="26" w:name="_Toc313007028"/>
      <w:bookmarkStart w:id="27" w:name="_Toc35588403"/>
      <w:r>
        <w:rPr>
          <w:rFonts w:ascii="仿宋_GB2312" w:hAnsi="仿宋"/>
          <w:szCs w:val="32"/>
        </w:rPr>
        <w:t>为深入贯彻落实</w:t>
      </w:r>
      <w:r>
        <w:rPr>
          <w:rFonts w:hint="eastAsia" w:ascii="仿宋_GB2312" w:hAnsi="仿宋"/>
          <w:szCs w:val="32"/>
        </w:rPr>
        <w:t>市财政局《关于印发进一步深化项目支出绩效预算管理改革的意见的通知》</w:t>
      </w:r>
      <w:r>
        <w:rPr>
          <w:rFonts w:hint="eastAsia" w:ascii="仿宋_GB2312" w:hAnsi="宋体" w:cs="宋体"/>
          <w:kern w:val="0"/>
          <w:szCs w:val="32"/>
        </w:rPr>
        <w:t>（京财预〔2017〕2944号）</w:t>
      </w:r>
      <w:r>
        <w:rPr>
          <w:rFonts w:ascii="仿宋_GB2312" w:hAnsi="仿宋"/>
          <w:szCs w:val="32"/>
        </w:rPr>
        <w:t>等文件要求，根据</w:t>
      </w:r>
      <w:r>
        <w:rPr>
          <w:rFonts w:hint="eastAsia" w:ascii="仿宋_GB2312" w:hAnsi="仿宋"/>
          <w:szCs w:val="32"/>
        </w:rPr>
        <w:t>《北京市项目支出绩效评价管理办法》（京财绩效〔2020〕2146号）（以下简称“京财绩效2146号文”）、《北京市财政局关于2025年预算绩效管理工作的通知》（京财绩效〔2025〕245号）等</w:t>
      </w:r>
      <w:r>
        <w:rPr>
          <w:rFonts w:ascii="仿宋_GB2312" w:hAnsi="仿宋"/>
          <w:szCs w:val="32"/>
        </w:rPr>
        <w:t>文件精神，</w:t>
      </w:r>
      <w:r>
        <w:rPr>
          <w:rFonts w:hint="eastAsia" w:ascii="仿宋_GB2312" w:hAnsi="仿宋"/>
          <w:szCs w:val="32"/>
        </w:rPr>
        <w:t>本次评价</w:t>
      </w:r>
      <w:r>
        <w:rPr>
          <w:rFonts w:ascii="仿宋_GB2312" w:hAnsi="仿宋"/>
          <w:szCs w:val="32"/>
        </w:rPr>
        <w:t>聚焦</w:t>
      </w:r>
      <w:r>
        <w:rPr>
          <w:rFonts w:hint="eastAsia" w:ascii="仿宋_GB2312" w:hAnsi="仿宋"/>
          <w:szCs w:val="32"/>
        </w:rPr>
        <w:t>市机关事务管理中心2024年六里桥办公区6、9号门门前广场维修提升项目</w:t>
      </w:r>
      <w:r>
        <w:rPr>
          <w:rFonts w:ascii="仿宋_GB2312" w:hAnsi="仿宋"/>
          <w:szCs w:val="32"/>
        </w:rPr>
        <w:t>，围绕决策、过程、产出及效益情况开展评价，总结经验，发现问题，剖析原因，提出改进建议，为相关部门科学决策、规范管理提供参考，进一步</w:t>
      </w:r>
      <w:r>
        <w:rPr>
          <w:rFonts w:hint="eastAsia" w:ascii="仿宋_GB2312" w:hAnsi="仿宋"/>
          <w:szCs w:val="32"/>
        </w:rPr>
        <w:t>提升办公楼及配套设施的使用安全，创造整洁舒适的办公环境</w:t>
      </w:r>
      <w:r>
        <w:rPr>
          <w:rFonts w:ascii="仿宋_GB2312" w:hAnsi="仿宋"/>
          <w:szCs w:val="32"/>
        </w:rPr>
        <w:t>，提高财政资金配置</w:t>
      </w:r>
      <w:r>
        <w:rPr>
          <w:rFonts w:hint="eastAsia" w:ascii="仿宋_GB2312" w:hAnsi="仿宋"/>
          <w:szCs w:val="32"/>
        </w:rPr>
        <w:t>、</w:t>
      </w:r>
      <w:r>
        <w:rPr>
          <w:rFonts w:ascii="仿宋_GB2312" w:hAnsi="仿宋"/>
          <w:szCs w:val="32"/>
        </w:rPr>
        <w:t>使用效益。</w:t>
      </w:r>
    </w:p>
    <w:p w14:paraId="0412FB61">
      <w:pPr>
        <w:ind w:firstLine="640"/>
        <w:outlineLvl w:val="1"/>
        <w:rPr>
          <w:rFonts w:ascii="楷体_GB2312" w:eastAsia="楷体_GB2312"/>
          <w:szCs w:val="32"/>
        </w:rPr>
      </w:pPr>
      <w:bookmarkStart w:id="28" w:name="_Toc22275"/>
      <w:bookmarkStart w:id="29" w:name="_Toc73095371"/>
      <w:r>
        <w:rPr>
          <w:rFonts w:hint="eastAsia" w:ascii="楷体_GB2312" w:eastAsia="楷体_GB2312"/>
          <w:szCs w:val="32"/>
        </w:rPr>
        <w:t>（二）绩效评价原则、</w:t>
      </w:r>
      <w:bookmarkEnd w:id="26"/>
      <w:r>
        <w:rPr>
          <w:rFonts w:hint="eastAsia" w:ascii="楷体_GB2312" w:eastAsia="楷体_GB2312"/>
          <w:szCs w:val="32"/>
        </w:rPr>
        <w:t>方法及指标体系</w:t>
      </w:r>
      <w:bookmarkEnd w:id="27"/>
      <w:bookmarkEnd w:id="28"/>
      <w:bookmarkEnd w:id="29"/>
    </w:p>
    <w:p w14:paraId="7A3534D1">
      <w:pPr>
        <w:pStyle w:val="30"/>
        <w:outlineLvl w:val="2"/>
      </w:pPr>
      <w:bookmarkStart w:id="30" w:name="_Toc313007030"/>
      <w:r>
        <w:rPr>
          <w:rFonts w:hint="eastAsia"/>
        </w:rPr>
        <w:t>1.评价原则和方法</w:t>
      </w:r>
    </w:p>
    <w:p w14:paraId="2F96AEF5">
      <w:pPr>
        <w:pStyle w:val="30"/>
        <w:wordWrap w:val="0"/>
        <w:topLinePunct/>
        <w:rPr>
          <w:rFonts w:ascii="黑体" w:hAnsi="黑体" w:eastAsia="黑体"/>
        </w:rPr>
      </w:pPr>
      <w:r>
        <w:rPr>
          <w:rFonts w:hint="eastAsia" w:hAnsi="宋体"/>
          <w:bCs/>
        </w:rPr>
        <w:t>本次评价本着问题导向、系统评价、科学客观、讲求绩效</w:t>
      </w:r>
      <w:r>
        <w:rPr>
          <w:rFonts w:hint="eastAsia"/>
        </w:rPr>
        <w:t>的</w:t>
      </w:r>
      <w:r>
        <w:rPr>
          <w:rFonts w:hint="eastAsia" w:hAnsi="宋体"/>
          <w:bCs/>
        </w:rPr>
        <w:t>原则，</w:t>
      </w:r>
      <w:r>
        <w:rPr>
          <w:rFonts w:hint="eastAsia"/>
        </w:rPr>
        <w:t>采用现场评价和非现场评价相结合、定性分析与定量分析相结合的方式，运用案卷研究、专家咨询等方法，对项目决策、过程、产出、效益四方面进行综合评价。</w:t>
      </w:r>
    </w:p>
    <w:p w14:paraId="227A8EB1">
      <w:pPr>
        <w:pStyle w:val="30"/>
        <w:outlineLvl w:val="2"/>
      </w:pPr>
      <w:r>
        <w:rPr>
          <w:rFonts w:hint="eastAsia"/>
        </w:rPr>
        <w:t>2.评价指标体系</w:t>
      </w:r>
      <w:bookmarkEnd w:id="30"/>
    </w:p>
    <w:p w14:paraId="63C9A66B">
      <w:pPr>
        <w:pStyle w:val="30"/>
      </w:pPr>
      <w:bookmarkStart w:id="31" w:name="_Toc35588404"/>
      <w:bookmarkStart w:id="32" w:name="_Toc313007032"/>
      <w:r>
        <w:rPr>
          <w:rFonts w:hint="eastAsia"/>
        </w:rPr>
        <w:t>根据京财绩效2146号文相关精神，结合项目特点，在与专家组、项目单位充分协商的基础上，评价工作组细化了该项目的绩效评价指标体系，详见附件1。评价指标体系总分值为100分，其中：项目决策</w:t>
      </w:r>
      <w:r>
        <w:t>10</w:t>
      </w:r>
      <w:r>
        <w:rPr>
          <w:rFonts w:hint="eastAsia"/>
        </w:rPr>
        <w:t>分，项目过程</w:t>
      </w:r>
      <w:r>
        <w:t>20</w:t>
      </w:r>
      <w:r>
        <w:rPr>
          <w:rFonts w:hint="eastAsia"/>
        </w:rPr>
        <w:t>分，项目产出</w:t>
      </w:r>
      <w:r>
        <w:t>40</w:t>
      </w:r>
      <w:r>
        <w:rPr>
          <w:rFonts w:hint="eastAsia"/>
        </w:rPr>
        <w:t>分，项目效益3</w:t>
      </w:r>
      <w:r>
        <w:t>0</w:t>
      </w:r>
      <w:r>
        <w:rPr>
          <w:rFonts w:hint="eastAsia"/>
        </w:rPr>
        <w:t>分。绩效评价综合绩效级别分为4个等级：</w:t>
      </w:r>
    </w:p>
    <w:p w14:paraId="30F36D1A">
      <w:pPr>
        <w:pStyle w:val="30"/>
        <w:rPr>
          <w:rFonts w:hAnsi="仿宋_GB2312" w:cs="仿宋_GB2312"/>
        </w:rPr>
      </w:pPr>
      <w:r>
        <w:rPr>
          <w:rFonts w:hint="eastAsia"/>
        </w:rPr>
        <w:t>综合得分在90（含）-100分为优；</w:t>
      </w:r>
    </w:p>
    <w:p w14:paraId="3098CA14">
      <w:pPr>
        <w:pStyle w:val="30"/>
      </w:pPr>
      <w:r>
        <w:rPr>
          <w:rFonts w:hint="eastAsia"/>
        </w:rPr>
        <w:t>综合得分在</w:t>
      </w:r>
      <w:r>
        <w:t>80</w:t>
      </w:r>
      <w:r>
        <w:rPr>
          <w:rFonts w:hint="eastAsia"/>
        </w:rPr>
        <w:t>（含）-90分为良；</w:t>
      </w:r>
    </w:p>
    <w:p w14:paraId="05DC60FD">
      <w:pPr>
        <w:pStyle w:val="30"/>
      </w:pPr>
      <w:r>
        <w:rPr>
          <w:rFonts w:hint="eastAsia"/>
        </w:rPr>
        <w:t>综合得分在60（含）-</w:t>
      </w:r>
      <w:r>
        <w:t>80</w:t>
      </w:r>
      <w:r>
        <w:rPr>
          <w:rFonts w:hint="eastAsia"/>
        </w:rPr>
        <w:t>分为中；</w:t>
      </w:r>
    </w:p>
    <w:p w14:paraId="11879ADD">
      <w:pPr>
        <w:pStyle w:val="30"/>
      </w:pPr>
      <w:r>
        <w:rPr>
          <w:rFonts w:hint="eastAsia"/>
        </w:rPr>
        <w:t>综合得分在60分以下为差。</w:t>
      </w:r>
    </w:p>
    <w:p w14:paraId="448AD9AC">
      <w:pPr>
        <w:ind w:firstLine="640"/>
        <w:outlineLvl w:val="1"/>
        <w:rPr>
          <w:rFonts w:ascii="楷体_GB2312" w:eastAsia="楷体_GB2312"/>
          <w:szCs w:val="32"/>
        </w:rPr>
      </w:pPr>
      <w:bookmarkStart w:id="33" w:name="_Toc31813"/>
      <w:bookmarkStart w:id="34" w:name="_Toc73095372"/>
      <w:r>
        <w:rPr>
          <w:rFonts w:hint="eastAsia" w:ascii="楷体_GB2312" w:eastAsia="楷体_GB2312"/>
          <w:szCs w:val="32"/>
        </w:rPr>
        <w:t>（三）绩效评价工作过程</w:t>
      </w:r>
      <w:bookmarkEnd w:id="31"/>
      <w:bookmarkEnd w:id="32"/>
      <w:bookmarkEnd w:id="33"/>
      <w:bookmarkEnd w:id="34"/>
    </w:p>
    <w:p w14:paraId="061832F7">
      <w:pPr>
        <w:pStyle w:val="30"/>
        <w:outlineLvl w:val="2"/>
      </w:pPr>
      <w:bookmarkStart w:id="35" w:name="_Toc73095373"/>
      <w:r>
        <w:rPr>
          <w:rFonts w:hint="eastAsia"/>
        </w:rPr>
        <w:t>1.准备阶段</w:t>
      </w:r>
      <w:bookmarkEnd w:id="35"/>
    </w:p>
    <w:p w14:paraId="521FCF6F">
      <w:pPr>
        <w:pStyle w:val="30"/>
      </w:pPr>
      <w:r>
        <w:rPr>
          <w:rFonts w:hint="eastAsia"/>
        </w:rPr>
        <w:t>根据该</w:t>
      </w:r>
      <w:r>
        <w:t>项目</w:t>
      </w:r>
      <w:r>
        <w:rPr>
          <w:rFonts w:hint="eastAsia"/>
        </w:rPr>
        <w:t>的主要内容和工程施工类项目特点，评价工作组组建评价工作组，</w:t>
      </w:r>
      <w:r>
        <w:rPr>
          <w:rFonts w:hint="eastAsia" w:hAnsi="宋体" w:cs="宋体"/>
          <w:kern w:val="0"/>
        </w:rPr>
        <w:t>辅导项目单位撰写绩效报告、准备资料、完善绩效自评表；</w:t>
      </w:r>
      <w:r>
        <w:rPr>
          <w:rFonts w:hint="eastAsia" w:hAnsi="宋体"/>
        </w:rPr>
        <w:t>在与项目单位充分沟通的基础上进行项目资料收集、整理和分析工作；</w:t>
      </w:r>
      <w:r>
        <w:rPr>
          <w:rFonts w:hint="eastAsia" w:hAnsi="宋体" w:cs="宋体"/>
          <w:kern w:val="0"/>
        </w:rPr>
        <w:t>完成专家遴选等相关工作，组建绩效评价专家组，</w:t>
      </w:r>
      <w:r>
        <w:rPr>
          <w:rFonts w:hint="eastAsia" w:hAnsi="宋体"/>
        </w:rPr>
        <w:t>包括</w:t>
      </w:r>
      <w:r>
        <w:rPr>
          <w:rFonts w:hAnsi="宋体"/>
        </w:rPr>
        <w:t>1</w:t>
      </w:r>
      <w:r>
        <w:rPr>
          <w:rFonts w:hint="eastAsia" w:hAnsi="宋体"/>
        </w:rPr>
        <w:t>名业务专家、</w:t>
      </w:r>
      <w:r>
        <w:rPr>
          <w:rFonts w:hAnsi="宋体"/>
        </w:rPr>
        <w:t>1</w:t>
      </w:r>
      <w:r>
        <w:rPr>
          <w:rFonts w:hint="eastAsia" w:hAnsi="宋体"/>
        </w:rPr>
        <w:t>名财务专家、</w:t>
      </w:r>
      <w:r>
        <w:rPr>
          <w:rFonts w:hAnsi="宋体"/>
        </w:rPr>
        <w:t>1</w:t>
      </w:r>
      <w:r>
        <w:rPr>
          <w:rFonts w:hint="eastAsia" w:hAnsi="宋体"/>
        </w:rPr>
        <w:t>名管理专家；根据项目情况及资料分析情况，评价工作组与专家组共同编制</w:t>
      </w:r>
      <w:r>
        <w:rPr>
          <w:rFonts w:hint="eastAsia" w:hAnsi="宋体" w:cs="宋体"/>
          <w:kern w:val="0"/>
        </w:rPr>
        <w:t>项目评价工作方案</w:t>
      </w:r>
      <w:r>
        <w:rPr>
          <w:rFonts w:hint="eastAsia" w:hAnsi="宋体"/>
        </w:rPr>
        <w:t>。</w:t>
      </w:r>
    </w:p>
    <w:p w14:paraId="3FCA9FCA">
      <w:pPr>
        <w:pStyle w:val="30"/>
        <w:outlineLvl w:val="2"/>
      </w:pPr>
      <w:bookmarkStart w:id="36" w:name="_Toc73095374"/>
      <w:r>
        <w:rPr>
          <w:rFonts w:hint="eastAsia"/>
        </w:rPr>
        <w:t>2.实施阶段</w:t>
      </w:r>
      <w:bookmarkEnd w:id="36"/>
    </w:p>
    <w:p w14:paraId="30032217">
      <w:pPr>
        <w:pStyle w:val="30"/>
      </w:pPr>
      <w:bookmarkStart w:id="37" w:name="_Toc73095375"/>
      <w:r>
        <w:rPr>
          <w:rFonts w:hint="eastAsia"/>
        </w:rPr>
        <w:t>按照既定评价工作安排，评价工作组在资料审阅及电话沟通的基础上，于2025年5月13日召开绩效评价专家预备会，5月14日召开专家正式会，经专家组现场质询、项目单位相应答疑，在充分交流的基础上，专家依据评价指标体系分别评分并提出问题、建议，经讨论、汇总形成专家组意见及评价结论。</w:t>
      </w:r>
    </w:p>
    <w:p w14:paraId="650FA137">
      <w:pPr>
        <w:pStyle w:val="30"/>
        <w:outlineLvl w:val="2"/>
      </w:pPr>
      <w:r>
        <w:rPr>
          <w:rFonts w:hint="eastAsia"/>
        </w:rPr>
        <w:t>3.评价分析阶段</w:t>
      </w:r>
      <w:bookmarkEnd w:id="37"/>
    </w:p>
    <w:p w14:paraId="55218187">
      <w:pPr>
        <w:pStyle w:val="30"/>
      </w:pPr>
      <w:r>
        <w:rPr>
          <w:rFonts w:hint="eastAsia"/>
        </w:rPr>
        <w:t>评价工作组根据收集到的项目资料以及专家组意见，对项目决策、过程、产出及效益情况进行综合分析，按照规定的文本格式和内容撰写绩效评价报告，经内部三级复核后提交相关单位征求意见。</w:t>
      </w:r>
      <w:r>
        <w:rPr>
          <w:rFonts w:hint="eastAsia" w:hAnsi="宋体"/>
        </w:rPr>
        <w:t>根据反馈意见，修改形成绩效评价报告正式稿</w:t>
      </w:r>
      <w:r>
        <w:rPr>
          <w:rFonts w:hint="eastAsia"/>
        </w:rPr>
        <w:t>。</w:t>
      </w:r>
    </w:p>
    <w:bookmarkEnd w:id="2"/>
    <w:p w14:paraId="2666DC14">
      <w:pPr>
        <w:ind w:firstLine="640"/>
        <w:outlineLvl w:val="0"/>
        <w:rPr>
          <w:rFonts w:ascii="黑体" w:eastAsia="黑体"/>
          <w:szCs w:val="32"/>
        </w:rPr>
      </w:pPr>
      <w:bookmarkStart w:id="38" w:name="_Toc26745"/>
      <w:r>
        <w:rPr>
          <w:rFonts w:hint="eastAsia" w:ascii="黑体" w:eastAsia="黑体"/>
          <w:szCs w:val="32"/>
        </w:rPr>
        <w:t>三、综合评价情况及评价结论</w:t>
      </w:r>
      <w:bookmarkEnd w:id="38"/>
    </w:p>
    <w:p w14:paraId="69357271">
      <w:pPr>
        <w:pStyle w:val="30"/>
      </w:pPr>
      <w:r>
        <w:rPr>
          <w:rFonts w:hint="eastAsia"/>
        </w:rPr>
        <w:t>项目通过更换广场石材、处理病害及下陷部位、翻新及铺设沥青路面等工作，为进驻单位职工提供了良好的工作环境，有效满足了2024北京接诉即办改革论坛以及其他大、中型检查、参观、调研活动的环境需求。</w:t>
      </w:r>
      <w:r>
        <w:rPr>
          <w:rFonts w:hint="eastAsia" w:hAnsi="宋体"/>
        </w:rPr>
        <w:t>但评价发现，</w:t>
      </w:r>
      <w:r>
        <w:rPr>
          <w:rFonts w:hint="eastAsia" w:hAnsi="仿宋" w:cs="仿宋"/>
          <w:iCs/>
        </w:rPr>
        <w:t>项目的实施还存在</w:t>
      </w:r>
      <w:r>
        <w:rPr>
          <w:rFonts w:hint="eastAsia" w:hAnsi="仿宋" w:cs="仿宋_GB2312"/>
          <w:bCs/>
        </w:rPr>
        <w:t>一些问题，具体体现在：一是项目前期论证不够充分，方案设计不够完善；二是未预留质量保证金，合同签订、验收及结算规范性不足；三是项目实施存在拖期情况，效益有待进一步跟踪发挥</w:t>
      </w:r>
      <w:r>
        <w:rPr>
          <w:rFonts w:hint="eastAsia" w:hAnsi="宋体"/>
        </w:rPr>
        <w:t>。综上，项目综合评价得分91.10分，得分率91.10%，评价等级“优”（见表3）。</w:t>
      </w:r>
    </w:p>
    <w:p w14:paraId="1E89A459">
      <w:pPr>
        <w:ind w:firstLine="0" w:firstLineChars="0"/>
        <w:jc w:val="center"/>
        <w:rPr>
          <w:rFonts w:ascii="黑体" w:hAnsi="黑体" w:eastAsia="黑体"/>
          <w:sz w:val="28"/>
          <w:szCs w:val="28"/>
        </w:rPr>
      </w:pPr>
      <w:r>
        <w:rPr>
          <w:rFonts w:hint="eastAsia" w:ascii="黑体" w:hAnsi="黑体" w:eastAsia="黑体"/>
          <w:sz w:val="28"/>
          <w:szCs w:val="28"/>
        </w:rPr>
        <w:t>表3：综合评价得分情况表</w:t>
      </w:r>
    </w:p>
    <w:tbl>
      <w:tblPr>
        <w:tblStyle w:val="32"/>
        <w:tblW w:w="5000" w:type="pct"/>
        <w:tblInd w:w="0" w:type="dxa"/>
        <w:tblLayout w:type="autofit"/>
        <w:tblCellMar>
          <w:top w:w="0" w:type="dxa"/>
          <w:left w:w="108" w:type="dxa"/>
          <w:bottom w:w="0" w:type="dxa"/>
          <w:right w:w="108" w:type="dxa"/>
        </w:tblCellMar>
      </w:tblPr>
      <w:tblGrid>
        <w:gridCol w:w="2265"/>
        <w:gridCol w:w="2265"/>
        <w:gridCol w:w="2266"/>
        <w:gridCol w:w="2264"/>
      </w:tblGrid>
      <w:tr w14:paraId="3C3ED76A">
        <w:tblPrEx>
          <w:tblCellMar>
            <w:top w:w="0" w:type="dxa"/>
            <w:left w:w="108" w:type="dxa"/>
            <w:bottom w:w="0" w:type="dxa"/>
            <w:right w:w="108" w:type="dxa"/>
          </w:tblCellMar>
        </w:tblPrEx>
        <w:trPr>
          <w:trHeight w:val="397" w:hRule="atLeast"/>
        </w:trPr>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62633">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一级指标</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88EBF">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分值</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E0E5C">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得分</w:t>
            </w:r>
          </w:p>
        </w:tc>
        <w:tc>
          <w:tcPr>
            <w:tcW w:w="1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300935">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得分率</w:t>
            </w:r>
          </w:p>
        </w:tc>
      </w:tr>
      <w:tr w14:paraId="05254A31">
        <w:tblPrEx>
          <w:tblCellMar>
            <w:top w:w="0" w:type="dxa"/>
            <w:left w:w="108" w:type="dxa"/>
            <w:bottom w:w="0" w:type="dxa"/>
            <w:right w:w="108" w:type="dxa"/>
          </w:tblCellMar>
        </w:tblPrEx>
        <w:trPr>
          <w:trHeight w:val="397" w:hRule="atLeast"/>
        </w:trPr>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8E854">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决策</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F0E02">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5BB3E">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8.6</w:t>
            </w:r>
            <w:r>
              <w:rPr>
                <w:rFonts w:ascii="宋体" w:hAnsi="宋体" w:eastAsia="宋体" w:cs="宋体"/>
                <w:kern w:val="0"/>
                <w:sz w:val="20"/>
                <w:szCs w:val="20"/>
              </w:rPr>
              <w:t>0</w:t>
            </w:r>
          </w:p>
        </w:tc>
        <w:tc>
          <w:tcPr>
            <w:tcW w:w="1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388AD">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86.</w:t>
            </w:r>
            <w:r>
              <w:rPr>
                <w:rFonts w:ascii="宋体" w:hAnsi="宋体" w:eastAsia="宋体" w:cs="宋体"/>
                <w:kern w:val="0"/>
                <w:sz w:val="20"/>
                <w:szCs w:val="20"/>
              </w:rPr>
              <w:t>0</w:t>
            </w:r>
            <w:r>
              <w:rPr>
                <w:rFonts w:hint="eastAsia" w:ascii="宋体" w:hAnsi="宋体" w:eastAsia="宋体" w:cs="宋体"/>
                <w:kern w:val="0"/>
                <w:sz w:val="20"/>
                <w:szCs w:val="20"/>
              </w:rPr>
              <w:t>0%</w:t>
            </w:r>
          </w:p>
        </w:tc>
      </w:tr>
      <w:tr w14:paraId="195CB8E0">
        <w:tblPrEx>
          <w:tblCellMar>
            <w:top w:w="0" w:type="dxa"/>
            <w:left w:w="108" w:type="dxa"/>
            <w:bottom w:w="0" w:type="dxa"/>
            <w:right w:w="108" w:type="dxa"/>
          </w:tblCellMar>
        </w:tblPrEx>
        <w:trPr>
          <w:trHeight w:val="397" w:hRule="atLeast"/>
        </w:trPr>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43E2C">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过程</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605D6">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EDC24">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w:t>
            </w:r>
            <w:r>
              <w:rPr>
                <w:rFonts w:ascii="宋体" w:hAnsi="宋体" w:eastAsia="宋体" w:cs="宋体"/>
                <w:kern w:val="0"/>
                <w:sz w:val="20"/>
                <w:szCs w:val="20"/>
              </w:rPr>
              <w:t>8.</w:t>
            </w:r>
            <w:r>
              <w:rPr>
                <w:rFonts w:hint="eastAsia" w:ascii="宋体" w:hAnsi="宋体" w:eastAsia="宋体" w:cs="宋体"/>
                <w:kern w:val="0"/>
                <w:sz w:val="20"/>
                <w:szCs w:val="20"/>
              </w:rPr>
              <w:t>50</w:t>
            </w:r>
          </w:p>
        </w:tc>
        <w:tc>
          <w:tcPr>
            <w:tcW w:w="1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35473">
            <w:pPr>
              <w:widowControl/>
              <w:spacing w:line="240" w:lineRule="auto"/>
              <w:ind w:firstLine="0" w:firstLineChars="0"/>
              <w:jc w:val="center"/>
              <w:rPr>
                <w:rFonts w:ascii="宋体" w:hAnsi="宋体" w:eastAsia="宋体" w:cs="宋体"/>
                <w:kern w:val="0"/>
                <w:sz w:val="20"/>
                <w:szCs w:val="20"/>
              </w:rPr>
            </w:pPr>
            <w:r>
              <w:rPr>
                <w:rFonts w:ascii="宋体" w:hAnsi="宋体" w:eastAsia="宋体" w:cs="宋体"/>
                <w:kern w:val="0"/>
                <w:sz w:val="20"/>
                <w:szCs w:val="20"/>
              </w:rPr>
              <w:t>9</w:t>
            </w:r>
            <w:r>
              <w:rPr>
                <w:rFonts w:hint="eastAsia" w:ascii="宋体" w:hAnsi="宋体" w:eastAsia="宋体" w:cs="宋体"/>
                <w:kern w:val="0"/>
                <w:sz w:val="20"/>
                <w:szCs w:val="20"/>
              </w:rPr>
              <w:t>2.50%</w:t>
            </w:r>
          </w:p>
        </w:tc>
      </w:tr>
      <w:tr w14:paraId="365A1E1E">
        <w:tblPrEx>
          <w:tblCellMar>
            <w:top w:w="0" w:type="dxa"/>
            <w:left w:w="108" w:type="dxa"/>
            <w:bottom w:w="0" w:type="dxa"/>
            <w:right w:w="108" w:type="dxa"/>
          </w:tblCellMar>
        </w:tblPrEx>
        <w:trPr>
          <w:trHeight w:val="397" w:hRule="atLeast"/>
        </w:trPr>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66E4B">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产出</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8C5F6">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9D164">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36.50</w:t>
            </w:r>
          </w:p>
        </w:tc>
        <w:tc>
          <w:tcPr>
            <w:tcW w:w="1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45162">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91.25%</w:t>
            </w:r>
          </w:p>
        </w:tc>
      </w:tr>
      <w:tr w14:paraId="54E5E2F1">
        <w:tblPrEx>
          <w:tblCellMar>
            <w:top w:w="0" w:type="dxa"/>
            <w:left w:w="108" w:type="dxa"/>
            <w:bottom w:w="0" w:type="dxa"/>
            <w:right w:w="108" w:type="dxa"/>
          </w:tblCellMar>
        </w:tblPrEx>
        <w:trPr>
          <w:trHeight w:val="397" w:hRule="atLeast"/>
        </w:trPr>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819BF">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效益</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31E86">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37F12">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27.50</w:t>
            </w:r>
          </w:p>
        </w:tc>
        <w:tc>
          <w:tcPr>
            <w:tcW w:w="1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BA65F">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91.67%</w:t>
            </w:r>
          </w:p>
        </w:tc>
      </w:tr>
      <w:tr w14:paraId="07EE0066">
        <w:tblPrEx>
          <w:tblCellMar>
            <w:top w:w="0" w:type="dxa"/>
            <w:left w:w="108" w:type="dxa"/>
            <w:bottom w:w="0" w:type="dxa"/>
            <w:right w:w="108" w:type="dxa"/>
          </w:tblCellMar>
        </w:tblPrEx>
        <w:trPr>
          <w:trHeight w:val="397" w:hRule="atLeast"/>
        </w:trPr>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6BBD3">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合计</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069A6">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100</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58746">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91.10</w:t>
            </w:r>
          </w:p>
        </w:tc>
        <w:tc>
          <w:tcPr>
            <w:tcW w:w="1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F1BEA">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91.10</w:t>
            </w:r>
            <w:r>
              <w:rPr>
                <w:rFonts w:ascii="宋体" w:hAnsi="宋体" w:eastAsia="宋体" w:cs="宋体"/>
                <w:b/>
                <w:bCs/>
                <w:kern w:val="0"/>
                <w:sz w:val="20"/>
                <w:szCs w:val="20"/>
              </w:rPr>
              <w:t>%</w:t>
            </w:r>
          </w:p>
        </w:tc>
      </w:tr>
    </w:tbl>
    <w:p w14:paraId="2D2870B5">
      <w:pPr>
        <w:ind w:firstLine="400"/>
        <w:rPr>
          <w:rFonts w:ascii="黑体" w:eastAsia="黑体"/>
          <w:sz w:val="20"/>
          <w:szCs w:val="20"/>
        </w:rPr>
      </w:pPr>
      <w:bookmarkStart w:id="39" w:name="_Toc35588409"/>
      <w:bookmarkStart w:id="40" w:name="_Toc73095377"/>
    </w:p>
    <w:bookmarkEnd w:id="39"/>
    <w:bookmarkEnd w:id="40"/>
    <w:p w14:paraId="64E070E0">
      <w:pPr>
        <w:ind w:firstLine="640"/>
        <w:outlineLvl w:val="0"/>
        <w:rPr>
          <w:rFonts w:ascii="黑体" w:eastAsia="黑体"/>
          <w:szCs w:val="32"/>
        </w:rPr>
      </w:pPr>
      <w:bookmarkStart w:id="41" w:name="_Toc12642"/>
      <w:r>
        <w:rPr>
          <w:rFonts w:hint="eastAsia" w:ascii="黑体" w:eastAsia="黑体"/>
          <w:szCs w:val="32"/>
        </w:rPr>
        <w:t>四、绩效评价指标分析</w:t>
      </w:r>
      <w:bookmarkEnd w:id="41"/>
    </w:p>
    <w:p w14:paraId="54E70FED">
      <w:pPr>
        <w:ind w:firstLine="640"/>
        <w:outlineLvl w:val="1"/>
        <w:rPr>
          <w:rFonts w:ascii="楷体_GB2312" w:eastAsia="楷体_GB2312"/>
          <w:szCs w:val="32"/>
        </w:rPr>
      </w:pPr>
      <w:bookmarkStart w:id="42" w:name="_Toc35588410"/>
      <w:bookmarkStart w:id="43" w:name="_Toc73095378"/>
      <w:bookmarkStart w:id="44" w:name="_Toc2509"/>
      <w:r>
        <w:rPr>
          <w:rFonts w:hint="eastAsia" w:ascii="楷体_GB2312" w:eastAsia="楷体_GB2312"/>
          <w:szCs w:val="32"/>
        </w:rPr>
        <w:t>（一）项目决策情况</w:t>
      </w:r>
      <w:bookmarkEnd w:id="42"/>
      <w:bookmarkEnd w:id="43"/>
      <w:bookmarkEnd w:id="44"/>
    </w:p>
    <w:p w14:paraId="73B17DEA">
      <w:pPr>
        <w:pStyle w:val="30"/>
        <w:rPr>
          <w:rFonts w:hAnsi="仿宋"/>
          <w:iCs/>
        </w:rPr>
      </w:pPr>
      <w:r>
        <w:rPr>
          <w:rFonts w:hint="eastAsia" w:hAnsi="仿宋"/>
          <w:iCs/>
        </w:rPr>
        <w:t>从项目决策情况来看，项目立项属于部门职责范围和公共财政支持范围，且与相关部门同类项目或部门内部相关项目间无重复；项目立项经过了部门内部决策和预算调整程序，立项程序较为规范；</w:t>
      </w:r>
      <w:r>
        <w:rPr>
          <w:rFonts w:hint="eastAsia"/>
        </w:rPr>
        <w:t>项目依据年度绩效目标细化分解了具体的绩效指标，绩效指标设置较为全面；预算内容与项目内容基本匹配，预算编制过程较为规范；结合实际需求及预算测算结果在各分项工程之间进行分配，资金分配较为合理</w:t>
      </w:r>
      <w:r>
        <w:rPr>
          <w:rFonts w:hint="eastAsia" w:hAnsi="仿宋"/>
          <w:iCs/>
        </w:rPr>
        <w:t>。但是，</w:t>
      </w:r>
      <w:r>
        <w:rPr>
          <w:rFonts w:hint="eastAsia"/>
        </w:rPr>
        <w:t>项目</w:t>
      </w:r>
      <w:r>
        <w:rPr>
          <w:rFonts w:hint="eastAsia" w:hAnsi="仿宋_GB2312" w:cs="仿宋_GB2312"/>
        </w:rPr>
        <w:t>未编制可行性研究报告，增加地砖厚度的决策未经设计单位科学评估，前期空洞探测报告中提出的建议未见落实到设计方案中，设计中未明确相关管线是否需要处理，且对实际需求的摸底不够深入；绩效目标设置较为笼统，指标设置不够聚焦，与前期计划任务数匹配性不足。</w:t>
      </w:r>
      <w:r>
        <w:rPr>
          <w:rFonts w:hint="eastAsia" w:hAnsi="仿宋"/>
          <w:iCs/>
        </w:rPr>
        <w:t>综上所述，项目决策指标分值</w:t>
      </w:r>
      <w:r>
        <w:rPr>
          <w:rFonts w:hAnsi="仿宋"/>
          <w:iCs/>
        </w:rPr>
        <w:t>10.00</w:t>
      </w:r>
      <w:r>
        <w:rPr>
          <w:rFonts w:hint="eastAsia" w:hAnsi="仿宋"/>
          <w:iCs/>
        </w:rPr>
        <w:t>分，得分8.6</w:t>
      </w:r>
      <w:r>
        <w:rPr>
          <w:rFonts w:hAnsi="仿宋"/>
          <w:iCs/>
        </w:rPr>
        <w:t>0</w:t>
      </w:r>
      <w:r>
        <w:rPr>
          <w:rFonts w:hint="eastAsia" w:hAnsi="仿宋"/>
          <w:iCs/>
        </w:rPr>
        <w:t>分，得分率为86</w:t>
      </w:r>
      <w:r>
        <w:rPr>
          <w:rFonts w:hAnsi="仿宋"/>
          <w:iCs/>
        </w:rPr>
        <w:t>.00%</w:t>
      </w:r>
      <w:r>
        <w:rPr>
          <w:rFonts w:hint="eastAsia" w:hAnsi="仿宋"/>
          <w:iCs/>
        </w:rPr>
        <w:t>（</w:t>
      </w:r>
      <w:r>
        <w:rPr>
          <w:rFonts w:hint="eastAsia" w:hAnsi="仿宋" w:cs="Arial"/>
          <w:bCs/>
          <w:iCs/>
          <w:kern w:val="0"/>
        </w:rPr>
        <w:t>见表4</w:t>
      </w:r>
      <w:r>
        <w:rPr>
          <w:rFonts w:hint="eastAsia" w:hAnsi="仿宋"/>
          <w:iCs/>
        </w:rPr>
        <w:t>）。</w:t>
      </w:r>
    </w:p>
    <w:p w14:paraId="2E9E21EA">
      <w:pPr>
        <w:ind w:firstLine="0" w:firstLineChars="0"/>
        <w:jc w:val="center"/>
        <w:rPr>
          <w:rFonts w:ascii="黑体" w:hAnsi="黑体" w:eastAsia="黑体"/>
          <w:sz w:val="28"/>
          <w:szCs w:val="28"/>
        </w:rPr>
      </w:pPr>
      <w:r>
        <w:rPr>
          <w:rFonts w:hint="eastAsia" w:ascii="黑体" w:hAnsi="黑体" w:eastAsia="黑体"/>
          <w:sz w:val="28"/>
          <w:szCs w:val="28"/>
        </w:rPr>
        <w:t>表4：决策指标设定及评分情况表</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054"/>
        <w:gridCol w:w="1613"/>
        <w:gridCol w:w="2663"/>
        <w:gridCol w:w="974"/>
        <w:gridCol w:w="1127"/>
        <w:gridCol w:w="1469"/>
      </w:tblGrid>
      <w:tr w14:paraId="39B00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blHeader/>
          <w:jc w:val="center"/>
        </w:trPr>
        <w:tc>
          <w:tcPr>
            <w:tcW w:w="592" w:type="pct"/>
            <w:vAlign w:val="center"/>
          </w:tcPr>
          <w:p w14:paraId="689D0CDF">
            <w:pPr>
              <w:widowControl/>
              <w:spacing w:line="240" w:lineRule="auto"/>
              <w:ind w:firstLine="0" w:firstLineChars="0"/>
              <w:jc w:val="center"/>
              <w:rPr>
                <w:rFonts w:ascii="宋体" w:hAnsi="宋体" w:eastAsia="宋体" w:cs="Arial"/>
                <w:b/>
                <w:bCs/>
                <w:kern w:val="0"/>
                <w:sz w:val="20"/>
                <w:szCs w:val="20"/>
              </w:rPr>
            </w:pPr>
            <w:r>
              <w:rPr>
                <w:rFonts w:hint="eastAsia" w:ascii="宋体" w:hAnsi="宋体" w:eastAsia="宋体" w:cs="Arial"/>
                <w:b/>
                <w:bCs/>
                <w:kern w:val="0"/>
                <w:sz w:val="20"/>
                <w:szCs w:val="20"/>
              </w:rPr>
              <w:t>一级指标</w:t>
            </w:r>
          </w:p>
        </w:tc>
        <w:tc>
          <w:tcPr>
            <w:tcW w:w="906" w:type="pct"/>
            <w:vAlign w:val="center"/>
          </w:tcPr>
          <w:p w14:paraId="74360F51">
            <w:pPr>
              <w:widowControl/>
              <w:spacing w:line="240" w:lineRule="auto"/>
              <w:ind w:firstLine="0" w:firstLineChars="0"/>
              <w:jc w:val="center"/>
              <w:rPr>
                <w:rFonts w:ascii="宋体" w:hAnsi="宋体" w:eastAsia="宋体" w:cs="Arial"/>
                <w:b/>
                <w:bCs/>
                <w:kern w:val="0"/>
                <w:sz w:val="20"/>
                <w:szCs w:val="20"/>
              </w:rPr>
            </w:pPr>
            <w:r>
              <w:rPr>
                <w:rFonts w:hint="eastAsia" w:ascii="宋体" w:hAnsi="宋体" w:eastAsia="宋体" w:cs="Arial"/>
                <w:b/>
                <w:bCs/>
                <w:kern w:val="0"/>
                <w:sz w:val="20"/>
                <w:szCs w:val="20"/>
              </w:rPr>
              <w:t>二级指标</w:t>
            </w:r>
          </w:p>
        </w:tc>
        <w:tc>
          <w:tcPr>
            <w:tcW w:w="1496" w:type="pct"/>
            <w:vAlign w:val="center"/>
          </w:tcPr>
          <w:p w14:paraId="1195F828">
            <w:pPr>
              <w:widowControl/>
              <w:spacing w:line="240" w:lineRule="auto"/>
              <w:ind w:firstLine="0" w:firstLineChars="0"/>
              <w:jc w:val="center"/>
              <w:rPr>
                <w:rFonts w:ascii="宋体" w:hAnsi="宋体" w:eastAsia="宋体" w:cs="Arial"/>
                <w:b/>
                <w:bCs/>
                <w:kern w:val="0"/>
                <w:sz w:val="20"/>
                <w:szCs w:val="20"/>
              </w:rPr>
            </w:pPr>
            <w:r>
              <w:rPr>
                <w:rFonts w:hint="eastAsia" w:ascii="宋体" w:hAnsi="宋体" w:eastAsia="宋体" w:cs="Arial"/>
                <w:b/>
                <w:bCs/>
                <w:kern w:val="0"/>
                <w:sz w:val="20"/>
                <w:szCs w:val="20"/>
              </w:rPr>
              <w:t>三级指标</w:t>
            </w:r>
          </w:p>
        </w:tc>
        <w:tc>
          <w:tcPr>
            <w:tcW w:w="547" w:type="pct"/>
            <w:vAlign w:val="center"/>
          </w:tcPr>
          <w:p w14:paraId="13B1CC82">
            <w:pPr>
              <w:widowControl/>
              <w:spacing w:line="240" w:lineRule="auto"/>
              <w:ind w:firstLine="0" w:firstLineChars="0"/>
              <w:jc w:val="center"/>
              <w:rPr>
                <w:rFonts w:ascii="宋体" w:hAnsi="宋体" w:eastAsia="宋体" w:cs="Arial"/>
                <w:b/>
                <w:bCs/>
                <w:kern w:val="0"/>
                <w:sz w:val="20"/>
                <w:szCs w:val="20"/>
              </w:rPr>
            </w:pPr>
            <w:r>
              <w:rPr>
                <w:rFonts w:hint="eastAsia" w:ascii="宋体" w:hAnsi="宋体" w:eastAsia="宋体" w:cs="Arial"/>
                <w:b/>
                <w:bCs/>
                <w:kern w:val="0"/>
                <w:sz w:val="20"/>
                <w:szCs w:val="20"/>
              </w:rPr>
              <w:t>分值</w:t>
            </w:r>
          </w:p>
        </w:tc>
        <w:tc>
          <w:tcPr>
            <w:tcW w:w="633" w:type="pct"/>
            <w:vAlign w:val="center"/>
          </w:tcPr>
          <w:p w14:paraId="0A5CEC64">
            <w:pPr>
              <w:widowControl/>
              <w:spacing w:line="240" w:lineRule="auto"/>
              <w:ind w:firstLine="0" w:firstLineChars="0"/>
              <w:jc w:val="center"/>
              <w:rPr>
                <w:rFonts w:ascii="宋体" w:hAnsi="宋体" w:eastAsia="宋体" w:cs="Arial"/>
                <w:b/>
                <w:bCs/>
                <w:kern w:val="0"/>
                <w:sz w:val="20"/>
                <w:szCs w:val="20"/>
              </w:rPr>
            </w:pPr>
            <w:r>
              <w:rPr>
                <w:rFonts w:hint="eastAsia" w:ascii="宋体" w:hAnsi="宋体" w:eastAsia="宋体" w:cs="Arial"/>
                <w:b/>
                <w:bCs/>
                <w:kern w:val="0"/>
                <w:sz w:val="20"/>
                <w:szCs w:val="20"/>
              </w:rPr>
              <w:t>得分</w:t>
            </w:r>
          </w:p>
        </w:tc>
        <w:tc>
          <w:tcPr>
            <w:tcW w:w="825" w:type="pct"/>
            <w:vAlign w:val="center"/>
          </w:tcPr>
          <w:p w14:paraId="20D3F5E5">
            <w:pPr>
              <w:widowControl/>
              <w:spacing w:line="240" w:lineRule="auto"/>
              <w:ind w:firstLine="0" w:firstLineChars="0"/>
              <w:jc w:val="center"/>
              <w:rPr>
                <w:rFonts w:ascii="宋体" w:hAnsi="宋体" w:eastAsia="宋体" w:cs="Arial"/>
                <w:b/>
                <w:bCs/>
                <w:kern w:val="0"/>
                <w:sz w:val="20"/>
                <w:szCs w:val="20"/>
              </w:rPr>
            </w:pPr>
            <w:r>
              <w:rPr>
                <w:rFonts w:hint="eastAsia" w:ascii="宋体" w:hAnsi="宋体" w:eastAsia="宋体" w:cs="Arial"/>
                <w:b/>
                <w:bCs/>
                <w:kern w:val="0"/>
                <w:sz w:val="20"/>
                <w:szCs w:val="20"/>
              </w:rPr>
              <w:t>得分率</w:t>
            </w:r>
          </w:p>
        </w:tc>
      </w:tr>
      <w:tr w14:paraId="6F07F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92" w:type="pct"/>
            <w:vMerge w:val="restart"/>
            <w:vAlign w:val="center"/>
          </w:tcPr>
          <w:p w14:paraId="74EA8B75">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决策</w:t>
            </w:r>
          </w:p>
          <w:p w14:paraId="266928F3">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w:t>
            </w:r>
            <w:r>
              <w:rPr>
                <w:rFonts w:ascii="宋体" w:hAnsi="宋体" w:eastAsia="宋体" w:cs="宋体"/>
                <w:kern w:val="0"/>
                <w:sz w:val="20"/>
                <w:szCs w:val="20"/>
              </w:rPr>
              <w:t>0</w:t>
            </w:r>
            <w:r>
              <w:rPr>
                <w:rFonts w:hint="eastAsia" w:ascii="宋体" w:hAnsi="宋体" w:eastAsia="宋体" w:cs="宋体"/>
                <w:kern w:val="0"/>
                <w:sz w:val="20"/>
                <w:szCs w:val="20"/>
              </w:rPr>
              <w:t>分）</w:t>
            </w:r>
          </w:p>
        </w:tc>
        <w:tc>
          <w:tcPr>
            <w:tcW w:w="906" w:type="pct"/>
            <w:vMerge w:val="restart"/>
            <w:vAlign w:val="center"/>
          </w:tcPr>
          <w:p w14:paraId="42FFBA9A">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项目立项</w:t>
            </w:r>
          </w:p>
        </w:tc>
        <w:tc>
          <w:tcPr>
            <w:tcW w:w="1496" w:type="pct"/>
            <w:vAlign w:val="center"/>
          </w:tcPr>
          <w:p w14:paraId="010EBCCC">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立项依据充分性</w:t>
            </w:r>
          </w:p>
        </w:tc>
        <w:tc>
          <w:tcPr>
            <w:tcW w:w="547" w:type="pct"/>
            <w:vAlign w:val="center"/>
          </w:tcPr>
          <w:p w14:paraId="7E20F710">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sz w:val="20"/>
                <w:szCs w:val="20"/>
              </w:rPr>
              <w:t>2</w:t>
            </w:r>
          </w:p>
        </w:tc>
        <w:tc>
          <w:tcPr>
            <w:tcW w:w="633" w:type="pct"/>
            <w:vAlign w:val="center"/>
          </w:tcPr>
          <w:p w14:paraId="65077C4A">
            <w:pPr>
              <w:widowControl/>
              <w:spacing w:line="240" w:lineRule="auto"/>
              <w:ind w:firstLine="0" w:firstLineChars="0"/>
              <w:jc w:val="center"/>
              <w:rPr>
                <w:rFonts w:ascii="宋体" w:hAnsi="宋体" w:eastAsia="宋体"/>
                <w:sz w:val="20"/>
                <w:szCs w:val="20"/>
              </w:rPr>
            </w:pPr>
            <w:r>
              <w:rPr>
                <w:rFonts w:hint="eastAsia" w:ascii="宋体" w:hAnsi="宋体" w:eastAsia="宋体"/>
                <w:sz w:val="20"/>
                <w:szCs w:val="20"/>
              </w:rPr>
              <w:t>2.00</w:t>
            </w:r>
          </w:p>
        </w:tc>
        <w:tc>
          <w:tcPr>
            <w:tcW w:w="825" w:type="pct"/>
            <w:vAlign w:val="center"/>
          </w:tcPr>
          <w:p w14:paraId="6061CC1D">
            <w:pPr>
              <w:widowControl/>
              <w:spacing w:line="240" w:lineRule="auto"/>
              <w:ind w:firstLine="0" w:firstLineChars="0"/>
              <w:jc w:val="center"/>
              <w:rPr>
                <w:rFonts w:ascii="宋体" w:hAnsi="宋体" w:eastAsia="宋体"/>
                <w:sz w:val="20"/>
                <w:szCs w:val="20"/>
              </w:rPr>
            </w:pPr>
            <w:r>
              <w:rPr>
                <w:rFonts w:hint="eastAsia" w:ascii="宋体" w:hAnsi="宋体" w:eastAsia="宋体"/>
                <w:sz w:val="20"/>
                <w:szCs w:val="20"/>
              </w:rPr>
              <w:t>100</w:t>
            </w:r>
            <w:r>
              <w:rPr>
                <w:rFonts w:ascii="宋体" w:hAnsi="宋体" w:eastAsia="宋体"/>
                <w:sz w:val="20"/>
                <w:szCs w:val="20"/>
              </w:rPr>
              <w:t>.00%</w:t>
            </w:r>
          </w:p>
        </w:tc>
      </w:tr>
      <w:tr w14:paraId="14814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92" w:type="pct"/>
            <w:vMerge w:val="continue"/>
            <w:vAlign w:val="center"/>
          </w:tcPr>
          <w:p w14:paraId="04B4AD99">
            <w:pPr>
              <w:widowControl/>
              <w:spacing w:line="240" w:lineRule="auto"/>
              <w:ind w:firstLine="0" w:firstLineChars="0"/>
              <w:jc w:val="center"/>
              <w:rPr>
                <w:rFonts w:ascii="宋体" w:hAnsi="宋体" w:eastAsia="宋体" w:cs="宋体"/>
                <w:kern w:val="0"/>
                <w:sz w:val="20"/>
                <w:szCs w:val="20"/>
              </w:rPr>
            </w:pPr>
          </w:p>
        </w:tc>
        <w:tc>
          <w:tcPr>
            <w:tcW w:w="906" w:type="pct"/>
            <w:vMerge w:val="continue"/>
            <w:vAlign w:val="center"/>
          </w:tcPr>
          <w:p w14:paraId="638652AC">
            <w:pPr>
              <w:widowControl/>
              <w:spacing w:line="240" w:lineRule="auto"/>
              <w:ind w:firstLine="0" w:firstLineChars="0"/>
              <w:jc w:val="center"/>
              <w:rPr>
                <w:rFonts w:ascii="宋体" w:hAnsi="宋体" w:eastAsia="宋体" w:cs="宋体"/>
                <w:kern w:val="0"/>
                <w:sz w:val="20"/>
                <w:szCs w:val="20"/>
              </w:rPr>
            </w:pPr>
          </w:p>
        </w:tc>
        <w:tc>
          <w:tcPr>
            <w:tcW w:w="1496" w:type="pct"/>
            <w:vAlign w:val="center"/>
          </w:tcPr>
          <w:p w14:paraId="65147BAD">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立项程序规范性</w:t>
            </w:r>
          </w:p>
        </w:tc>
        <w:tc>
          <w:tcPr>
            <w:tcW w:w="547" w:type="pct"/>
            <w:vAlign w:val="center"/>
          </w:tcPr>
          <w:p w14:paraId="6BBE554C">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sz w:val="20"/>
                <w:szCs w:val="20"/>
              </w:rPr>
              <w:t>1</w:t>
            </w:r>
          </w:p>
        </w:tc>
        <w:tc>
          <w:tcPr>
            <w:tcW w:w="633" w:type="pct"/>
            <w:vAlign w:val="center"/>
          </w:tcPr>
          <w:p w14:paraId="3D6D4183">
            <w:pPr>
              <w:widowControl/>
              <w:spacing w:line="240" w:lineRule="auto"/>
              <w:ind w:firstLine="0" w:firstLineChars="0"/>
              <w:jc w:val="center"/>
              <w:rPr>
                <w:rFonts w:ascii="宋体" w:hAnsi="宋体" w:eastAsia="宋体"/>
                <w:sz w:val="20"/>
                <w:szCs w:val="20"/>
              </w:rPr>
            </w:pPr>
            <w:r>
              <w:rPr>
                <w:rFonts w:ascii="宋体" w:hAnsi="宋体" w:eastAsia="宋体"/>
                <w:sz w:val="20"/>
                <w:szCs w:val="20"/>
              </w:rPr>
              <w:t>0.</w:t>
            </w:r>
            <w:r>
              <w:rPr>
                <w:rFonts w:hint="eastAsia" w:ascii="宋体" w:hAnsi="宋体" w:eastAsia="宋体"/>
                <w:sz w:val="20"/>
                <w:szCs w:val="20"/>
              </w:rPr>
              <w:t>60</w:t>
            </w:r>
          </w:p>
        </w:tc>
        <w:tc>
          <w:tcPr>
            <w:tcW w:w="825" w:type="pct"/>
            <w:vAlign w:val="center"/>
          </w:tcPr>
          <w:p w14:paraId="62D53FEC">
            <w:pPr>
              <w:spacing w:line="240" w:lineRule="auto"/>
              <w:ind w:firstLine="0" w:firstLineChars="0"/>
              <w:jc w:val="center"/>
              <w:rPr>
                <w:rFonts w:ascii="宋体" w:hAnsi="宋体" w:eastAsia="宋体"/>
                <w:sz w:val="20"/>
                <w:szCs w:val="20"/>
              </w:rPr>
            </w:pPr>
            <w:r>
              <w:rPr>
                <w:rFonts w:hint="eastAsia" w:ascii="宋体" w:hAnsi="宋体" w:eastAsia="宋体"/>
                <w:sz w:val="20"/>
                <w:szCs w:val="20"/>
              </w:rPr>
              <w:t>60</w:t>
            </w:r>
            <w:r>
              <w:rPr>
                <w:rFonts w:ascii="宋体" w:hAnsi="宋体" w:eastAsia="宋体"/>
                <w:sz w:val="20"/>
                <w:szCs w:val="20"/>
              </w:rPr>
              <w:t>.00%</w:t>
            </w:r>
          </w:p>
        </w:tc>
      </w:tr>
      <w:tr w14:paraId="68B94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92" w:type="pct"/>
            <w:vMerge w:val="continue"/>
            <w:vAlign w:val="center"/>
          </w:tcPr>
          <w:p w14:paraId="263795DB">
            <w:pPr>
              <w:widowControl/>
              <w:spacing w:line="240" w:lineRule="auto"/>
              <w:ind w:firstLine="0" w:firstLineChars="0"/>
              <w:jc w:val="center"/>
              <w:rPr>
                <w:rFonts w:ascii="宋体" w:hAnsi="宋体" w:eastAsia="宋体" w:cs="宋体"/>
                <w:kern w:val="0"/>
                <w:sz w:val="20"/>
                <w:szCs w:val="20"/>
              </w:rPr>
            </w:pPr>
          </w:p>
        </w:tc>
        <w:tc>
          <w:tcPr>
            <w:tcW w:w="906" w:type="pct"/>
            <w:vMerge w:val="restart"/>
            <w:vAlign w:val="center"/>
          </w:tcPr>
          <w:p w14:paraId="7E654EF2">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绩效目标</w:t>
            </w:r>
          </w:p>
        </w:tc>
        <w:tc>
          <w:tcPr>
            <w:tcW w:w="1496" w:type="pct"/>
            <w:vAlign w:val="center"/>
          </w:tcPr>
          <w:p w14:paraId="286304C7">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绩效目标合理性</w:t>
            </w:r>
          </w:p>
        </w:tc>
        <w:tc>
          <w:tcPr>
            <w:tcW w:w="547" w:type="pct"/>
            <w:vAlign w:val="center"/>
          </w:tcPr>
          <w:p w14:paraId="595F4CF9">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sz w:val="20"/>
                <w:szCs w:val="20"/>
              </w:rPr>
              <w:t>2</w:t>
            </w:r>
          </w:p>
        </w:tc>
        <w:tc>
          <w:tcPr>
            <w:tcW w:w="633" w:type="pct"/>
            <w:vAlign w:val="center"/>
          </w:tcPr>
          <w:p w14:paraId="24D476B6">
            <w:pPr>
              <w:widowControl/>
              <w:spacing w:line="240" w:lineRule="auto"/>
              <w:ind w:firstLine="0" w:firstLineChars="0"/>
              <w:jc w:val="center"/>
              <w:rPr>
                <w:rFonts w:ascii="宋体" w:hAnsi="宋体" w:eastAsia="宋体"/>
                <w:sz w:val="20"/>
                <w:szCs w:val="20"/>
              </w:rPr>
            </w:pPr>
            <w:r>
              <w:rPr>
                <w:rFonts w:hint="eastAsia" w:ascii="宋体" w:hAnsi="宋体" w:eastAsia="宋体"/>
                <w:sz w:val="20"/>
                <w:szCs w:val="20"/>
              </w:rPr>
              <w:t>1.50</w:t>
            </w:r>
          </w:p>
        </w:tc>
        <w:tc>
          <w:tcPr>
            <w:tcW w:w="825" w:type="pct"/>
            <w:vAlign w:val="center"/>
          </w:tcPr>
          <w:p w14:paraId="61BA2B6E">
            <w:pPr>
              <w:spacing w:line="240" w:lineRule="auto"/>
              <w:ind w:firstLine="0" w:firstLineChars="0"/>
              <w:jc w:val="center"/>
              <w:rPr>
                <w:rFonts w:ascii="宋体" w:hAnsi="宋体" w:eastAsia="宋体"/>
                <w:sz w:val="20"/>
                <w:szCs w:val="20"/>
              </w:rPr>
            </w:pPr>
            <w:r>
              <w:rPr>
                <w:rFonts w:hint="eastAsia" w:ascii="宋体" w:hAnsi="宋体" w:eastAsia="宋体"/>
                <w:sz w:val="20"/>
                <w:szCs w:val="20"/>
              </w:rPr>
              <w:t>75</w:t>
            </w:r>
            <w:r>
              <w:rPr>
                <w:rFonts w:ascii="宋体" w:hAnsi="宋体" w:eastAsia="宋体"/>
                <w:sz w:val="20"/>
                <w:szCs w:val="20"/>
              </w:rPr>
              <w:t>.00%</w:t>
            </w:r>
          </w:p>
        </w:tc>
      </w:tr>
      <w:tr w14:paraId="0E6FE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92" w:type="pct"/>
            <w:vMerge w:val="continue"/>
            <w:vAlign w:val="center"/>
          </w:tcPr>
          <w:p w14:paraId="091E94CE">
            <w:pPr>
              <w:widowControl/>
              <w:spacing w:line="240" w:lineRule="auto"/>
              <w:ind w:firstLine="0" w:firstLineChars="0"/>
              <w:jc w:val="center"/>
              <w:rPr>
                <w:rFonts w:ascii="宋体" w:hAnsi="宋体" w:eastAsia="宋体" w:cs="宋体"/>
                <w:kern w:val="0"/>
                <w:sz w:val="20"/>
                <w:szCs w:val="20"/>
              </w:rPr>
            </w:pPr>
          </w:p>
        </w:tc>
        <w:tc>
          <w:tcPr>
            <w:tcW w:w="906" w:type="pct"/>
            <w:vMerge w:val="continue"/>
            <w:vAlign w:val="center"/>
          </w:tcPr>
          <w:p w14:paraId="1578E6C3">
            <w:pPr>
              <w:widowControl/>
              <w:spacing w:line="240" w:lineRule="auto"/>
              <w:ind w:firstLine="0" w:firstLineChars="0"/>
              <w:jc w:val="center"/>
              <w:rPr>
                <w:rFonts w:ascii="宋体" w:hAnsi="宋体" w:eastAsia="宋体" w:cs="宋体"/>
                <w:kern w:val="0"/>
                <w:sz w:val="20"/>
                <w:szCs w:val="20"/>
              </w:rPr>
            </w:pPr>
          </w:p>
        </w:tc>
        <w:tc>
          <w:tcPr>
            <w:tcW w:w="1496" w:type="pct"/>
            <w:vAlign w:val="center"/>
          </w:tcPr>
          <w:p w14:paraId="55A8C11C">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绩效指标明确性</w:t>
            </w:r>
          </w:p>
        </w:tc>
        <w:tc>
          <w:tcPr>
            <w:tcW w:w="547" w:type="pct"/>
            <w:vAlign w:val="center"/>
          </w:tcPr>
          <w:p w14:paraId="752F9926">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sz w:val="20"/>
                <w:szCs w:val="20"/>
              </w:rPr>
              <w:t>2</w:t>
            </w:r>
          </w:p>
        </w:tc>
        <w:tc>
          <w:tcPr>
            <w:tcW w:w="633" w:type="pct"/>
            <w:vAlign w:val="center"/>
          </w:tcPr>
          <w:p w14:paraId="181F0D2C">
            <w:pPr>
              <w:widowControl/>
              <w:spacing w:line="240" w:lineRule="auto"/>
              <w:ind w:firstLine="0" w:firstLineChars="0"/>
              <w:jc w:val="center"/>
              <w:rPr>
                <w:rFonts w:ascii="宋体" w:hAnsi="宋体" w:eastAsia="宋体"/>
                <w:sz w:val="20"/>
                <w:szCs w:val="20"/>
              </w:rPr>
            </w:pPr>
            <w:r>
              <w:rPr>
                <w:rFonts w:hint="eastAsia" w:ascii="宋体" w:hAnsi="宋体" w:eastAsia="宋体"/>
                <w:sz w:val="20"/>
                <w:szCs w:val="20"/>
              </w:rPr>
              <w:t>1.50</w:t>
            </w:r>
          </w:p>
        </w:tc>
        <w:tc>
          <w:tcPr>
            <w:tcW w:w="825" w:type="pct"/>
            <w:vAlign w:val="center"/>
          </w:tcPr>
          <w:p w14:paraId="1BA5FF50">
            <w:pPr>
              <w:spacing w:line="240" w:lineRule="auto"/>
              <w:ind w:firstLine="0" w:firstLineChars="0"/>
              <w:jc w:val="center"/>
              <w:rPr>
                <w:rFonts w:ascii="宋体" w:hAnsi="宋体" w:eastAsia="宋体"/>
                <w:sz w:val="20"/>
                <w:szCs w:val="20"/>
              </w:rPr>
            </w:pPr>
            <w:r>
              <w:rPr>
                <w:rFonts w:hint="eastAsia" w:ascii="宋体" w:hAnsi="宋体" w:eastAsia="宋体"/>
                <w:sz w:val="20"/>
                <w:szCs w:val="20"/>
              </w:rPr>
              <w:t>75</w:t>
            </w:r>
            <w:r>
              <w:rPr>
                <w:rFonts w:ascii="宋体" w:hAnsi="宋体" w:eastAsia="宋体"/>
                <w:sz w:val="20"/>
                <w:szCs w:val="20"/>
              </w:rPr>
              <w:t>.00%</w:t>
            </w:r>
          </w:p>
        </w:tc>
      </w:tr>
      <w:tr w14:paraId="6D01C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92" w:type="pct"/>
            <w:vMerge w:val="restart"/>
            <w:vAlign w:val="center"/>
          </w:tcPr>
          <w:p w14:paraId="627086A4">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续上页</w:t>
            </w:r>
          </w:p>
        </w:tc>
        <w:tc>
          <w:tcPr>
            <w:tcW w:w="906" w:type="pct"/>
            <w:vMerge w:val="restart"/>
            <w:vAlign w:val="center"/>
          </w:tcPr>
          <w:p w14:paraId="3A612DCE">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资金投入</w:t>
            </w:r>
          </w:p>
        </w:tc>
        <w:tc>
          <w:tcPr>
            <w:tcW w:w="1496" w:type="pct"/>
            <w:vAlign w:val="center"/>
          </w:tcPr>
          <w:p w14:paraId="323E87DE">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预算编制科学性</w:t>
            </w:r>
          </w:p>
        </w:tc>
        <w:tc>
          <w:tcPr>
            <w:tcW w:w="547" w:type="pct"/>
            <w:vAlign w:val="center"/>
          </w:tcPr>
          <w:p w14:paraId="2AECC6C9">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sz w:val="20"/>
                <w:szCs w:val="20"/>
              </w:rPr>
              <w:t>2</w:t>
            </w:r>
          </w:p>
        </w:tc>
        <w:tc>
          <w:tcPr>
            <w:tcW w:w="633" w:type="pct"/>
            <w:vAlign w:val="center"/>
          </w:tcPr>
          <w:p w14:paraId="6A0A3B97">
            <w:pPr>
              <w:widowControl/>
              <w:spacing w:line="240" w:lineRule="auto"/>
              <w:ind w:firstLine="0" w:firstLineChars="0"/>
              <w:jc w:val="center"/>
              <w:rPr>
                <w:rFonts w:ascii="宋体" w:hAnsi="宋体" w:eastAsia="宋体"/>
                <w:sz w:val="20"/>
                <w:szCs w:val="20"/>
              </w:rPr>
            </w:pPr>
            <w:r>
              <w:rPr>
                <w:rFonts w:hint="eastAsia" w:ascii="宋体" w:hAnsi="宋体" w:eastAsia="宋体"/>
                <w:sz w:val="20"/>
                <w:szCs w:val="20"/>
              </w:rPr>
              <w:t>2.00</w:t>
            </w:r>
          </w:p>
        </w:tc>
        <w:tc>
          <w:tcPr>
            <w:tcW w:w="825" w:type="pct"/>
            <w:vAlign w:val="center"/>
          </w:tcPr>
          <w:p w14:paraId="54E5B7CA">
            <w:pPr>
              <w:spacing w:line="240" w:lineRule="auto"/>
              <w:ind w:firstLine="0" w:firstLineChars="0"/>
              <w:jc w:val="center"/>
              <w:rPr>
                <w:rFonts w:ascii="宋体" w:hAnsi="宋体" w:eastAsia="宋体"/>
                <w:sz w:val="20"/>
                <w:szCs w:val="20"/>
              </w:rPr>
            </w:pPr>
            <w:r>
              <w:rPr>
                <w:rFonts w:hint="eastAsia" w:ascii="宋体" w:hAnsi="宋体" w:eastAsia="宋体"/>
                <w:sz w:val="20"/>
                <w:szCs w:val="20"/>
              </w:rPr>
              <w:t>100</w:t>
            </w:r>
            <w:r>
              <w:rPr>
                <w:rFonts w:ascii="宋体" w:hAnsi="宋体" w:eastAsia="宋体"/>
                <w:sz w:val="20"/>
                <w:szCs w:val="20"/>
              </w:rPr>
              <w:t>.00%</w:t>
            </w:r>
          </w:p>
        </w:tc>
      </w:tr>
      <w:tr w14:paraId="46BC9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92" w:type="pct"/>
            <w:vMerge w:val="continue"/>
            <w:vAlign w:val="center"/>
          </w:tcPr>
          <w:p w14:paraId="00FFED8D">
            <w:pPr>
              <w:widowControl/>
              <w:spacing w:line="240" w:lineRule="auto"/>
              <w:ind w:firstLine="0" w:firstLineChars="0"/>
              <w:jc w:val="center"/>
              <w:rPr>
                <w:rFonts w:ascii="宋体" w:hAnsi="宋体" w:eastAsia="宋体" w:cs="宋体"/>
                <w:kern w:val="0"/>
                <w:sz w:val="20"/>
                <w:szCs w:val="20"/>
              </w:rPr>
            </w:pPr>
          </w:p>
        </w:tc>
        <w:tc>
          <w:tcPr>
            <w:tcW w:w="906" w:type="pct"/>
            <w:vMerge w:val="continue"/>
            <w:vAlign w:val="center"/>
          </w:tcPr>
          <w:p w14:paraId="5E27F3D4">
            <w:pPr>
              <w:widowControl/>
              <w:spacing w:line="240" w:lineRule="auto"/>
              <w:ind w:firstLine="0" w:firstLineChars="0"/>
              <w:jc w:val="center"/>
              <w:rPr>
                <w:rFonts w:ascii="宋体" w:hAnsi="宋体" w:eastAsia="宋体" w:cs="宋体"/>
                <w:kern w:val="0"/>
                <w:sz w:val="20"/>
                <w:szCs w:val="20"/>
              </w:rPr>
            </w:pPr>
          </w:p>
        </w:tc>
        <w:tc>
          <w:tcPr>
            <w:tcW w:w="1496" w:type="pct"/>
            <w:vAlign w:val="center"/>
          </w:tcPr>
          <w:p w14:paraId="6B85CE3B">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资金分配合理性</w:t>
            </w:r>
          </w:p>
        </w:tc>
        <w:tc>
          <w:tcPr>
            <w:tcW w:w="547" w:type="pct"/>
            <w:vAlign w:val="center"/>
          </w:tcPr>
          <w:p w14:paraId="5AC21ACF">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sz w:val="20"/>
                <w:szCs w:val="20"/>
              </w:rPr>
              <w:t>1</w:t>
            </w:r>
          </w:p>
        </w:tc>
        <w:tc>
          <w:tcPr>
            <w:tcW w:w="633" w:type="pct"/>
            <w:vAlign w:val="center"/>
          </w:tcPr>
          <w:p w14:paraId="10773D34">
            <w:pPr>
              <w:widowControl/>
              <w:spacing w:line="240" w:lineRule="auto"/>
              <w:ind w:firstLine="0" w:firstLineChars="0"/>
              <w:jc w:val="center"/>
              <w:rPr>
                <w:rFonts w:ascii="宋体" w:hAnsi="宋体" w:eastAsia="宋体"/>
                <w:sz w:val="20"/>
                <w:szCs w:val="20"/>
              </w:rPr>
            </w:pPr>
            <w:r>
              <w:rPr>
                <w:rFonts w:ascii="宋体" w:hAnsi="宋体" w:eastAsia="宋体"/>
                <w:sz w:val="20"/>
                <w:szCs w:val="20"/>
              </w:rPr>
              <w:t>1.00</w:t>
            </w:r>
          </w:p>
        </w:tc>
        <w:tc>
          <w:tcPr>
            <w:tcW w:w="825" w:type="pct"/>
            <w:vAlign w:val="center"/>
          </w:tcPr>
          <w:p w14:paraId="1C64CA10">
            <w:pPr>
              <w:spacing w:line="240" w:lineRule="auto"/>
              <w:ind w:firstLine="0" w:firstLineChars="0"/>
              <w:jc w:val="center"/>
              <w:rPr>
                <w:rFonts w:ascii="宋体" w:hAnsi="宋体" w:eastAsia="宋体"/>
                <w:sz w:val="20"/>
                <w:szCs w:val="20"/>
              </w:rPr>
            </w:pPr>
            <w:r>
              <w:rPr>
                <w:rFonts w:ascii="宋体" w:hAnsi="宋体" w:eastAsia="宋体"/>
                <w:sz w:val="20"/>
                <w:szCs w:val="20"/>
              </w:rPr>
              <w:t>100.00%</w:t>
            </w:r>
          </w:p>
        </w:tc>
      </w:tr>
      <w:tr w14:paraId="54930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2994" w:type="pct"/>
            <w:gridSpan w:val="3"/>
            <w:vAlign w:val="center"/>
          </w:tcPr>
          <w:p w14:paraId="6C5FEA59">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合计</w:t>
            </w:r>
          </w:p>
        </w:tc>
        <w:tc>
          <w:tcPr>
            <w:tcW w:w="547" w:type="pct"/>
            <w:vAlign w:val="center"/>
          </w:tcPr>
          <w:p w14:paraId="58AC3768">
            <w:pPr>
              <w:widowControl/>
              <w:spacing w:line="240" w:lineRule="auto"/>
              <w:ind w:firstLine="0" w:firstLineChars="0"/>
              <w:jc w:val="center"/>
              <w:rPr>
                <w:rFonts w:ascii="宋体" w:hAnsi="宋体" w:eastAsia="宋体"/>
                <w:b/>
                <w:bCs/>
                <w:kern w:val="0"/>
                <w:sz w:val="20"/>
                <w:szCs w:val="20"/>
              </w:rPr>
            </w:pPr>
            <w:r>
              <w:rPr>
                <w:rFonts w:hint="eastAsia" w:ascii="宋体" w:hAnsi="宋体" w:eastAsia="宋体"/>
                <w:b/>
                <w:bCs/>
                <w:sz w:val="20"/>
                <w:szCs w:val="20"/>
              </w:rPr>
              <w:t>10</w:t>
            </w:r>
          </w:p>
        </w:tc>
        <w:tc>
          <w:tcPr>
            <w:tcW w:w="633" w:type="pct"/>
            <w:vAlign w:val="center"/>
          </w:tcPr>
          <w:p w14:paraId="3F8F593A">
            <w:pPr>
              <w:spacing w:line="240" w:lineRule="auto"/>
              <w:ind w:firstLine="0" w:firstLineChars="0"/>
              <w:jc w:val="center"/>
              <w:rPr>
                <w:rFonts w:ascii="宋体" w:hAnsi="宋体" w:eastAsia="宋体"/>
                <w:b/>
                <w:bCs/>
                <w:sz w:val="20"/>
                <w:szCs w:val="20"/>
              </w:rPr>
            </w:pPr>
            <w:r>
              <w:rPr>
                <w:rFonts w:hint="eastAsia" w:ascii="宋体" w:hAnsi="宋体" w:eastAsia="宋体"/>
                <w:b/>
                <w:bCs/>
                <w:sz w:val="20"/>
                <w:szCs w:val="20"/>
              </w:rPr>
              <w:t>8.60</w:t>
            </w:r>
          </w:p>
        </w:tc>
        <w:tc>
          <w:tcPr>
            <w:tcW w:w="825" w:type="pct"/>
            <w:vAlign w:val="center"/>
          </w:tcPr>
          <w:p w14:paraId="367096EA">
            <w:pPr>
              <w:spacing w:line="240" w:lineRule="auto"/>
              <w:ind w:firstLine="0" w:firstLineChars="0"/>
              <w:jc w:val="center"/>
              <w:rPr>
                <w:rFonts w:ascii="宋体" w:hAnsi="宋体" w:eastAsia="宋体"/>
                <w:b/>
                <w:bCs/>
                <w:sz w:val="20"/>
                <w:szCs w:val="20"/>
              </w:rPr>
            </w:pPr>
            <w:r>
              <w:rPr>
                <w:rFonts w:hint="eastAsia" w:ascii="宋体" w:hAnsi="宋体" w:eastAsia="宋体"/>
                <w:b/>
                <w:bCs/>
                <w:sz w:val="20"/>
                <w:szCs w:val="20"/>
              </w:rPr>
              <w:t>86</w:t>
            </w:r>
            <w:r>
              <w:rPr>
                <w:rFonts w:ascii="宋体" w:hAnsi="宋体" w:eastAsia="宋体"/>
                <w:b/>
                <w:bCs/>
                <w:sz w:val="20"/>
                <w:szCs w:val="20"/>
              </w:rPr>
              <w:t>.00%</w:t>
            </w:r>
          </w:p>
        </w:tc>
      </w:tr>
    </w:tbl>
    <w:p w14:paraId="44631B6F">
      <w:pPr>
        <w:pStyle w:val="30"/>
        <w:outlineLvl w:val="2"/>
        <w:rPr>
          <w:rFonts w:hAnsi="仿宋_GB2312" w:cs="仿宋_GB2312"/>
        </w:rPr>
      </w:pPr>
      <w:bookmarkStart w:id="45" w:name="_Toc73095380"/>
      <w:r>
        <w:rPr>
          <w:rFonts w:hint="eastAsia" w:hAnsi="仿宋_GB2312" w:cs="仿宋_GB2312"/>
        </w:rPr>
        <w:t>1.项目立项</w:t>
      </w:r>
    </w:p>
    <w:p w14:paraId="0B8480C2">
      <w:pPr>
        <w:pStyle w:val="30"/>
        <w:outlineLvl w:val="3"/>
        <w:rPr>
          <w:rFonts w:hAnsi="仿宋_GB2312" w:cs="仿宋_GB2312"/>
        </w:rPr>
      </w:pPr>
      <w:r>
        <w:rPr>
          <w:rFonts w:hint="eastAsia" w:hAnsi="仿宋_GB2312" w:cs="仿宋_GB2312"/>
        </w:rPr>
        <w:t>（1）立项依据充分性</w:t>
      </w:r>
    </w:p>
    <w:p w14:paraId="21D15F73">
      <w:pPr>
        <w:ind w:firstLine="640"/>
        <w:rPr>
          <w:rFonts w:ascii="仿宋_GB2312" w:hAnsi="仿宋_GB2312" w:cs="仿宋_GB2312"/>
        </w:rPr>
      </w:pPr>
      <w:r>
        <w:rPr>
          <w:rFonts w:hint="eastAsia" w:ascii="仿宋_GB2312" w:hAnsi="仿宋_GB2312" w:cs="仿宋_GB2312"/>
        </w:rPr>
        <w:t>项目主要内容为对6、9号门门前广场破损部分石材拆除、修复，对病害部位及东南门下陷部位进行处理，与六里桥办公区管理处“承担六里桥办公区内入驻单位的服务保障工作”“承担六里桥办公区内应急、安防、消防、节能以及公共部位国有资产管理工作”的职责职能相符，属于部门履职所需。项目开展与市机关事务管理中心2024年“聚焦主责主业提高运行保障质量”的工作安排相一致。项目实施旨在</w:t>
      </w:r>
      <w:r>
        <w:rPr>
          <w:rFonts w:hint="eastAsia"/>
        </w:rPr>
        <w:t>配合做好市政务服务中心的整体改造提升工作，满足</w:t>
      </w:r>
      <w:r>
        <w:rPr>
          <w:rFonts w:hint="eastAsia" w:ascii="仿宋_GB2312" w:hAnsi="仿宋_GB2312" w:cs="仿宋_GB2312"/>
          <w:szCs w:val="32"/>
        </w:rPr>
        <w:t>2024北京接诉即办改革论坛以及其他大、中型检查、参观、调研活动需求，</w:t>
      </w:r>
      <w:r>
        <w:rPr>
          <w:rFonts w:hint="eastAsia" w:ascii="仿宋_GB2312" w:hAnsi="仿宋_GB2312" w:cs="仿宋_GB2312"/>
        </w:rPr>
        <w:t>受益群体主要为办事群众和入驻单位工作人员，属于公共财政支持范围，不存在与相关部门同类项目或部门内部相关项目重复的情况。</w:t>
      </w:r>
    </w:p>
    <w:p w14:paraId="279D35A6">
      <w:pPr>
        <w:pStyle w:val="30"/>
        <w:outlineLvl w:val="3"/>
        <w:rPr>
          <w:rFonts w:hAnsi="仿宋_GB2312" w:cs="仿宋_GB2312"/>
        </w:rPr>
      </w:pPr>
      <w:r>
        <w:rPr>
          <w:rFonts w:hint="eastAsia" w:hAnsi="仿宋_GB2312" w:cs="仿宋_GB2312"/>
        </w:rPr>
        <w:t>（2）立项程序规范性</w:t>
      </w:r>
    </w:p>
    <w:p w14:paraId="40E89630">
      <w:pPr>
        <w:ind w:firstLine="640"/>
        <w:rPr>
          <w:rFonts w:ascii="仿宋_GB2312" w:hAnsi="仿宋_GB2312" w:cs="仿宋_GB2312"/>
        </w:rPr>
      </w:pPr>
      <w:r>
        <w:rPr>
          <w:rFonts w:hint="eastAsia" w:ascii="仿宋_GB2312" w:hAnsi="仿宋_GB2312" w:cs="仿宋_GB2312"/>
        </w:rPr>
        <w:t>该项目按照上级部门市机关事务管理局相关专题会安排，六里桥办公区管理处组织相关单位进行结构安全性评估、空洞探测、实例验证等，进一步明确维修改造需求，制定维修提升方案，并编制项目申报文本、绩效目标申报表、项目支出计划等资料，经预算评审以及市机关事务管理中心主任办公会、市机关事务管理局党组会等集体决策确定实施，项目立项程序总体较为规范。但评价发现项目在立项程序方面存在以下问题：一是未编制可行性研究报告并经专家论证；二是增加地砖厚度的决策依据不够充分，前期依据实例结果来确定更换更厚地砖，未经设计单位科学计算来评估当前抗压能力是否能满足项目临时停放大巴车的需求、进而确定是否增加地砖厚度；三是前期空洞探测报告中提出的建议未见落实到设计方案中，设计中未明确相关管线是否需要处理；四是项目前期对实际需求的摸底不够深入，工程量预估不够准确，如计划完成9号门门前广场拆除旧砖、新铺10cm地砖2000平方米，实际完成1859平方米。</w:t>
      </w:r>
    </w:p>
    <w:p w14:paraId="44FBAA39">
      <w:pPr>
        <w:pStyle w:val="30"/>
        <w:outlineLvl w:val="2"/>
        <w:rPr>
          <w:rFonts w:hAnsi="仿宋_GB2312" w:cs="仿宋_GB2312"/>
        </w:rPr>
      </w:pPr>
      <w:r>
        <w:rPr>
          <w:rFonts w:hint="eastAsia" w:hAnsi="仿宋_GB2312" w:cs="仿宋_GB2312"/>
        </w:rPr>
        <w:t>2.绩效目标</w:t>
      </w:r>
      <w:bookmarkEnd w:id="45"/>
    </w:p>
    <w:p w14:paraId="3F0E7B7C">
      <w:pPr>
        <w:pStyle w:val="30"/>
        <w:outlineLvl w:val="3"/>
        <w:rPr>
          <w:rFonts w:hAnsi="仿宋_GB2312" w:cs="仿宋_GB2312"/>
        </w:rPr>
      </w:pPr>
      <w:r>
        <w:rPr>
          <w:rFonts w:hint="eastAsia" w:hAnsi="仿宋_GB2312" w:cs="仿宋_GB2312"/>
        </w:rPr>
        <w:t>（1）绩效目标合理性</w:t>
      </w:r>
    </w:p>
    <w:p w14:paraId="10A20604">
      <w:pPr>
        <w:ind w:firstLine="640"/>
        <w:rPr>
          <w:rFonts w:ascii="仿宋_GB2312" w:hAnsi="仿宋_GB2312" w:cs="仿宋_GB2312"/>
        </w:rPr>
      </w:pPr>
      <w:r>
        <w:rPr>
          <w:rFonts w:hint="eastAsia" w:ascii="仿宋_GB2312" w:hAnsi="仿宋_GB2312" w:cs="仿宋_GB2312"/>
        </w:rPr>
        <w:t>项目年度绩效目标为“配合做好北京市政务服务中心的整体改造提升工作”，目标设置较为笼统，无法体现项目计划开展的具体工作事项及预期效益，与其实际开展的工作内容相关性、与计划投入资金量匹配度均存在一定不足，难以体现计划产出水平。</w:t>
      </w:r>
    </w:p>
    <w:p w14:paraId="265A9209">
      <w:pPr>
        <w:pStyle w:val="30"/>
        <w:outlineLvl w:val="3"/>
        <w:rPr>
          <w:rFonts w:hAnsi="仿宋_GB2312" w:cs="仿宋_GB2312"/>
        </w:rPr>
      </w:pPr>
      <w:r>
        <w:rPr>
          <w:rFonts w:hint="eastAsia" w:hAnsi="仿宋_GB2312" w:cs="仿宋_GB2312"/>
        </w:rPr>
        <w:t>（2）绩效指标明确性</w:t>
      </w:r>
    </w:p>
    <w:p w14:paraId="676D9A41">
      <w:pPr>
        <w:ind w:firstLine="640"/>
        <w:rPr>
          <w:rFonts w:ascii="仿宋_GB2312" w:hAnsi="仿宋_GB2312" w:cs="仿宋_GB2312"/>
        </w:rPr>
      </w:pPr>
      <w:r>
        <w:rPr>
          <w:rFonts w:hint="eastAsia" w:ascii="仿宋_GB2312" w:hAnsi="仿宋_GB2312" w:cs="仿宋_GB2312"/>
        </w:rPr>
        <w:t>项目依据年度绩效目标细化和实施内容分解为具体的绩效指标，设置了“办公用房修缮、改造成本≤321.457522万元”“取费标准≤25.5646万元”等2条成本指标，“9号门门前广场拆除旧砖、新铺10cm地砖≥1859平方米”“6号门门前广场沥青路面翻新≥2100平方米”等12条数量指标，“设施有效运转率≥100%”“竣工验收合格率≥100%”等2条质量指标，“项目按计划完工率≥100%”等1条时效指标，“项目受益人数≥4000人”“满足办公需求程度”“预计使用年限≥10年”等3条效益指标以及“使用（管理）人员满意度≥95%”满意度指标。项目指标设置较为清晰，可衡量性较好，但项目设置数量指标数过多，指标设置不够聚焦，难以体现项目实施核心和重点；项目磋商文件中的工程量清单显示计划9号门门前广场拆除旧砖、新铺10cm地砖2000平方米，但指标值为1859平方米，且未见“6号门门前广场沥青路面翻新≥2100平方米”“9号门门前广场衔接市政道路处新铺沥青道路≥250平方米”“东南出入口衔接市政道路处新铺沥青道路≥15平方米”等相关需求，指标设置与前期计划任务数匹配性不足。</w:t>
      </w:r>
    </w:p>
    <w:p w14:paraId="6D065F3E">
      <w:pPr>
        <w:pStyle w:val="30"/>
        <w:outlineLvl w:val="2"/>
        <w:rPr>
          <w:rFonts w:hAnsi="仿宋_GB2312" w:cs="仿宋_GB2312"/>
        </w:rPr>
      </w:pPr>
      <w:r>
        <w:rPr>
          <w:rFonts w:hint="eastAsia" w:hAnsi="仿宋_GB2312" w:cs="仿宋_GB2312"/>
        </w:rPr>
        <w:t>3.资金投入</w:t>
      </w:r>
    </w:p>
    <w:p w14:paraId="386932CF">
      <w:pPr>
        <w:pStyle w:val="30"/>
        <w:outlineLvl w:val="3"/>
        <w:rPr>
          <w:rFonts w:hAnsi="仿宋_GB2312" w:cs="仿宋_GB2312"/>
        </w:rPr>
      </w:pPr>
      <w:r>
        <w:rPr>
          <w:rFonts w:hint="eastAsia" w:hAnsi="仿宋_GB2312" w:cs="仿宋_GB2312"/>
        </w:rPr>
        <w:t>（1）预算编制科学性</w:t>
      </w:r>
    </w:p>
    <w:p w14:paraId="6FC4B62E">
      <w:pPr>
        <w:pStyle w:val="30"/>
        <w:rPr>
          <w:rFonts w:hAnsi="仿宋_GB2312" w:cs="仿宋_GB2312"/>
        </w:rPr>
      </w:pPr>
      <w:bookmarkStart w:id="46" w:name="_Hlk8922265"/>
      <w:r>
        <w:rPr>
          <w:rFonts w:hint="eastAsia" w:hAnsi="仿宋_GB2312" w:cs="仿宋_GB2312"/>
        </w:rPr>
        <w:t>此项目为年中追加项目，预算资金经市财政局同意、由部门预算调剂解决。项目预算主要由分部分项工程、措施项目和税金构成，其中分部分项工程包括拆除、恢复、病害处理以及东南门下陷处理，预算内容与项目内容基本匹配。项目结合实际需求编制初步预算并组织开展预算评审，审定金额为323.143098万元，较送审金额377.492665万元核减了14.40%，经竞争性磋商确定合同金额为321.457522万元，经部门内部调整预算，项目全年预算数即为合同金额，即321.457522万元。项目采购工作的开展、采购结果及资金保障方式均通过市机关事务管理中心主任办公会和市机关事务管理局党组会议定，整体上项目预算编制过程较为规范，且经过了科学论证，预算内容与项目内容匹配性较好，测算依据较为充分，符合工程类项目预算的编制标准。</w:t>
      </w:r>
    </w:p>
    <w:bookmarkEnd w:id="46"/>
    <w:p w14:paraId="0AE872D1">
      <w:pPr>
        <w:pStyle w:val="30"/>
        <w:outlineLvl w:val="3"/>
      </w:pPr>
      <w:r>
        <w:rPr>
          <w:rFonts w:hint="eastAsia"/>
        </w:rPr>
        <w:t>（2）资金分配合理性</w:t>
      </w:r>
    </w:p>
    <w:p w14:paraId="5618355D">
      <w:pPr>
        <w:pStyle w:val="30"/>
      </w:pPr>
      <w:r>
        <w:rPr>
          <w:rFonts w:hint="eastAsia"/>
        </w:rPr>
        <w:t>项目资金结合实际需求及预算测算结果在各分项工程之间进行分配，分配依据充分，资金分配额度符合各个分项工程预算测算结果，与计划任务量匹配。</w:t>
      </w:r>
    </w:p>
    <w:p w14:paraId="763E945A">
      <w:pPr>
        <w:ind w:firstLine="640"/>
        <w:outlineLvl w:val="1"/>
        <w:rPr>
          <w:rFonts w:ascii="楷体_GB2312" w:eastAsia="楷体_GB2312"/>
          <w:szCs w:val="32"/>
        </w:rPr>
      </w:pPr>
      <w:bookmarkStart w:id="47" w:name="_Toc5129"/>
      <w:r>
        <w:rPr>
          <w:rFonts w:hint="eastAsia" w:ascii="楷体_GB2312" w:eastAsia="楷体_GB2312"/>
          <w:szCs w:val="32"/>
        </w:rPr>
        <w:t>（二）项目过程情况</w:t>
      </w:r>
      <w:bookmarkEnd w:id="47"/>
    </w:p>
    <w:p w14:paraId="2634FC93">
      <w:pPr>
        <w:ind w:firstLine="640"/>
        <w:rPr>
          <w:rFonts w:ascii="仿宋_GB2312"/>
          <w:szCs w:val="32"/>
        </w:rPr>
      </w:pPr>
      <w:r>
        <w:rPr>
          <w:rFonts w:hint="eastAsia" w:ascii="仿宋_GB2312"/>
          <w:iCs/>
          <w:szCs w:val="32"/>
        </w:rPr>
        <w:t>该项目为年中追加项目，全年预算数321.46万元，截至2024年底已全部支出，预算执行率100.00%，资金使用较为规范；但未见单位内部会计监督制度，财务制度健全性仍存在进一步提升的空间；合同未设计质量保证金条款，未明确为固定总价合同，工程款支付未经监理审核，未见监理公司提供的开工令和延期申请等，项目执行过程管控及资料留存有待进一步加强。综上所述，</w:t>
      </w:r>
      <w:r>
        <w:rPr>
          <w:rFonts w:hint="eastAsia" w:ascii="仿宋_GB2312"/>
          <w:szCs w:val="32"/>
        </w:rPr>
        <w:t>过程指标分</w:t>
      </w:r>
      <w:r>
        <w:rPr>
          <w:rFonts w:hint="eastAsia" w:ascii="仿宋_GB2312" w:hAnsi="仿宋"/>
          <w:iCs/>
        </w:rPr>
        <w:t>值20.00分，得分1</w:t>
      </w:r>
      <w:r>
        <w:rPr>
          <w:rFonts w:ascii="仿宋_GB2312" w:hAnsi="仿宋"/>
          <w:iCs/>
        </w:rPr>
        <w:t>8.</w:t>
      </w:r>
      <w:r>
        <w:rPr>
          <w:rFonts w:hint="eastAsia" w:ascii="仿宋_GB2312" w:hAnsi="仿宋"/>
          <w:iCs/>
        </w:rPr>
        <w:t>50分，得分率</w:t>
      </w:r>
      <w:r>
        <w:rPr>
          <w:rFonts w:ascii="仿宋_GB2312" w:hAnsi="仿宋"/>
          <w:iCs/>
        </w:rPr>
        <w:t>9</w:t>
      </w:r>
      <w:r>
        <w:rPr>
          <w:rFonts w:hint="eastAsia" w:ascii="仿宋_GB2312" w:hAnsi="仿宋"/>
          <w:iCs/>
        </w:rPr>
        <w:t>2.50%（</w:t>
      </w:r>
      <w:r>
        <w:rPr>
          <w:rFonts w:hint="eastAsia" w:ascii="仿宋_GB2312" w:hAnsi="仿宋" w:cs="Arial"/>
          <w:bCs/>
          <w:iCs/>
          <w:kern w:val="0"/>
        </w:rPr>
        <w:t>见表5</w:t>
      </w:r>
      <w:r>
        <w:rPr>
          <w:rFonts w:hint="eastAsia" w:ascii="仿宋_GB2312" w:hAnsi="仿宋"/>
          <w:iCs/>
        </w:rPr>
        <w:t>）。</w:t>
      </w:r>
    </w:p>
    <w:p w14:paraId="1BCC097A">
      <w:pPr>
        <w:ind w:firstLine="0" w:firstLineChars="0"/>
        <w:jc w:val="center"/>
        <w:rPr>
          <w:rFonts w:ascii="黑体" w:hAnsi="黑体" w:eastAsia="黑体"/>
          <w:sz w:val="28"/>
          <w:szCs w:val="28"/>
        </w:rPr>
      </w:pPr>
      <w:r>
        <w:rPr>
          <w:rFonts w:hint="eastAsia" w:ascii="黑体" w:hAnsi="黑体" w:eastAsia="黑体"/>
          <w:sz w:val="28"/>
          <w:szCs w:val="28"/>
        </w:rPr>
        <w:t>表5：过程指标设定及评分情况表</w:t>
      </w:r>
    </w:p>
    <w:tbl>
      <w:tblPr>
        <w:tblStyle w:val="32"/>
        <w:tblW w:w="5000" w:type="pct"/>
        <w:jc w:val="center"/>
        <w:tblLayout w:type="autofit"/>
        <w:tblCellMar>
          <w:top w:w="0" w:type="dxa"/>
          <w:left w:w="28" w:type="dxa"/>
          <w:bottom w:w="0" w:type="dxa"/>
          <w:right w:w="28" w:type="dxa"/>
        </w:tblCellMar>
      </w:tblPr>
      <w:tblGrid>
        <w:gridCol w:w="1359"/>
        <w:gridCol w:w="1364"/>
        <w:gridCol w:w="2078"/>
        <w:gridCol w:w="1364"/>
        <w:gridCol w:w="1366"/>
        <w:gridCol w:w="1369"/>
      </w:tblGrid>
      <w:tr w14:paraId="75656D03">
        <w:tblPrEx>
          <w:tblCellMar>
            <w:top w:w="0" w:type="dxa"/>
            <w:left w:w="28" w:type="dxa"/>
            <w:bottom w:w="0" w:type="dxa"/>
            <w:right w:w="28" w:type="dxa"/>
          </w:tblCellMar>
        </w:tblPrEx>
        <w:trPr>
          <w:trHeight w:val="397" w:hRule="atLeast"/>
          <w:tblHeader/>
          <w:jc w:val="center"/>
        </w:trPr>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9F921">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一级指标</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76C93">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二级指标</w:t>
            </w:r>
          </w:p>
        </w:tc>
        <w:tc>
          <w:tcPr>
            <w:tcW w:w="1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E920F">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三级指标</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9F908">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分值</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74492">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得分</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A4792">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得分率</w:t>
            </w:r>
          </w:p>
        </w:tc>
      </w:tr>
      <w:tr w14:paraId="5C2B6A04">
        <w:tblPrEx>
          <w:tblCellMar>
            <w:top w:w="0" w:type="dxa"/>
            <w:left w:w="28" w:type="dxa"/>
            <w:bottom w:w="0" w:type="dxa"/>
            <w:right w:w="28" w:type="dxa"/>
          </w:tblCellMar>
        </w:tblPrEx>
        <w:trPr>
          <w:trHeight w:val="397" w:hRule="atLeast"/>
          <w:jc w:val="center"/>
        </w:trPr>
        <w:tc>
          <w:tcPr>
            <w:tcW w:w="764" w:type="pct"/>
            <w:vMerge w:val="restart"/>
            <w:tcBorders>
              <w:top w:val="single" w:color="000000" w:sz="4" w:space="0"/>
              <w:left w:val="single" w:color="000000" w:sz="4" w:space="0"/>
              <w:right w:val="single" w:color="000000" w:sz="4" w:space="0"/>
            </w:tcBorders>
            <w:shd w:val="clear" w:color="auto" w:fill="auto"/>
            <w:vAlign w:val="center"/>
          </w:tcPr>
          <w:p w14:paraId="7E975181">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过程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（20分）</w:t>
            </w:r>
          </w:p>
        </w:tc>
        <w:tc>
          <w:tcPr>
            <w:tcW w:w="7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638F36">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资金管理</w:t>
            </w:r>
          </w:p>
        </w:tc>
        <w:tc>
          <w:tcPr>
            <w:tcW w:w="1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30055">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资金到位率</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F2D32">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8F662">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2.00</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BE6B4">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100.00%</w:t>
            </w:r>
          </w:p>
        </w:tc>
      </w:tr>
      <w:tr w14:paraId="6FAF8DBF">
        <w:tblPrEx>
          <w:tblCellMar>
            <w:top w:w="0" w:type="dxa"/>
            <w:left w:w="28" w:type="dxa"/>
            <w:bottom w:w="0" w:type="dxa"/>
            <w:right w:w="28" w:type="dxa"/>
          </w:tblCellMar>
        </w:tblPrEx>
        <w:trPr>
          <w:trHeight w:val="397" w:hRule="atLeast"/>
          <w:jc w:val="center"/>
        </w:trPr>
        <w:tc>
          <w:tcPr>
            <w:tcW w:w="764" w:type="pct"/>
            <w:vMerge w:val="continue"/>
            <w:tcBorders>
              <w:left w:val="single" w:color="000000" w:sz="4" w:space="0"/>
              <w:right w:val="single" w:color="000000" w:sz="4" w:space="0"/>
            </w:tcBorders>
            <w:vAlign w:val="center"/>
          </w:tcPr>
          <w:p w14:paraId="2D026D28">
            <w:pPr>
              <w:widowControl/>
              <w:spacing w:line="240" w:lineRule="auto"/>
              <w:ind w:firstLine="0" w:firstLineChars="0"/>
              <w:jc w:val="left"/>
              <w:rPr>
                <w:rFonts w:ascii="宋体" w:hAnsi="宋体" w:eastAsia="宋体" w:cs="宋体"/>
                <w:kern w:val="0"/>
                <w:sz w:val="20"/>
                <w:szCs w:val="20"/>
              </w:rPr>
            </w:pPr>
          </w:p>
        </w:tc>
        <w:tc>
          <w:tcPr>
            <w:tcW w:w="766" w:type="pct"/>
            <w:vMerge w:val="continue"/>
            <w:tcBorders>
              <w:top w:val="single" w:color="000000" w:sz="4" w:space="0"/>
              <w:left w:val="single" w:color="000000" w:sz="4" w:space="0"/>
              <w:bottom w:val="single" w:color="000000" w:sz="4" w:space="0"/>
              <w:right w:val="single" w:color="000000" w:sz="4" w:space="0"/>
            </w:tcBorders>
            <w:vAlign w:val="center"/>
          </w:tcPr>
          <w:p w14:paraId="6C807877">
            <w:pPr>
              <w:widowControl/>
              <w:spacing w:line="240" w:lineRule="auto"/>
              <w:ind w:firstLine="0" w:firstLineChars="0"/>
              <w:jc w:val="left"/>
              <w:rPr>
                <w:rFonts w:ascii="宋体" w:hAnsi="宋体" w:eastAsia="宋体" w:cs="宋体"/>
                <w:kern w:val="0"/>
                <w:sz w:val="20"/>
                <w:szCs w:val="20"/>
              </w:rPr>
            </w:pPr>
          </w:p>
        </w:tc>
        <w:tc>
          <w:tcPr>
            <w:tcW w:w="1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2B225">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预算执行率</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4E858">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28FD3">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4.00</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767EA">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100.00%</w:t>
            </w:r>
          </w:p>
        </w:tc>
      </w:tr>
      <w:tr w14:paraId="102B7410">
        <w:tblPrEx>
          <w:tblCellMar>
            <w:top w:w="0" w:type="dxa"/>
            <w:left w:w="28" w:type="dxa"/>
            <w:bottom w:w="0" w:type="dxa"/>
            <w:right w:w="28" w:type="dxa"/>
          </w:tblCellMar>
        </w:tblPrEx>
        <w:trPr>
          <w:trHeight w:val="397" w:hRule="atLeast"/>
          <w:jc w:val="center"/>
        </w:trPr>
        <w:tc>
          <w:tcPr>
            <w:tcW w:w="764" w:type="pct"/>
            <w:vMerge w:val="continue"/>
            <w:tcBorders>
              <w:left w:val="single" w:color="000000" w:sz="4" w:space="0"/>
              <w:right w:val="single" w:color="000000" w:sz="4" w:space="0"/>
            </w:tcBorders>
            <w:vAlign w:val="center"/>
          </w:tcPr>
          <w:p w14:paraId="479A44E3">
            <w:pPr>
              <w:widowControl/>
              <w:spacing w:line="240" w:lineRule="auto"/>
              <w:ind w:firstLine="0" w:firstLineChars="0"/>
              <w:jc w:val="left"/>
              <w:rPr>
                <w:rFonts w:ascii="宋体" w:hAnsi="宋体" w:eastAsia="宋体" w:cs="宋体"/>
                <w:kern w:val="0"/>
                <w:sz w:val="20"/>
                <w:szCs w:val="20"/>
              </w:rPr>
            </w:pPr>
          </w:p>
        </w:tc>
        <w:tc>
          <w:tcPr>
            <w:tcW w:w="766" w:type="pct"/>
            <w:vMerge w:val="continue"/>
            <w:tcBorders>
              <w:top w:val="single" w:color="000000" w:sz="4" w:space="0"/>
              <w:left w:val="single" w:color="000000" w:sz="4" w:space="0"/>
              <w:bottom w:val="single" w:color="000000" w:sz="4" w:space="0"/>
              <w:right w:val="single" w:color="000000" w:sz="4" w:space="0"/>
            </w:tcBorders>
            <w:vAlign w:val="center"/>
          </w:tcPr>
          <w:p w14:paraId="4347DF69">
            <w:pPr>
              <w:widowControl/>
              <w:spacing w:line="240" w:lineRule="auto"/>
              <w:ind w:firstLine="0" w:firstLineChars="0"/>
              <w:jc w:val="left"/>
              <w:rPr>
                <w:rFonts w:ascii="宋体" w:hAnsi="宋体" w:eastAsia="宋体" w:cs="宋体"/>
                <w:kern w:val="0"/>
                <w:sz w:val="20"/>
                <w:szCs w:val="20"/>
              </w:rPr>
            </w:pPr>
          </w:p>
        </w:tc>
        <w:tc>
          <w:tcPr>
            <w:tcW w:w="1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B068E">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资金使用合规性</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E7E15">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91A70">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4.00</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2704A">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100.00%</w:t>
            </w:r>
          </w:p>
        </w:tc>
      </w:tr>
      <w:tr w14:paraId="2C73DA36">
        <w:tblPrEx>
          <w:tblCellMar>
            <w:top w:w="0" w:type="dxa"/>
            <w:left w:w="28" w:type="dxa"/>
            <w:bottom w:w="0" w:type="dxa"/>
            <w:right w:w="28" w:type="dxa"/>
          </w:tblCellMar>
        </w:tblPrEx>
        <w:trPr>
          <w:trHeight w:val="397" w:hRule="atLeast"/>
          <w:jc w:val="center"/>
        </w:trPr>
        <w:tc>
          <w:tcPr>
            <w:tcW w:w="764" w:type="pct"/>
            <w:vMerge w:val="continue"/>
            <w:tcBorders>
              <w:left w:val="single" w:color="000000" w:sz="4" w:space="0"/>
              <w:right w:val="single" w:color="000000" w:sz="4" w:space="0"/>
            </w:tcBorders>
            <w:vAlign w:val="center"/>
          </w:tcPr>
          <w:p w14:paraId="611B22A5">
            <w:pPr>
              <w:widowControl/>
              <w:spacing w:line="240" w:lineRule="auto"/>
              <w:ind w:firstLine="0" w:firstLineChars="0"/>
              <w:jc w:val="left"/>
              <w:rPr>
                <w:rFonts w:ascii="宋体" w:hAnsi="宋体" w:eastAsia="宋体" w:cs="宋体"/>
                <w:kern w:val="0"/>
                <w:sz w:val="20"/>
                <w:szCs w:val="20"/>
              </w:rPr>
            </w:pPr>
          </w:p>
        </w:tc>
        <w:tc>
          <w:tcPr>
            <w:tcW w:w="766" w:type="pct"/>
            <w:vMerge w:val="restart"/>
            <w:tcBorders>
              <w:top w:val="single" w:color="000000" w:sz="4" w:space="0"/>
              <w:left w:val="single" w:color="000000" w:sz="4" w:space="0"/>
              <w:right w:val="single" w:color="000000" w:sz="4" w:space="0"/>
            </w:tcBorders>
            <w:shd w:val="clear" w:color="auto" w:fill="auto"/>
            <w:vAlign w:val="center"/>
          </w:tcPr>
          <w:p w14:paraId="13C31603">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组织实施</w:t>
            </w:r>
          </w:p>
        </w:tc>
        <w:tc>
          <w:tcPr>
            <w:tcW w:w="1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8B937">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管理制度健全性</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814BD">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175E2">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4.50</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A6721">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90.00%</w:t>
            </w:r>
          </w:p>
        </w:tc>
      </w:tr>
      <w:tr w14:paraId="6E58D00F">
        <w:tblPrEx>
          <w:tblCellMar>
            <w:top w:w="0" w:type="dxa"/>
            <w:left w:w="28" w:type="dxa"/>
            <w:bottom w:w="0" w:type="dxa"/>
            <w:right w:w="28" w:type="dxa"/>
          </w:tblCellMar>
        </w:tblPrEx>
        <w:trPr>
          <w:trHeight w:val="397" w:hRule="atLeast"/>
          <w:jc w:val="center"/>
        </w:trPr>
        <w:tc>
          <w:tcPr>
            <w:tcW w:w="764" w:type="pct"/>
            <w:vMerge w:val="continue"/>
            <w:tcBorders>
              <w:left w:val="single" w:color="000000" w:sz="4" w:space="0"/>
              <w:bottom w:val="single" w:color="000000" w:sz="4" w:space="0"/>
              <w:right w:val="single" w:color="000000" w:sz="4" w:space="0"/>
            </w:tcBorders>
            <w:vAlign w:val="center"/>
          </w:tcPr>
          <w:p w14:paraId="400CF703">
            <w:pPr>
              <w:widowControl/>
              <w:spacing w:line="240" w:lineRule="auto"/>
              <w:ind w:firstLine="0" w:firstLineChars="0"/>
              <w:jc w:val="center"/>
              <w:rPr>
                <w:rFonts w:ascii="宋体" w:hAnsi="宋体" w:eastAsia="宋体" w:cs="宋体"/>
                <w:kern w:val="0"/>
                <w:sz w:val="20"/>
                <w:szCs w:val="20"/>
              </w:rPr>
            </w:pPr>
          </w:p>
        </w:tc>
        <w:tc>
          <w:tcPr>
            <w:tcW w:w="766" w:type="pct"/>
            <w:vMerge w:val="continue"/>
            <w:tcBorders>
              <w:left w:val="single" w:color="000000" w:sz="4" w:space="0"/>
              <w:bottom w:val="single" w:color="000000" w:sz="4" w:space="0"/>
              <w:right w:val="single" w:color="000000" w:sz="4" w:space="0"/>
            </w:tcBorders>
            <w:vAlign w:val="center"/>
          </w:tcPr>
          <w:p w14:paraId="396C48D7">
            <w:pPr>
              <w:widowControl/>
              <w:spacing w:line="240" w:lineRule="auto"/>
              <w:ind w:firstLine="0" w:firstLineChars="0"/>
              <w:jc w:val="center"/>
              <w:rPr>
                <w:rFonts w:ascii="宋体" w:hAnsi="宋体" w:eastAsia="宋体" w:cs="宋体"/>
                <w:kern w:val="0"/>
                <w:sz w:val="20"/>
                <w:szCs w:val="20"/>
              </w:rPr>
            </w:pPr>
          </w:p>
        </w:tc>
        <w:tc>
          <w:tcPr>
            <w:tcW w:w="1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913CF">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制度执行有效性</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7666C">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611DE">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4.00</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75D4D">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80.00%</w:t>
            </w:r>
          </w:p>
        </w:tc>
      </w:tr>
      <w:tr w14:paraId="3C07BC84">
        <w:tblPrEx>
          <w:tblCellMar>
            <w:top w:w="0" w:type="dxa"/>
            <w:left w:w="28" w:type="dxa"/>
            <w:bottom w:w="0" w:type="dxa"/>
            <w:right w:w="28" w:type="dxa"/>
          </w:tblCellMar>
        </w:tblPrEx>
        <w:trPr>
          <w:trHeight w:val="397" w:hRule="atLeast"/>
          <w:jc w:val="center"/>
        </w:trPr>
        <w:tc>
          <w:tcPr>
            <w:tcW w:w="269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8C0A24">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合计</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4A5C3">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20</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7F717">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18.50</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17EB4">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92.50%</w:t>
            </w:r>
          </w:p>
        </w:tc>
      </w:tr>
    </w:tbl>
    <w:p w14:paraId="7E2D6443">
      <w:pPr>
        <w:pStyle w:val="30"/>
        <w:spacing w:line="240" w:lineRule="auto"/>
      </w:pPr>
    </w:p>
    <w:p w14:paraId="7D98ECAC">
      <w:pPr>
        <w:pStyle w:val="30"/>
        <w:outlineLvl w:val="2"/>
      </w:pPr>
      <w:r>
        <w:t>1.</w:t>
      </w:r>
      <w:r>
        <w:rPr>
          <w:rFonts w:hint="eastAsia"/>
        </w:rPr>
        <w:t>资金管理</w:t>
      </w:r>
    </w:p>
    <w:p w14:paraId="05B93BA9">
      <w:pPr>
        <w:pStyle w:val="30"/>
        <w:outlineLvl w:val="3"/>
      </w:pPr>
      <w:r>
        <w:rPr>
          <w:rFonts w:hint="eastAsia"/>
        </w:rPr>
        <w:t>（1）资金到位率、预算执行率</w:t>
      </w:r>
    </w:p>
    <w:p w14:paraId="3440D1BF">
      <w:pPr>
        <w:ind w:firstLine="640"/>
        <w:rPr>
          <w:rFonts w:ascii="仿宋_GB2312"/>
          <w:iCs/>
          <w:szCs w:val="32"/>
        </w:rPr>
      </w:pPr>
      <w:r>
        <w:rPr>
          <w:rFonts w:hint="eastAsia" w:ascii="仿宋_GB2312"/>
          <w:iCs/>
          <w:szCs w:val="32"/>
        </w:rPr>
        <w:t>此项目为2024年度年中追加项目，经市机关事务管理中心主任办公会和市机关事务管理局党组会议确定项目金额为321.46万元，由部门内调剂预算保障；2024年12月20日，经市财政局审批，批复六里桥办公区6、9号门门前广场维修提升项目预算321.46万元；项目全年预算金额为321.46万元，均为当年财政拨款。截至2024年12月31日，项目预算资金已全部支出，项目预算执行率为100.00%。</w:t>
      </w:r>
    </w:p>
    <w:p w14:paraId="48985D1A">
      <w:pPr>
        <w:pStyle w:val="30"/>
        <w:outlineLvl w:val="3"/>
      </w:pPr>
      <w:r>
        <w:rPr>
          <w:rFonts w:hint="eastAsia"/>
        </w:rPr>
        <w:t>（</w:t>
      </w:r>
      <w:r>
        <w:t>2</w:t>
      </w:r>
      <w:r>
        <w:rPr>
          <w:rFonts w:hint="eastAsia"/>
        </w:rPr>
        <w:t>）资金使用合规性</w:t>
      </w:r>
    </w:p>
    <w:p w14:paraId="66C48E2D">
      <w:pPr>
        <w:ind w:firstLine="640"/>
        <w:rPr>
          <w:rFonts w:ascii="仿宋_GB2312"/>
          <w:iCs/>
          <w:szCs w:val="32"/>
        </w:rPr>
      </w:pPr>
      <w:r>
        <w:rPr>
          <w:rFonts w:hint="eastAsia" w:ascii="仿宋_GB2312"/>
          <w:iCs/>
          <w:szCs w:val="32"/>
        </w:rPr>
        <w:t>项目资金使用符合《建设工程质量管理条例》《北京市机关事务管理局采购管理办法》《北京市机关事务管理中心财务管理办法》《北京市机关事务管理中心经费支出和报销管理办法》《北京市机关事务管理中心合同管理办法》等业务、财务制度，项目资金使用和财务管控能够依照相关制度进行。从整体情况来看，项目资金实行单独核算且专款专用的管理方式，每一笔资金支出均具备完整的审批流程；项目资金支出的原始凭证及附件真实有效、规范齐全且完整无缺，项目支出控制在总预算范围之内，资金使用较为合规。</w:t>
      </w:r>
    </w:p>
    <w:p w14:paraId="29E4F356">
      <w:pPr>
        <w:pStyle w:val="30"/>
        <w:outlineLvl w:val="2"/>
      </w:pPr>
      <w:r>
        <w:rPr>
          <w:rFonts w:hint="eastAsia"/>
        </w:rPr>
        <w:t>2.组织实施</w:t>
      </w:r>
    </w:p>
    <w:p w14:paraId="6F0C0995">
      <w:pPr>
        <w:pStyle w:val="30"/>
        <w:outlineLvl w:val="3"/>
      </w:pPr>
      <w:r>
        <w:rPr>
          <w:rFonts w:hint="eastAsia"/>
        </w:rPr>
        <w:t>（1）管理制度健全性</w:t>
      </w:r>
    </w:p>
    <w:p w14:paraId="1609FA11">
      <w:pPr>
        <w:ind w:firstLine="643"/>
        <w:rPr>
          <w:rFonts w:ascii="黑体" w:hAnsi="黑体" w:eastAsia="黑体"/>
          <w:szCs w:val="32"/>
        </w:rPr>
      </w:pPr>
      <w:r>
        <w:rPr>
          <w:rFonts w:hint="eastAsia" w:ascii="仿宋_GB2312"/>
          <w:b/>
          <w:bCs/>
          <w:szCs w:val="32"/>
        </w:rPr>
        <w:t>财务管理制度方面</w:t>
      </w:r>
      <w:r>
        <w:rPr>
          <w:rFonts w:hint="eastAsia" w:ascii="仿宋_GB2312"/>
          <w:szCs w:val="32"/>
        </w:rPr>
        <w:t>。市机关事务管理中心2022年制定了</w:t>
      </w:r>
      <w:r>
        <w:rPr>
          <w:rFonts w:hint="eastAsia" w:ascii="仿宋_GB2312"/>
          <w:iCs/>
          <w:szCs w:val="32"/>
        </w:rPr>
        <w:t>《北京市机关事务管理中心内部控制制度汇编》，包含了《北京市机关事务管理中心预算管理办法》《北京市机关事务管理中心合同管理办法》《北京市机关事务管理中心财务管理办法》等财务管理制度，能够对项目执行过程中的基本财务管理进行明确规范与指导；但未见单位内部会计监督制度。</w:t>
      </w:r>
    </w:p>
    <w:p w14:paraId="320A3270">
      <w:pPr>
        <w:ind w:firstLine="643"/>
        <w:rPr>
          <w:szCs w:val="32"/>
        </w:rPr>
      </w:pPr>
      <w:r>
        <w:rPr>
          <w:rFonts w:hint="eastAsia" w:ascii="仿宋_GB2312"/>
          <w:b/>
          <w:bCs/>
          <w:iCs/>
          <w:szCs w:val="32"/>
        </w:rPr>
        <w:t>业务管理制度方面</w:t>
      </w:r>
      <w:r>
        <w:rPr>
          <w:rFonts w:hint="eastAsia" w:ascii="仿宋_GB2312"/>
          <w:iCs/>
          <w:szCs w:val="32"/>
        </w:rPr>
        <w:t>。</w:t>
      </w:r>
      <w:r>
        <w:rPr>
          <w:rFonts w:hint="eastAsia" w:ascii="仿宋_GB2312" w:hAnsi="宋体"/>
          <w:szCs w:val="32"/>
        </w:rPr>
        <w:t>项目主要依据</w:t>
      </w:r>
      <w:r>
        <w:rPr>
          <w:rFonts w:hint="eastAsia" w:ascii="仿宋_GB2312"/>
          <w:iCs/>
          <w:szCs w:val="32"/>
        </w:rPr>
        <w:t>《建设工程质量管理条例》《北京市机关事务管理中心内部控制制度汇编》等</w:t>
      </w:r>
      <w:r>
        <w:rPr>
          <w:rFonts w:hint="eastAsia" w:ascii="仿宋_GB2312"/>
          <w:szCs w:val="32"/>
        </w:rPr>
        <w:t>相关要求对项目进行管理和监督，管理制度合法合规、较为完整。</w:t>
      </w:r>
    </w:p>
    <w:p w14:paraId="5F2FB686">
      <w:pPr>
        <w:pStyle w:val="30"/>
        <w:outlineLvl w:val="3"/>
      </w:pPr>
      <w:r>
        <w:rPr>
          <w:rFonts w:hint="eastAsia"/>
        </w:rPr>
        <w:t>（2）制度执行有效性</w:t>
      </w:r>
    </w:p>
    <w:p w14:paraId="27D86FB8">
      <w:pPr>
        <w:ind w:firstLine="643"/>
        <w:rPr>
          <w:rFonts w:ascii="仿宋_GB2312"/>
          <w:iCs/>
          <w:szCs w:val="32"/>
        </w:rPr>
      </w:pPr>
      <w:r>
        <w:rPr>
          <w:rFonts w:hint="eastAsia" w:ascii="仿宋_GB2312"/>
          <w:b/>
          <w:iCs/>
          <w:szCs w:val="32"/>
        </w:rPr>
        <w:t>执行过程规范性方面</w:t>
      </w:r>
      <w:r>
        <w:rPr>
          <w:rFonts w:hint="eastAsia" w:ascii="仿宋_GB2312"/>
          <w:iCs/>
          <w:szCs w:val="32"/>
        </w:rPr>
        <w:t>。项目采取竞争性磋商的方式确定施工单位，符合《政府采购竞争性磋商采购方式管理暂行办法》（财库〔2014〕214号）以及《北京市机关事务管理局采购管理办法》的相关规定，竞争性磋商过程中未出现违反《政府采购法》等不规范的情况。但评价发现项目在合同签订、验收、资金支付等方面存在以下问题：一是合同未设计质量保证金条款，未明确为固定总价合同；二是工程款支付未经监理审核；三是验收单上未体现承包方项目经理，规范性有待提升。</w:t>
      </w:r>
    </w:p>
    <w:p w14:paraId="486E4655">
      <w:pPr>
        <w:ind w:firstLine="643"/>
        <w:rPr>
          <w:rFonts w:ascii="仿宋_GB2312"/>
          <w:b/>
          <w:bCs/>
          <w:iCs/>
          <w:szCs w:val="32"/>
        </w:rPr>
      </w:pPr>
      <w:r>
        <w:rPr>
          <w:rFonts w:hint="eastAsia" w:ascii="仿宋_GB2312"/>
          <w:b/>
          <w:bCs/>
          <w:iCs/>
          <w:szCs w:val="32"/>
        </w:rPr>
        <w:t>调整手续完备性方面。</w:t>
      </w:r>
      <w:r>
        <w:rPr>
          <w:rFonts w:hint="eastAsia" w:ascii="仿宋_GB2312"/>
          <w:iCs/>
          <w:szCs w:val="32"/>
        </w:rPr>
        <w:t>此项目为2024年度年中追加项目，由部门内调剂预算保障；项目开展经由内部集体决策，项目预算调整通过了市财政局审批，调整手续完备性较好。</w:t>
      </w:r>
    </w:p>
    <w:p w14:paraId="513EB258">
      <w:pPr>
        <w:ind w:firstLine="643"/>
        <w:rPr>
          <w:rFonts w:ascii="仿宋_GB2312"/>
          <w:iCs/>
          <w:szCs w:val="32"/>
        </w:rPr>
      </w:pPr>
      <w:r>
        <w:rPr>
          <w:rFonts w:hint="eastAsia" w:ascii="仿宋_GB2312"/>
          <w:b/>
          <w:iCs/>
          <w:szCs w:val="32"/>
        </w:rPr>
        <w:t>档案资料完备性方面</w:t>
      </w:r>
      <w:r>
        <w:rPr>
          <w:rFonts w:hint="eastAsia" w:ascii="仿宋_GB2312"/>
          <w:iCs/>
          <w:szCs w:val="32"/>
        </w:rPr>
        <w:t>。六里桥办公区管理处能够及时整理、归档项目前期的内部决策、需求调研、预算评审以及项目申报文本等资料，实施过程中及时留存了磋商文件及确认表、采购结果确认函、竞争性磋商评审报告、合同、会计凭证及附件、工程质量评估报告、验收单等过程性资料及总结报告等成果材料，资料留存完备性总体较好。但是，未见监理公司提供的开工令，项目实施过程中存在延期，未见延期申请。</w:t>
      </w:r>
    </w:p>
    <w:p w14:paraId="625A8FC1">
      <w:pPr>
        <w:ind w:firstLine="640"/>
        <w:outlineLvl w:val="1"/>
        <w:rPr>
          <w:rFonts w:ascii="楷体_GB2312" w:eastAsia="楷体_GB2312"/>
          <w:szCs w:val="32"/>
        </w:rPr>
      </w:pPr>
      <w:bookmarkStart w:id="48" w:name="_Toc29710"/>
      <w:r>
        <w:rPr>
          <w:rFonts w:hint="eastAsia" w:ascii="楷体_GB2312" w:eastAsia="楷体_GB2312"/>
          <w:szCs w:val="32"/>
        </w:rPr>
        <w:t>（三）项目产出情况</w:t>
      </w:r>
      <w:bookmarkEnd w:id="48"/>
    </w:p>
    <w:p w14:paraId="4A8412B8">
      <w:pPr>
        <w:ind w:firstLine="640"/>
        <w:rPr>
          <w:rFonts w:ascii="仿宋_GB2312"/>
          <w:iCs/>
          <w:szCs w:val="32"/>
        </w:rPr>
      </w:pPr>
      <w:r>
        <w:rPr>
          <w:rFonts w:hint="eastAsia" w:ascii="仿宋_GB2312"/>
          <w:iCs/>
          <w:szCs w:val="32"/>
        </w:rPr>
        <w:t>项目于2024年度内完成了六里桥办公区6、9号门门前广场</w:t>
      </w:r>
      <w:r>
        <w:rPr>
          <w:rFonts w:hint="eastAsia"/>
        </w:rPr>
        <w:t>更换石材、处理病害及下陷部位、翻新及铺设沥青路面等工作，</w:t>
      </w:r>
      <w:r>
        <w:rPr>
          <w:rFonts w:hint="eastAsia" w:ascii="仿宋_GB2312"/>
          <w:iCs/>
          <w:szCs w:val="32"/>
        </w:rPr>
        <w:t>验收合格率100%，</w:t>
      </w:r>
      <w:r>
        <w:rPr>
          <w:rFonts w:hint="eastAsia" w:ascii="仿宋_GB2312"/>
        </w:rPr>
        <w:t>通过预算评审、竞争性磋商等方式一定程度上节约了成本。但评价发现，项目首款支付及完工均存在一定延迟，未制定明确的成本控制措施，未办理竣工结算</w:t>
      </w:r>
      <w:r>
        <w:rPr>
          <w:rFonts w:hint="eastAsia"/>
        </w:rPr>
        <w:t>。</w:t>
      </w:r>
      <w:r>
        <w:rPr>
          <w:rFonts w:hint="eastAsia" w:ascii="仿宋_GB2312" w:hAnsi="仿宋"/>
          <w:iCs/>
        </w:rPr>
        <w:t>产出指标分值40.00分，得分36.50分，得分率91.25%（</w:t>
      </w:r>
      <w:r>
        <w:rPr>
          <w:rFonts w:hint="eastAsia" w:ascii="仿宋_GB2312" w:hAnsi="仿宋" w:cs="Arial"/>
          <w:bCs/>
          <w:iCs/>
          <w:kern w:val="0"/>
        </w:rPr>
        <w:t>见表5</w:t>
      </w:r>
      <w:r>
        <w:rPr>
          <w:rFonts w:hint="eastAsia" w:ascii="仿宋_GB2312" w:hAnsi="仿宋"/>
          <w:iCs/>
        </w:rPr>
        <w:t>）。</w:t>
      </w:r>
    </w:p>
    <w:p w14:paraId="62FDF67A">
      <w:pPr>
        <w:ind w:firstLine="0" w:firstLineChars="0"/>
        <w:jc w:val="center"/>
        <w:rPr>
          <w:rFonts w:ascii="黑体" w:hAnsi="黑体" w:eastAsia="黑体"/>
          <w:iCs/>
          <w:sz w:val="28"/>
          <w:szCs w:val="28"/>
        </w:rPr>
      </w:pPr>
      <w:r>
        <w:rPr>
          <w:rFonts w:hint="eastAsia" w:ascii="黑体" w:hAnsi="黑体" w:eastAsia="黑体"/>
          <w:iCs/>
          <w:sz w:val="28"/>
          <w:szCs w:val="28"/>
        </w:rPr>
        <w:t>表5：产出指标设定及评分情况表</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108"/>
        <w:gridCol w:w="1184"/>
        <w:gridCol w:w="3207"/>
        <w:gridCol w:w="1033"/>
        <w:gridCol w:w="1184"/>
        <w:gridCol w:w="1184"/>
      </w:tblGrid>
      <w:tr w14:paraId="4B99A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blHeader/>
          <w:jc w:val="center"/>
        </w:trPr>
        <w:tc>
          <w:tcPr>
            <w:tcW w:w="623" w:type="pct"/>
            <w:vAlign w:val="center"/>
          </w:tcPr>
          <w:p w14:paraId="32DC221D">
            <w:pPr>
              <w:widowControl/>
              <w:spacing w:line="240" w:lineRule="auto"/>
              <w:ind w:firstLine="0" w:firstLineChars="0"/>
              <w:jc w:val="center"/>
              <w:rPr>
                <w:rFonts w:ascii="宋体" w:hAnsi="宋体" w:eastAsia="宋体" w:cs="Arial"/>
                <w:b/>
                <w:bCs/>
                <w:iCs/>
                <w:kern w:val="0"/>
                <w:sz w:val="20"/>
                <w:szCs w:val="20"/>
              </w:rPr>
            </w:pPr>
            <w:r>
              <w:rPr>
                <w:rFonts w:hint="eastAsia" w:ascii="宋体" w:hAnsi="宋体" w:eastAsia="宋体" w:cs="Arial"/>
                <w:b/>
                <w:bCs/>
                <w:iCs/>
                <w:kern w:val="0"/>
                <w:sz w:val="20"/>
                <w:szCs w:val="20"/>
              </w:rPr>
              <w:t>一级指标</w:t>
            </w:r>
          </w:p>
        </w:tc>
        <w:tc>
          <w:tcPr>
            <w:tcW w:w="665" w:type="pct"/>
            <w:vAlign w:val="center"/>
          </w:tcPr>
          <w:p w14:paraId="771C3B07">
            <w:pPr>
              <w:widowControl/>
              <w:spacing w:line="240" w:lineRule="auto"/>
              <w:ind w:firstLine="0" w:firstLineChars="0"/>
              <w:jc w:val="center"/>
              <w:rPr>
                <w:rFonts w:ascii="宋体" w:hAnsi="宋体" w:eastAsia="宋体" w:cs="Arial"/>
                <w:b/>
                <w:bCs/>
                <w:iCs/>
                <w:kern w:val="0"/>
                <w:sz w:val="20"/>
                <w:szCs w:val="20"/>
              </w:rPr>
            </w:pPr>
            <w:r>
              <w:rPr>
                <w:rFonts w:hint="eastAsia" w:ascii="宋体" w:hAnsi="宋体" w:eastAsia="宋体" w:cs="Arial"/>
                <w:b/>
                <w:bCs/>
                <w:iCs/>
                <w:kern w:val="0"/>
                <w:sz w:val="20"/>
                <w:szCs w:val="20"/>
              </w:rPr>
              <w:t>二级指标</w:t>
            </w:r>
          </w:p>
        </w:tc>
        <w:tc>
          <w:tcPr>
            <w:tcW w:w="1800" w:type="pct"/>
            <w:vAlign w:val="center"/>
          </w:tcPr>
          <w:p w14:paraId="47791823">
            <w:pPr>
              <w:widowControl/>
              <w:spacing w:line="240" w:lineRule="auto"/>
              <w:ind w:firstLine="0" w:firstLineChars="0"/>
              <w:jc w:val="center"/>
              <w:rPr>
                <w:rFonts w:ascii="宋体" w:hAnsi="宋体" w:eastAsia="宋体" w:cs="Arial"/>
                <w:b/>
                <w:bCs/>
                <w:iCs/>
                <w:kern w:val="0"/>
                <w:sz w:val="20"/>
                <w:szCs w:val="20"/>
              </w:rPr>
            </w:pPr>
            <w:r>
              <w:rPr>
                <w:rFonts w:hint="eastAsia" w:ascii="宋体" w:hAnsi="宋体" w:eastAsia="宋体" w:cs="Arial"/>
                <w:b/>
                <w:bCs/>
                <w:iCs/>
                <w:kern w:val="0"/>
                <w:sz w:val="20"/>
                <w:szCs w:val="20"/>
              </w:rPr>
              <w:t>三级指标</w:t>
            </w:r>
          </w:p>
        </w:tc>
        <w:tc>
          <w:tcPr>
            <w:tcW w:w="580" w:type="pct"/>
            <w:vAlign w:val="center"/>
          </w:tcPr>
          <w:p w14:paraId="4DC68944">
            <w:pPr>
              <w:widowControl/>
              <w:spacing w:line="240" w:lineRule="auto"/>
              <w:ind w:firstLine="0" w:firstLineChars="0"/>
              <w:jc w:val="center"/>
              <w:rPr>
                <w:rFonts w:ascii="宋体" w:hAnsi="宋体" w:eastAsia="宋体" w:cs="Arial"/>
                <w:b/>
                <w:bCs/>
                <w:iCs/>
                <w:kern w:val="0"/>
                <w:sz w:val="20"/>
                <w:szCs w:val="20"/>
              </w:rPr>
            </w:pPr>
            <w:r>
              <w:rPr>
                <w:rFonts w:hint="eastAsia" w:ascii="宋体" w:hAnsi="宋体" w:eastAsia="宋体" w:cs="Arial"/>
                <w:b/>
                <w:bCs/>
                <w:iCs/>
                <w:kern w:val="0"/>
                <w:sz w:val="20"/>
                <w:szCs w:val="20"/>
              </w:rPr>
              <w:t>分值</w:t>
            </w:r>
          </w:p>
        </w:tc>
        <w:tc>
          <w:tcPr>
            <w:tcW w:w="665" w:type="pct"/>
            <w:vAlign w:val="center"/>
          </w:tcPr>
          <w:p w14:paraId="745754B6">
            <w:pPr>
              <w:widowControl/>
              <w:spacing w:line="240" w:lineRule="auto"/>
              <w:ind w:firstLine="0" w:firstLineChars="0"/>
              <w:jc w:val="center"/>
              <w:rPr>
                <w:rFonts w:ascii="宋体" w:hAnsi="宋体" w:eastAsia="宋体" w:cs="Arial"/>
                <w:b/>
                <w:bCs/>
                <w:iCs/>
                <w:kern w:val="0"/>
                <w:sz w:val="20"/>
                <w:szCs w:val="20"/>
              </w:rPr>
            </w:pPr>
            <w:r>
              <w:rPr>
                <w:rFonts w:hint="eastAsia" w:ascii="宋体" w:hAnsi="宋体" w:eastAsia="宋体" w:cs="Arial"/>
                <w:b/>
                <w:bCs/>
                <w:iCs/>
                <w:kern w:val="0"/>
                <w:sz w:val="20"/>
                <w:szCs w:val="20"/>
              </w:rPr>
              <w:t>得分</w:t>
            </w:r>
          </w:p>
        </w:tc>
        <w:tc>
          <w:tcPr>
            <w:tcW w:w="665" w:type="pct"/>
            <w:vAlign w:val="center"/>
          </w:tcPr>
          <w:p w14:paraId="4AE6468A">
            <w:pPr>
              <w:widowControl/>
              <w:spacing w:line="240" w:lineRule="auto"/>
              <w:ind w:firstLine="0" w:firstLineChars="0"/>
              <w:jc w:val="center"/>
              <w:rPr>
                <w:rFonts w:ascii="宋体" w:hAnsi="宋体" w:eastAsia="宋体" w:cs="Arial"/>
                <w:b/>
                <w:bCs/>
                <w:iCs/>
                <w:kern w:val="0"/>
                <w:sz w:val="20"/>
                <w:szCs w:val="20"/>
              </w:rPr>
            </w:pPr>
            <w:r>
              <w:rPr>
                <w:rFonts w:hint="eastAsia" w:ascii="宋体" w:hAnsi="宋体" w:eastAsia="宋体" w:cs="Arial"/>
                <w:b/>
                <w:bCs/>
                <w:iCs/>
                <w:kern w:val="0"/>
                <w:sz w:val="20"/>
                <w:szCs w:val="20"/>
              </w:rPr>
              <w:t>得分率</w:t>
            </w:r>
          </w:p>
        </w:tc>
      </w:tr>
      <w:tr w14:paraId="173A5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623" w:type="pct"/>
            <w:vMerge w:val="restart"/>
            <w:vAlign w:val="center"/>
          </w:tcPr>
          <w:p w14:paraId="222B8A32">
            <w:pPr>
              <w:widowControl/>
              <w:spacing w:line="240" w:lineRule="auto"/>
              <w:ind w:firstLine="0" w:firstLineChars="0"/>
              <w:jc w:val="center"/>
              <w:rPr>
                <w:rFonts w:ascii="宋体" w:hAnsi="宋体" w:eastAsia="宋体" w:cs="宋体"/>
                <w:iCs/>
                <w:kern w:val="0"/>
                <w:sz w:val="20"/>
                <w:szCs w:val="20"/>
              </w:rPr>
            </w:pPr>
            <w:r>
              <w:rPr>
                <w:rFonts w:hint="eastAsia" w:ascii="宋体" w:hAnsi="宋体" w:eastAsia="宋体" w:cs="宋体"/>
                <w:iCs/>
                <w:kern w:val="0"/>
                <w:sz w:val="20"/>
                <w:szCs w:val="20"/>
              </w:rPr>
              <w:t>产出</w:t>
            </w:r>
          </w:p>
          <w:p w14:paraId="497CE876">
            <w:pPr>
              <w:widowControl/>
              <w:spacing w:line="240" w:lineRule="auto"/>
              <w:ind w:firstLine="0" w:firstLineChars="0"/>
              <w:jc w:val="center"/>
              <w:rPr>
                <w:rFonts w:ascii="宋体" w:hAnsi="宋体" w:eastAsia="宋体" w:cs="宋体"/>
                <w:iCs/>
                <w:kern w:val="0"/>
                <w:sz w:val="20"/>
                <w:szCs w:val="20"/>
              </w:rPr>
            </w:pPr>
            <w:r>
              <w:rPr>
                <w:rFonts w:hint="eastAsia" w:ascii="宋体" w:hAnsi="宋体" w:eastAsia="宋体" w:cs="宋体"/>
                <w:iCs/>
                <w:kern w:val="0"/>
                <w:sz w:val="20"/>
                <w:szCs w:val="20"/>
              </w:rPr>
              <w:t>（4</w:t>
            </w:r>
            <w:r>
              <w:rPr>
                <w:rFonts w:ascii="宋体" w:hAnsi="宋体" w:eastAsia="宋体" w:cs="宋体"/>
                <w:iCs/>
                <w:kern w:val="0"/>
                <w:sz w:val="20"/>
                <w:szCs w:val="20"/>
              </w:rPr>
              <w:t>0</w:t>
            </w:r>
            <w:r>
              <w:rPr>
                <w:rFonts w:hint="eastAsia" w:ascii="宋体" w:hAnsi="宋体" w:eastAsia="宋体" w:cs="宋体"/>
                <w:iCs/>
                <w:kern w:val="0"/>
                <w:sz w:val="20"/>
                <w:szCs w:val="20"/>
              </w:rPr>
              <w:t>分）</w:t>
            </w:r>
          </w:p>
        </w:tc>
        <w:tc>
          <w:tcPr>
            <w:tcW w:w="665" w:type="pct"/>
            <w:vAlign w:val="center"/>
          </w:tcPr>
          <w:p w14:paraId="20A04171">
            <w:pPr>
              <w:widowControl/>
              <w:spacing w:line="240" w:lineRule="auto"/>
              <w:ind w:firstLine="0" w:firstLineChars="0"/>
              <w:jc w:val="center"/>
              <w:rPr>
                <w:rFonts w:ascii="宋体" w:hAnsi="宋体" w:eastAsia="宋体" w:cs="宋体"/>
                <w:iCs/>
                <w:kern w:val="0"/>
                <w:sz w:val="20"/>
                <w:szCs w:val="20"/>
              </w:rPr>
            </w:pPr>
            <w:r>
              <w:rPr>
                <w:rFonts w:hint="eastAsia" w:ascii="宋体" w:hAnsi="宋体" w:eastAsia="宋体" w:cs="宋体"/>
                <w:iCs/>
                <w:kern w:val="0"/>
                <w:sz w:val="20"/>
                <w:szCs w:val="20"/>
              </w:rPr>
              <w:t>产出数量</w:t>
            </w:r>
          </w:p>
        </w:tc>
        <w:tc>
          <w:tcPr>
            <w:tcW w:w="1800" w:type="pct"/>
            <w:vAlign w:val="center"/>
          </w:tcPr>
          <w:p w14:paraId="0FD6429D">
            <w:pPr>
              <w:widowControl/>
              <w:spacing w:line="240" w:lineRule="auto"/>
              <w:ind w:firstLine="0" w:firstLineChars="0"/>
              <w:jc w:val="center"/>
              <w:rPr>
                <w:rFonts w:ascii="宋体" w:hAnsi="宋体" w:eastAsia="宋体"/>
                <w:kern w:val="0"/>
                <w:sz w:val="20"/>
                <w:szCs w:val="20"/>
              </w:rPr>
            </w:pPr>
            <w:r>
              <w:rPr>
                <w:rFonts w:hint="eastAsia" w:ascii="宋体" w:hAnsi="宋体" w:eastAsia="宋体"/>
                <w:sz w:val="20"/>
                <w:szCs w:val="20"/>
              </w:rPr>
              <w:t>实际完成率</w:t>
            </w:r>
          </w:p>
        </w:tc>
        <w:tc>
          <w:tcPr>
            <w:tcW w:w="580" w:type="pct"/>
            <w:vAlign w:val="center"/>
          </w:tcPr>
          <w:p w14:paraId="75F043EE">
            <w:pPr>
              <w:widowControl/>
              <w:spacing w:line="240" w:lineRule="auto"/>
              <w:ind w:firstLine="0" w:firstLineChars="0"/>
              <w:jc w:val="center"/>
              <w:rPr>
                <w:rFonts w:ascii="宋体" w:hAnsi="宋体" w:eastAsia="宋体"/>
                <w:kern w:val="0"/>
                <w:sz w:val="20"/>
                <w:szCs w:val="20"/>
              </w:rPr>
            </w:pPr>
            <w:r>
              <w:rPr>
                <w:rFonts w:hint="eastAsia" w:ascii="宋体" w:hAnsi="宋体" w:eastAsia="宋体"/>
                <w:kern w:val="0"/>
                <w:sz w:val="20"/>
                <w:szCs w:val="20"/>
              </w:rPr>
              <w:t>10</w:t>
            </w:r>
          </w:p>
        </w:tc>
        <w:tc>
          <w:tcPr>
            <w:tcW w:w="665" w:type="pct"/>
            <w:vAlign w:val="center"/>
          </w:tcPr>
          <w:p w14:paraId="05A7141F">
            <w:pPr>
              <w:spacing w:line="240" w:lineRule="auto"/>
              <w:ind w:firstLine="0" w:firstLineChars="0"/>
              <w:jc w:val="center"/>
              <w:rPr>
                <w:rFonts w:ascii="宋体" w:hAnsi="宋体" w:eastAsia="宋体"/>
                <w:sz w:val="20"/>
                <w:szCs w:val="20"/>
              </w:rPr>
            </w:pPr>
            <w:r>
              <w:rPr>
                <w:rFonts w:hint="eastAsia" w:ascii="宋体" w:hAnsi="宋体" w:eastAsia="宋体"/>
                <w:sz w:val="20"/>
                <w:szCs w:val="20"/>
              </w:rPr>
              <w:t>9.50</w:t>
            </w:r>
          </w:p>
        </w:tc>
        <w:tc>
          <w:tcPr>
            <w:tcW w:w="665" w:type="pct"/>
            <w:vAlign w:val="center"/>
          </w:tcPr>
          <w:p w14:paraId="2166DD15">
            <w:pPr>
              <w:widowControl/>
              <w:spacing w:line="240" w:lineRule="auto"/>
              <w:ind w:firstLine="0" w:firstLineChars="0"/>
              <w:jc w:val="center"/>
              <w:rPr>
                <w:rFonts w:ascii="宋体" w:hAnsi="宋体" w:eastAsia="宋体"/>
                <w:kern w:val="0"/>
                <w:sz w:val="20"/>
                <w:szCs w:val="20"/>
              </w:rPr>
            </w:pPr>
            <w:r>
              <w:rPr>
                <w:rFonts w:hint="eastAsia" w:ascii="宋体" w:hAnsi="宋体" w:eastAsia="宋体"/>
                <w:kern w:val="0"/>
                <w:sz w:val="20"/>
                <w:szCs w:val="20"/>
              </w:rPr>
              <w:t>95.00%</w:t>
            </w:r>
          </w:p>
        </w:tc>
      </w:tr>
      <w:tr w14:paraId="63EF2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623" w:type="pct"/>
            <w:vMerge w:val="continue"/>
            <w:vAlign w:val="center"/>
          </w:tcPr>
          <w:p w14:paraId="39F9C90A">
            <w:pPr>
              <w:widowControl/>
              <w:spacing w:line="240" w:lineRule="auto"/>
              <w:ind w:firstLine="0" w:firstLineChars="0"/>
              <w:jc w:val="center"/>
              <w:rPr>
                <w:rFonts w:ascii="宋体" w:hAnsi="宋体" w:eastAsia="宋体" w:cs="宋体"/>
                <w:iCs/>
                <w:kern w:val="0"/>
                <w:sz w:val="20"/>
                <w:szCs w:val="20"/>
              </w:rPr>
            </w:pPr>
          </w:p>
        </w:tc>
        <w:tc>
          <w:tcPr>
            <w:tcW w:w="665" w:type="pct"/>
            <w:vAlign w:val="center"/>
          </w:tcPr>
          <w:p w14:paraId="02500DC7">
            <w:pPr>
              <w:widowControl/>
              <w:spacing w:line="240" w:lineRule="auto"/>
              <w:ind w:firstLine="0" w:firstLineChars="0"/>
              <w:jc w:val="center"/>
              <w:rPr>
                <w:rFonts w:ascii="宋体" w:hAnsi="宋体" w:eastAsia="宋体" w:cs="宋体"/>
                <w:iCs/>
                <w:kern w:val="0"/>
                <w:sz w:val="20"/>
                <w:szCs w:val="20"/>
              </w:rPr>
            </w:pPr>
            <w:r>
              <w:rPr>
                <w:rFonts w:hint="eastAsia" w:ascii="宋体" w:hAnsi="宋体" w:eastAsia="宋体" w:cs="宋体"/>
                <w:iCs/>
                <w:kern w:val="0"/>
                <w:sz w:val="20"/>
                <w:szCs w:val="20"/>
              </w:rPr>
              <w:t>产出质量</w:t>
            </w:r>
          </w:p>
        </w:tc>
        <w:tc>
          <w:tcPr>
            <w:tcW w:w="1800" w:type="pct"/>
            <w:vAlign w:val="center"/>
          </w:tcPr>
          <w:p w14:paraId="310FDC5A">
            <w:pPr>
              <w:spacing w:line="240" w:lineRule="auto"/>
              <w:ind w:firstLine="0" w:firstLineChars="0"/>
              <w:jc w:val="center"/>
              <w:rPr>
                <w:rFonts w:ascii="宋体" w:hAnsi="宋体" w:eastAsia="宋体"/>
                <w:sz w:val="20"/>
                <w:szCs w:val="20"/>
              </w:rPr>
            </w:pPr>
            <w:r>
              <w:rPr>
                <w:rFonts w:hint="eastAsia" w:ascii="宋体" w:hAnsi="宋体" w:eastAsia="宋体"/>
                <w:sz w:val="20"/>
                <w:szCs w:val="20"/>
              </w:rPr>
              <w:t>质量达标情况</w:t>
            </w:r>
          </w:p>
        </w:tc>
        <w:tc>
          <w:tcPr>
            <w:tcW w:w="580" w:type="pct"/>
            <w:vAlign w:val="center"/>
          </w:tcPr>
          <w:p w14:paraId="4243F468">
            <w:pPr>
              <w:spacing w:line="240" w:lineRule="auto"/>
              <w:ind w:firstLine="0" w:firstLineChars="0"/>
              <w:jc w:val="center"/>
              <w:rPr>
                <w:rFonts w:ascii="宋体" w:hAnsi="宋体" w:eastAsia="宋体"/>
                <w:sz w:val="20"/>
                <w:szCs w:val="20"/>
              </w:rPr>
            </w:pPr>
            <w:r>
              <w:rPr>
                <w:rFonts w:hint="eastAsia" w:ascii="宋体" w:hAnsi="宋体" w:eastAsia="宋体"/>
                <w:sz w:val="20"/>
                <w:szCs w:val="20"/>
              </w:rPr>
              <w:t>10</w:t>
            </w:r>
          </w:p>
        </w:tc>
        <w:tc>
          <w:tcPr>
            <w:tcW w:w="665" w:type="pct"/>
            <w:vAlign w:val="center"/>
          </w:tcPr>
          <w:p w14:paraId="7349E47B">
            <w:pPr>
              <w:spacing w:line="240" w:lineRule="auto"/>
              <w:ind w:firstLine="0" w:firstLineChars="0"/>
              <w:jc w:val="center"/>
              <w:rPr>
                <w:rFonts w:ascii="宋体" w:hAnsi="宋体" w:eastAsia="宋体"/>
                <w:sz w:val="20"/>
                <w:szCs w:val="20"/>
              </w:rPr>
            </w:pPr>
            <w:r>
              <w:rPr>
                <w:rFonts w:hint="eastAsia" w:ascii="宋体" w:hAnsi="宋体" w:eastAsia="宋体"/>
                <w:sz w:val="20"/>
                <w:szCs w:val="20"/>
              </w:rPr>
              <w:t>10.00</w:t>
            </w:r>
          </w:p>
        </w:tc>
        <w:tc>
          <w:tcPr>
            <w:tcW w:w="665" w:type="pct"/>
            <w:vAlign w:val="center"/>
          </w:tcPr>
          <w:p w14:paraId="1A269D18">
            <w:pPr>
              <w:spacing w:line="240" w:lineRule="auto"/>
              <w:ind w:firstLine="0" w:firstLineChars="0"/>
              <w:jc w:val="center"/>
              <w:rPr>
                <w:rFonts w:ascii="宋体" w:hAnsi="宋体" w:eastAsia="宋体"/>
                <w:sz w:val="20"/>
                <w:szCs w:val="20"/>
              </w:rPr>
            </w:pPr>
            <w:r>
              <w:rPr>
                <w:rFonts w:hint="eastAsia" w:ascii="宋体" w:hAnsi="宋体" w:eastAsia="宋体"/>
                <w:kern w:val="0"/>
                <w:sz w:val="20"/>
                <w:szCs w:val="20"/>
              </w:rPr>
              <w:t>100.00%</w:t>
            </w:r>
          </w:p>
        </w:tc>
      </w:tr>
      <w:tr w14:paraId="1C02C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623" w:type="pct"/>
            <w:vMerge w:val="continue"/>
            <w:vAlign w:val="center"/>
          </w:tcPr>
          <w:p w14:paraId="67ECAF0D">
            <w:pPr>
              <w:widowControl/>
              <w:spacing w:line="240" w:lineRule="auto"/>
              <w:ind w:firstLine="0" w:firstLineChars="0"/>
              <w:jc w:val="center"/>
              <w:rPr>
                <w:rFonts w:ascii="宋体" w:hAnsi="宋体" w:eastAsia="宋体" w:cs="宋体"/>
                <w:iCs/>
                <w:kern w:val="0"/>
                <w:sz w:val="20"/>
                <w:szCs w:val="20"/>
              </w:rPr>
            </w:pPr>
          </w:p>
        </w:tc>
        <w:tc>
          <w:tcPr>
            <w:tcW w:w="665" w:type="pct"/>
            <w:vAlign w:val="center"/>
          </w:tcPr>
          <w:p w14:paraId="193ABCFD">
            <w:pPr>
              <w:widowControl/>
              <w:spacing w:line="240" w:lineRule="auto"/>
              <w:ind w:firstLine="0" w:firstLineChars="0"/>
              <w:jc w:val="center"/>
              <w:rPr>
                <w:rFonts w:ascii="宋体" w:hAnsi="宋体" w:eastAsia="宋体" w:cs="宋体"/>
                <w:iCs/>
                <w:kern w:val="0"/>
                <w:sz w:val="20"/>
                <w:szCs w:val="20"/>
              </w:rPr>
            </w:pPr>
            <w:r>
              <w:rPr>
                <w:rFonts w:hint="eastAsia" w:ascii="宋体" w:hAnsi="宋体" w:eastAsia="宋体" w:cs="宋体"/>
                <w:iCs/>
                <w:kern w:val="0"/>
                <w:sz w:val="20"/>
                <w:szCs w:val="20"/>
              </w:rPr>
              <w:t>产出时效</w:t>
            </w:r>
          </w:p>
        </w:tc>
        <w:tc>
          <w:tcPr>
            <w:tcW w:w="1800" w:type="pct"/>
            <w:vAlign w:val="center"/>
          </w:tcPr>
          <w:p w14:paraId="74D085C0">
            <w:pPr>
              <w:spacing w:line="240" w:lineRule="auto"/>
              <w:ind w:firstLine="0" w:firstLineChars="0"/>
              <w:jc w:val="center"/>
              <w:rPr>
                <w:rFonts w:ascii="宋体" w:hAnsi="宋体" w:eastAsia="宋体"/>
                <w:sz w:val="20"/>
                <w:szCs w:val="20"/>
              </w:rPr>
            </w:pPr>
            <w:r>
              <w:rPr>
                <w:rFonts w:hint="eastAsia" w:ascii="宋体" w:hAnsi="宋体" w:eastAsia="宋体"/>
                <w:sz w:val="20"/>
                <w:szCs w:val="20"/>
              </w:rPr>
              <w:t>完成及时性</w:t>
            </w:r>
          </w:p>
        </w:tc>
        <w:tc>
          <w:tcPr>
            <w:tcW w:w="580" w:type="pct"/>
            <w:vAlign w:val="center"/>
          </w:tcPr>
          <w:p w14:paraId="3919CA23">
            <w:pPr>
              <w:spacing w:line="240" w:lineRule="auto"/>
              <w:ind w:firstLine="0" w:firstLineChars="0"/>
              <w:jc w:val="center"/>
              <w:rPr>
                <w:rFonts w:ascii="宋体" w:hAnsi="宋体" w:eastAsia="宋体"/>
                <w:sz w:val="20"/>
                <w:szCs w:val="20"/>
              </w:rPr>
            </w:pPr>
            <w:r>
              <w:rPr>
                <w:rFonts w:hint="eastAsia" w:ascii="宋体" w:hAnsi="宋体" w:eastAsia="宋体"/>
                <w:sz w:val="20"/>
                <w:szCs w:val="20"/>
              </w:rPr>
              <w:t>10</w:t>
            </w:r>
          </w:p>
        </w:tc>
        <w:tc>
          <w:tcPr>
            <w:tcW w:w="665" w:type="pct"/>
            <w:vAlign w:val="center"/>
          </w:tcPr>
          <w:p w14:paraId="4A2D1D04">
            <w:pPr>
              <w:spacing w:line="240" w:lineRule="auto"/>
              <w:ind w:firstLine="0" w:firstLineChars="0"/>
              <w:jc w:val="center"/>
              <w:rPr>
                <w:rFonts w:ascii="宋体" w:hAnsi="宋体" w:eastAsia="宋体"/>
                <w:sz w:val="20"/>
                <w:szCs w:val="20"/>
              </w:rPr>
            </w:pPr>
            <w:r>
              <w:rPr>
                <w:rFonts w:hint="eastAsia" w:ascii="宋体" w:hAnsi="宋体" w:eastAsia="宋体"/>
                <w:sz w:val="20"/>
                <w:szCs w:val="20"/>
              </w:rPr>
              <w:t>9.00</w:t>
            </w:r>
          </w:p>
        </w:tc>
        <w:tc>
          <w:tcPr>
            <w:tcW w:w="665" w:type="pct"/>
            <w:vAlign w:val="center"/>
          </w:tcPr>
          <w:p w14:paraId="7CCD643B">
            <w:pPr>
              <w:spacing w:line="240" w:lineRule="auto"/>
              <w:ind w:firstLine="0" w:firstLineChars="0"/>
              <w:jc w:val="center"/>
              <w:rPr>
                <w:rFonts w:ascii="宋体" w:hAnsi="宋体" w:eastAsia="宋体"/>
                <w:sz w:val="20"/>
                <w:szCs w:val="20"/>
              </w:rPr>
            </w:pPr>
            <w:r>
              <w:rPr>
                <w:rFonts w:hint="eastAsia" w:ascii="宋体" w:hAnsi="宋体" w:eastAsia="宋体"/>
                <w:kern w:val="0"/>
                <w:sz w:val="20"/>
                <w:szCs w:val="20"/>
              </w:rPr>
              <w:t>90.00%</w:t>
            </w:r>
          </w:p>
        </w:tc>
      </w:tr>
      <w:tr w14:paraId="63213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623" w:type="pct"/>
            <w:vMerge w:val="continue"/>
            <w:vAlign w:val="center"/>
          </w:tcPr>
          <w:p w14:paraId="01ABFB82">
            <w:pPr>
              <w:widowControl/>
              <w:spacing w:line="240" w:lineRule="auto"/>
              <w:ind w:firstLine="0" w:firstLineChars="0"/>
              <w:jc w:val="center"/>
              <w:rPr>
                <w:rFonts w:ascii="宋体" w:hAnsi="宋体" w:eastAsia="宋体" w:cs="宋体"/>
                <w:iCs/>
                <w:kern w:val="0"/>
                <w:sz w:val="20"/>
                <w:szCs w:val="20"/>
              </w:rPr>
            </w:pPr>
          </w:p>
        </w:tc>
        <w:tc>
          <w:tcPr>
            <w:tcW w:w="665" w:type="pct"/>
            <w:vAlign w:val="center"/>
          </w:tcPr>
          <w:p w14:paraId="114B8889">
            <w:pPr>
              <w:widowControl/>
              <w:spacing w:line="240" w:lineRule="auto"/>
              <w:ind w:firstLine="0" w:firstLineChars="0"/>
              <w:jc w:val="center"/>
              <w:rPr>
                <w:rFonts w:ascii="宋体" w:hAnsi="宋体" w:eastAsia="宋体" w:cs="宋体"/>
                <w:iCs/>
                <w:kern w:val="0"/>
                <w:sz w:val="20"/>
                <w:szCs w:val="20"/>
              </w:rPr>
            </w:pPr>
            <w:r>
              <w:rPr>
                <w:rFonts w:hint="eastAsia" w:ascii="宋体" w:hAnsi="宋体" w:eastAsia="宋体" w:cs="宋体"/>
                <w:iCs/>
                <w:kern w:val="0"/>
                <w:sz w:val="20"/>
                <w:szCs w:val="20"/>
              </w:rPr>
              <w:t>产出成本</w:t>
            </w:r>
          </w:p>
        </w:tc>
        <w:tc>
          <w:tcPr>
            <w:tcW w:w="1800" w:type="pct"/>
            <w:vAlign w:val="center"/>
          </w:tcPr>
          <w:p w14:paraId="2DE06311">
            <w:pPr>
              <w:spacing w:line="240" w:lineRule="auto"/>
              <w:ind w:firstLine="0" w:firstLineChars="0"/>
              <w:jc w:val="center"/>
              <w:rPr>
                <w:rFonts w:ascii="宋体" w:hAnsi="宋体" w:eastAsia="宋体"/>
                <w:sz w:val="20"/>
                <w:szCs w:val="20"/>
              </w:rPr>
            </w:pPr>
            <w:r>
              <w:rPr>
                <w:rFonts w:hint="eastAsia" w:ascii="宋体" w:hAnsi="宋体" w:eastAsia="宋体"/>
                <w:sz w:val="20"/>
                <w:szCs w:val="20"/>
              </w:rPr>
              <w:t>成本节约情况</w:t>
            </w:r>
          </w:p>
        </w:tc>
        <w:tc>
          <w:tcPr>
            <w:tcW w:w="580" w:type="pct"/>
            <w:vAlign w:val="center"/>
          </w:tcPr>
          <w:p w14:paraId="20F50A35">
            <w:pPr>
              <w:spacing w:line="240" w:lineRule="auto"/>
              <w:ind w:firstLine="0" w:firstLineChars="0"/>
              <w:jc w:val="center"/>
              <w:rPr>
                <w:rFonts w:ascii="宋体" w:hAnsi="宋体" w:eastAsia="宋体"/>
                <w:sz w:val="20"/>
                <w:szCs w:val="20"/>
              </w:rPr>
            </w:pPr>
            <w:r>
              <w:rPr>
                <w:rFonts w:hint="eastAsia" w:ascii="宋体" w:hAnsi="宋体" w:eastAsia="宋体"/>
                <w:sz w:val="20"/>
                <w:szCs w:val="20"/>
              </w:rPr>
              <w:t>10</w:t>
            </w:r>
          </w:p>
        </w:tc>
        <w:tc>
          <w:tcPr>
            <w:tcW w:w="665" w:type="pct"/>
            <w:vAlign w:val="center"/>
          </w:tcPr>
          <w:p w14:paraId="0F72E193">
            <w:pPr>
              <w:spacing w:line="240" w:lineRule="auto"/>
              <w:ind w:firstLine="0" w:firstLineChars="0"/>
              <w:jc w:val="center"/>
              <w:rPr>
                <w:rFonts w:ascii="宋体" w:hAnsi="宋体" w:eastAsia="宋体"/>
                <w:sz w:val="20"/>
                <w:szCs w:val="20"/>
              </w:rPr>
            </w:pPr>
            <w:r>
              <w:rPr>
                <w:rFonts w:hint="eastAsia" w:ascii="宋体" w:hAnsi="宋体" w:eastAsia="宋体"/>
                <w:sz w:val="20"/>
                <w:szCs w:val="20"/>
              </w:rPr>
              <w:t>8.00</w:t>
            </w:r>
          </w:p>
        </w:tc>
        <w:tc>
          <w:tcPr>
            <w:tcW w:w="665" w:type="pct"/>
            <w:vAlign w:val="center"/>
          </w:tcPr>
          <w:p w14:paraId="11F052BB">
            <w:pPr>
              <w:spacing w:line="240" w:lineRule="auto"/>
              <w:ind w:firstLine="0" w:firstLineChars="0"/>
              <w:jc w:val="center"/>
              <w:rPr>
                <w:rFonts w:ascii="宋体" w:hAnsi="宋体" w:eastAsia="宋体"/>
                <w:sz w:val="20"/>
                <w:szCs w:val="20"/>
              </w:rPr>
            </w:pPr>
            <w:r>
              <w:rPr>
                <w:rFonts w:hint="eastAsia" w:ascii="宋体" w:hAnsi="宋体" w:eastAsia="宋体"/>
                <w:kern w:val="0"/>
                <w:sz w:val="20"/>
                <w:szCs w:val="20"/>
              </w:rPr>
              <w:t>80.00%</w:t>
            </w:r>
          </w:p>
        </w:tc>
      </w:tr>
      <w:tr w14:paraId="21893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089" w:type="pct"/>
            <w:gridSpan w:val="3"/>
            <w:vAlign w:val="center"/>
          </w:tcPr>
          <w:p w14:paraId="592A7A83">
            <w:pPr>
              <w:widowControl/>
              <w:spacing w:line="240" w:lineRule="auto"/>
              <w:ind w:firstLine="0" w:firstLineChars="0"/>
              <w:jc w:val="center"/>
              <w:rPr>
                <w:rFonts w:ascii="宋体" w:hAnsi="宋体" w:eastAsia="宋体" w:cs="宋体"/>
                <w:b/>
                <w:bCs/>
                <w:iCs/>
                <w:kern w:val="0"/>
                <w:sz w:val="20"/>
                <w:szCs w:val="20"/>
              </w:rPr>
            </w:pPr>
            <w:r>
              <w:rPr>
                <w:rFonts w:hint="eastAsia" w:ascii="宋体" w:hAnsi="宋体" w:eastAsia="宋体" w:cs="宋体"/>
                <w:b/>
                <w:bCs/>
                <w:iCs/>
                <w:kern w:val="0"/>
                <w:sz w:val="20"/>
                <w:szCs w:val="20"/>
              </w:rPr>
              <w:t>合计</w:t>
            </w:r>
          </w:p>
        </w:tc>
        <w:tc>
          <w:tcPr>
            <w:tcW w:w="580" w:type="pct"/>
            <w:vAlign w:val="center"/>
          </w:tcPr>
          <w:p w14:paraId="44A48B1E">
            <w:pPr>
              <w:widowControl/>
              <w:spacing w:line="240" w:lineRule="auto"/>
              <w:ind w:firstLine="0" w:firstLineChars="0"/>
              <w:jc w:val="center"/>
              <w:rPr>
                <w:rFonts w:ascii="宋体" w:hAnsi="宋体" w:eastAsia="宋体"/>
                <w:b/>
                <w:bCs/>
                <w:kern w:val="0"/>
                <w:sz w:val="20"/>
                <w:szCs w:val="20"/>
              </w:rPr>
            </w:pPr>
            <w:r>
              <w:rPr>
                <w:rFonts w:hint="eastAsia" w:ascii="宋体" w:hAnsi="宋体" w:eastAsia="宋体"/>
                <w:b/>
                <w:bCs/>
                <w:sz w:val="20"/>
                <w:szCs w:val="20"/>
              </w:rPr>
              <w:t>40</w:t>
            </w:r>
          </w:p>
        </w:tc>
        <w:tc>
          <w:tcPr>
            <w:tcW w:w="665" w:type="pct"/>
            <w:vAlign w:val="center"/>
          </w:tcPr>
          <w:p w14:paraId="15941776">
            <w:pPr>
              <w:spacing w:line="240" w:lineRule="auto"/>
              <w:ind w:firstLine="0" w:firstLineChars="0"/>
              <w:jc w:val="center"/>
              <w:rPr>
                <w:rFonts w:ascii="宋体" w:hAnsi="宋体" w:eastAsia="宋体"/>
                <w:b/>
                <w:bCs/>
                <w:sz w:val="20"/>
                <w:szCs w:val="20"/>
              </w:rPr>
            </w:pPr>
            <w:r>
              <w:rPr>
                <w:rFonts w:hint="eastAsia" w:ascii="宋体" w:hAnsi="宋体" w:eastAsia="宋体"/>
                <w:b/>
                <w:bCs/>
                <w:sz w:val="20"/>
                <w:szCs w:val="20"/>
              </w:rPr>
              <w:t>36.50</w:t>
            </w:r>
          </w:p>
        </w:tc>
        <w:tc>
          <w:tcPr>
            <w:tcW w:w="665" w:type="pct"/>
            <w:vAlign w:val="center"/>
          </w:tcPr>
          <w:p w14:paraId="2EC1083D">
            <w:pPr>
              <w:spacing w:line="240" w:lineRule="auto"/>
              <w:ind w:firstLine="0" w:firstLineChars="0"/>
              <w:jc w:val="center"/>
              <w:rPr>
                <w:rFonts w:ascii="宋体" w:hAnsi="宋体" w:eastAsia="宋体"/>
                <w:b/>
                <w:bCs/>
                <w:sz w:val="20"/>
                <w:szCs w:val="20"/>
              </w:rPr>
            </w:pPr>
            <w:r>
              <w:rPr>
                <w:rFonts w:hint="eastAsia" w:ascii="宋体" w:hAnsi="宋体" w:eastAsia="宋体"/>
                <w:b/>
                <w:bCs/>
                <w:sz w:val="20"/>
                <w:szCs w:val="20"/>
              </w:rPr>
              <w:t>91.25</w:t>
            </w:r>
            <w:r>
              <w:rPr>
                <w:rFonts w:hint="eastAsia" w:ascii="宋体" w:hAnsi="宋体" w:eastAsia="宋体"/>
                <w:b/>
                <w:bCs/>
                <w:kern w:val="0"/>
                <w:sz w:val="20"/>
                <w:szCs w:val="20"/>
              </w:rPr>
              <w:t>%</w:t>
            </w:r>
          </w:p>
        </w:tc>
      </w:tr>
    </w:tbl>
    <w:p w14:paraId="0FE996A7">
      <w:pPr>
        <w:ind w:firstLine="400"/>
        <w:rPr>
          <w:sz w:val="20"/>
          <w:szCs w:val="20"/>
        </w:rPr>
      </w:pPr>
    </w:p>
    <w:p w14:paraId="0969FBB0">
      <w:pPr>
        <w:pStyle w:val="30"/>
        <w:outlineLvl w:val="2"/>
      </w:pPr>
      <w:r>
        <w:rPr>
          <w:rFonts w:hint="eastAsia"/>
        </w:rPr>
        <w:t>1.产出数量</w:t>
      </w:r>
    </w:p>
    <w:p w14:paraId="6B5A968D">
      <w:pPr>
        <w:pStyle w:val="30"/>
      </w:pPr>
      <w:r>
        <w:rPr>
          <w:rFonts w:hint="eastAsia"/>
        </w:rPr>
        <w:t>根据磋商文件中的采购需求及前期施工方案设计等材料，项目计划完成内容为：处理6、9号门门前广场地下空洞18处，更换9号门广场石材2000平方米，更新6号广场北侧消防车道为沥青路面400平方米，处理东地库出入口地面下沉及路障基础面层380平方米，6号门沥青道路安砌侧(平、缘）石133.6米。截至2024年12月底，除9号门广场石材更换施工面积按照实际需求调整为1859平方米，其余内容均已完成，另结合实际业务需要额外完成了以下工作：利旧更换6、9号门广场破损石材160平方米，利旧重铺东侧步道砖300平方米,东南出入口衔接市政道路沥青路面250平方米,翻新内部道路沥青路面面层2100平方米。</w:t>
      </w:r>
    </w:p>
    <w:p w14:paraId="21EF6B08">
      <w:pPr>
        <w:pStyle w:val="30"/>
        <w:outlineLvl w:val="2"/>
      </w:pPr>
      <w:r>
        <w:rPr>
          <w:rFonts w:hint="eastAsia"/>
        </w:rPr>
        <w:t>2.产出质量</w:t>
      </w:r>
    </w:p>
    <w:p w14:paraId="1F4E7CF8">
      <w:pPr>
        <w:pStyle w:val="30"/>
      </w:pPr>
      <w:r>
        <w:rPr>
          <w:rFonts w:hint="eastAsia"/>
        </w:rPr>
        <w:t>项目年度绩效目标表显示，项目计划实现</w:t>
      </w:r>
      <w:r>
        <w:rPr>
          <w:rFonts w:hint="eastAsia" w:hAnsi="仿宋_GB2312" w:cs="仿宋_GB2312"/>
        </w:rPr>
        <w:t>“竣工验收合格率≥100%”“设施有效运转率≥100%”。2024年12月2日，项目经建设单位、设计单位、施工单位、监理单位组成的验收组验收合格，验收合格率100%；截至项目评价时间节点，6、9号门门前广场相关设施均正常运转，未出现明显故障情况。施工完毕后，六里桥办公区管理处对9号门门前广场大型车辆行驶情况进行验证，效果良好，且项目实施过程中聘请专业监理单位对施工过程进行把控，组织开展了材料及构配件进场检验、沥青混合料试验、工程定位测量、通用材料实验、混凝土开盘鉴定、隐蔽工程验收、沥青混合料压实度检测等，项目整体产出质量情况较好。</w:t>
      </w:r>
    </w:p>
    <w:p w14:paraId="1CF90EBC">
      <w:pPr>
        <w:pStyle w:val="30"/>
        <w:outlineLvl w:val="2"/>
      </w:pPr>
      <w:r>
        <w:rPr>
          <w:rFonts w:hint="eastAsia"/>
        </w:rPr>
        <w:t>3.产出时效</w:t>
      </w:r>
    </w:p>
    <w:p w14:paraId="2F0E6821">
      <w:pPr>
        <w:pStyle w:val="30"/>
      </w:pPr>
      <w:r>
        <w:rPr>
          <w:rFonts w:hint="eastAsia"/>
        </w:rPr>
        <w:t>项目计划实现</w:t>
      </w:r>
      <w:r>
        <w:rPr>
          <w:rFonts w:hint="eastAsia" w:hAnsi="仿宋_GB2312" w:cs="仿宋_GB2312"/>
        </w:rPr>
        <w:t>“项目按计划完工率≥100%”。</w:t>
      </w:r>
      <w:r>
        <w:rPr>
          <w:rFonts w:hint="eastAsia"/>
        </w:rPr>
        <w:t>合同中明确约定于2024年10月23日开工，11月16日完工；实际施工中因结合实际业务需求工作内容及工作量有所增加，完工时间较计划时间有所延迟，实际于2024年12月2日完工。此外，评价发现项目首款支付与合同约定时间相比存在一定延迟，合同约定开工后10个工作日内付款，项目实际于10月23日开工，11月22日承包单位开出首款发票，11月25日六里桥办公区管理处填写支出审批单，11月28日完成首款支付。</w:t>
      </w:r>
    </w:p>
    <w:p w14:paraId="5775637A">
      <w:pPr>
        <w:pStyle w:val="30"/>
        <w:outlineLvl w:val="2"/>
      </w:pPr>
      <w:r>
        <w:rPr>
          <w:rFonts w:hint="eastAsia"/>
        </w:rPr>
        <w:t>4.产出成本</w:t>
      </w:r>
    </w:p>
    <w:p w14:paraId="455036FF">
      <w:pPr>
        <w:pStyle w:val="30"/>
      </w:pPr>
      <w:r>
        <w:rPr>
          <w:rFonts w:hint="eastAsia"/>
        </w:rPr>
        <w:t>项目实施前期聘请了专业第三方机构开展了预算评审，审定金额为323.14万元，较送审金额377.49万元核减了14.40%；经磋商确定成交金额321.46万元，通过磋商节约1.68万元；项目通过上述手段起到了一定成本控制效果。但是，项目成本控制尚存在进一步提升空间，主要是项目前期对修缮改造内容的调研摸底不充分，未制定不同的修缮改造方案并比较不同技术路线的经济性；项目虽通过预算评审、竞争性磋商节约了一定资金，但项目未制定实施方案及明确的成本控制措施；且项目在合同条款中未明确为固定总价合同，未办理竣工结算。</w:t>
      </w:r>
    </w:p>
    <w:p w14:paraId="5E0FB89B">
      <w:pPr>
        <w:ind w:firstLine="640"/>
        <w:outlineLvl w:val="1"/>
        <w:rPr>
          <w:rFonts w:ascii="楷体_GB2312" w:eastAsia="楷体_GB2312"/>
          <w:szCs w:val="32"/>
        </w:rPr>
      </w:pPr>
      <w:bookmarkStart w:id="49" w:name="_Toc27711"/>
      <w:r>
        <w:rPr>
          <w:rFonts w:hint="eastAsia" w:ascii="楷体_GB2312" w:eastAsia="楷体_GB2312"/>
          <w:szCs w:val="32"/>
        </w:rPr>
        <w:t>（四）项目效益情况</w:t>
      </w:r>
      <w:bookmarkEnd w:id="49"/>
    </w:p>
    <w:p w14:paraId="2A7435B4">
      <w:pPr>
        <w:ind w:firstLine="640"/>
        <w:rPr>
          <w:rFonts w:ascii="仿宋_GB2312" w:hAnsi="仿宋_GB2312" w:cs="仿宋_GB2312"/>
        </w:rPr>
      </w:pPr>
      <w:r>
        <w:rPr>
          <w:rFonts w:hint="eastAsia" w:ascii="仿宋_GB2312" w:hAnsi="仿宋_GB2312" w:cs="仿宋_GB2312"/>
        </w:rPr>
        <w:t>2024年度，通过</w:t>
      </w:r>
      <w:r>
        <w:rPr>
          <w:rFonts w:hint="eastAsia"/>
        </w:rPr>
        <w:t>更换广场石材、处理病害及下陷部位、翻新及铺设沥青路面等工作</w:t>
      </w:r>
      <w:r>
        <w:rPr>
          <w:rFonts w:hint="eastAsia" w:ascii="仿宋_GB2312" w:hAnsi="仿宋_GB2312" w:cs="仿宋_GB2312"/>
        </w:rPr>
        <w:t>，</w:t>
      </w:r>
      <w:r>
        <w:rPr>
          <w:rFonts w:hint="eastAsia"/>
        </w:rPr>
        <w:t>有效满足了</w:t>
      </w:r>
      <w:r>
        <w:rPr>
          <w:rFonts w:hint="eastAsia" w:ascii="仿宋_GB2312" w:hAnsi="仿宋_GB2312" w:cs="仿宋_GB2312"/>
          <w:szCs w:val="32"/>
        </w:rPr>
        <w:t>大、中型检查、参观、调研活动的环境需求，各进驻单位较为满意。但工程完工后至评价时点时间较短，项目效益尚且存在进一步发挥空间。</w:t>
      </w:r>
      <w:r>
        <w:rPr>
          <w:rFonts w:hint="eastAsia" w:ascii="仿宋_GB2312" w:hAnsi="仿宋_GB2312" w:cs="仿宋_GB2312"/>
          <w:iCs/>
        </w:rPr>
        <w:t>效益指标分值30.00分，得分27.50分，得分率91.67%（</w:t>
      </w:r>
      <w:r>
        <w:rPr>
          <w:rFonts w:hint="eastAsia" w:ascii="仿宋_GB2312" w:hAnsi="仿宋_GB2312" w:cs="仿宋_GB2312"/>
          <w:bCs/>
          <w:iCs/>
          <w:kern w:val="0"/>
        </w:rPr>
        <w:t>见表6</w:t>
      </w:r>
      <w:r>
        <w:rPr>
          <w:rFonts w:hint="eastAsia" w:ascii="仿宋_GB2312" w:hAnsi="仿宋_GB2312" w:cs="仿宋_GB2312"/>
          <w:iCs/>
        </w:rPr>
        <w:t>）。</w:t>
      </w:r>
    </w:p>
    <w:p w14:paraId="3EA2E797">
      <w:pPr>
        <w:ind w:firstLine="0" w:firstLineChars="0"/>
        <w:jc w:val="center"/>
        <w:rPr>
          <w:rFonts w:ascii="黑体" w:hAnsi="黑体" w:eastAsia="黑体"/>
          <w:iCs/>
          <w:sz w:val="28"/>
          <w:szCs w:val="28"/>
        </w:rPr>
      </w:pPr>
      <w:r>
        <w:rPr>
          <w:rFonts w:hint="eastAsia" w:ascii="黑体" w:hAnsi="黑体" w:eastAsia="黑体"/>
          <w:iCs/>
          <w:sz w:val="28"/>
          <w:szCs w:val="28"/>
        </w:rPr>
        <w:t>表6：效益指标设定及评分情况表</w:t>
      </w:r>
    </w:p>
    <w:tbl>
      <w:tblPr>
        <w:tblStyle w:val="32"/>
        <w:tblW w:w="5000" w:type="pct"/>
        <w:jc w:val="center"/>
        <w:tblLayout w:type="autofit"/>
        <w:tblCellMar>
          <w:top w:w="0" w:type="dxa"/>
          <w:left w:w="108" w:type="dxa"/>
          <w:bottom w:w="0" w:type="dxa"/>
          <w:right w:w="108" w:type="dxa"/>
        </w:tblCellMar>
      </w:tblPr>
      <w:tblGrid>
        <w:gridCol w:w="1280"/>
        <w:gridCol w:w="1283"/>
        <w:gridCol w:w="3537"/>
        <w:gridCol w:w="872"/>
        <w:gridCol w:w="805"/>
        <w:gridCol w:w="1283"/>
      </w:tblGrid>
      <w:tr w14:paraId="3F2495C2">
        <w:tblPrEx>
          <w:tblCellMar>
            <w:top w:w="0" w:type="dxa"/>
            <w:left w:w="108" w:type="dxa"/>
            <w:bottom w:w="0" w:type="dxa"/>
            <w:right w:w="108" w:type="dxa"/>
          </w:tblCellMar>
        </w:tblPrEx>
        <w:trPr>
          <w:trHeight w:val="397" w:hRule="atLeast"/>
          <w:jc w:val="center"/>
        </w:trPr>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967CE">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一级指标</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B81D3">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二级指标</w:t>
            </w:r>
          </w:p>
        </w:tc>
        <w:tc>
          <w:tcPr>
            <w:tcW w:w="1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96CB2">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三级指标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E8C7E">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分值</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25E19">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得分</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82C47">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得分率</w:t>
            </w:r>
          </w:p>
        </w:tc>
      </w:tr>
      <w:tr w14:paraId="1A5D2A97">
        <w:tblPrEx>
          <w:tblCellMar>
            <w:top w:w="0" w:type="dxa"/>
            <w:left w:w="108" w:type="dxa"/>
            <w:bottom w:w="0" w:type="dxa"/>
            <w:right w:w="108" w:type="dxa"/>
          </w:tblCellMar>
        </w:tblPrEx>
        <w:trPr>
          <w:trHeight w:val="397" w:hRule="atLeast"/>
          <w:jc w:val="center"/>
        </w:trPr>
        <w:tc>
          <w:tcPr>
            <w:tcW w:w="7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E19465">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效益</w:t>
            </w:r>
          </w:p>
        </w:tc>
        <w:tc>
          <w:tcPr>
            <w:tcW w:w="7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51F843">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项目效益</w:t>
            </w:r>
          </w:p>
        </w:tc>
        <w:tc>
          <w:tcPr>
            <w:tcW w:w="1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9EF883">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项目实施效益</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5584D">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AAED7">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17.50</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38970">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87.50%</w:t>
            </w:r>
          </w:p>
        </w:tc>
      </w:tr>
      <w:tr w14:paraId="28B14FEC">
        <w:tblPrEx>
          <w:tblCellMar>
            <w:top w:w="0" w:type="dxa"/>
            <w:left w:w="108" w:type="dxa"/>
            <w:bottom w:w="0" w:type="dxa"/>
            <w:right w:w="108" w:type="dxa"/>
          </w:tblCellMar>
        </w:tblPrEx>
        <w:trPr>
          <w:trHeight w:val="397" w:hRule="atLeast"/>
          <w:jc w:val="center"/>
        </w:trPr>
        <w:tc>
          <w:tcPr>
            <w:tcW w:w="707" w:type="pct"/>
            <w:vMerge w:val="continue"/>
            <w:tcBorders>
              <w:top w:val="single" w:color="000000" w:sz="4" w:space="0"/>
              <w:left w:val="single" w:color="000000" w:sz="4" w:space="0"/>
              <w:bottom w:val="single" w:color="000000" w:sz="4" w:space="0"/>
              <w:right w:val="single" w:color="000000" w:sz="4" w:space="0"/>
            </w:tcBorders>
            <w:vAlign w:val="center"/>
          </w:tcPr>
          <w:p w14:paraId="1F68AEC4">
            <w:pPr>
              <w:widowControl/>
              <w:spacing w:line="240" w:lineRule="auto"/>
              <w:ind w:firstLine="0" w:firstLineChars="0"/>
              <w:jc w:val="center"/>
              <w:rPr>
                <w:rFonts w:ascii="宋体" w:hAnsi="宋体" w:eastAsia="宋体" w:cs="宋体"/>
                <w:kern w:val="0"/>
                <w:sz w:val="20"/>
                <w:szCs w:val="20"/>
              </w:rPr>
            </w:pPr>
          </w:p>
        </w:tc>
        <w:tc>
          <w:tcPr>
            <w:tcW w:w="708" w:type="pct"/>
            <w:vMerge w:val="continue"/>
            <w:tcBorders>
              <w:top w:val="single" w:color="000000" w:sz="4" w:space="0"/>
              <w:left w:val="single" w:color="000000" w:sz="4" w:space="0"/>
              <w:bottom w:val="single" w:color="000000" w:sz="4" w:space="0"/>
              <w:right w:val="single" w:color="000000" w:sz="4" w:space="0"/>
            </w:tcBorders>
            <w:vAlign w:val="center"/>
          </w:tcPr>
          <w:p w14:paraId="1562E507">
            <w:pPr>
              <w:widowControl/>
              <w:spacing w:line="240" w:lineRule="auto"/>
              <w:ind w:firstLine="0" w:firstLineChars="0"/>
              <w:jc w:val="center"/>
              <w:rPr>
                <w:rFonts w:ascii="宋体" w:hAnsi="宋体" w:eastAsia="宋体" w:cs="宋体"/>
                <w:kern w:val="0"/>
                <w:sz w:val="20"/>
                <w:szCs w:val="20"/>
              </w:rPr>
            </w:pPr>
          </w:p>
        </w:tc>
        <w:tc>
          <w:tcPr>
            <w:tcW w:w="19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04320">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满意度</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50994">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D8C91">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w:t>
            </w:r>
            <w:r>
              <w:rPr>
                <w:rFonts w:ascii="宋体" w:hAnsi="宋体" w:eastAsia="宋体" w:cs="宋体"/>
                <w:kern w:val="0"/>
                <w:sz w:val="20"/>
                <w:szCs w:val="20"/>
              </w:rPr>
              <w:t>0</w:t>
            </w:r>
            <w:r>
              <w:rPr>
                <w:rFonts w:hint="eastAsia" w:ascii="宋体" w:hAnsi="宋体" w:eastAsia="宋体" w:cs="宋体"/>
                <w:kern w:val="0"/>
                <w:sz w:val="20"/>
                <w:szCs w:val="20"/>
              </w:rPr>
              <w:t>0</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84416">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100.00%</w:t>
            </w:r>
          </w:p>
        </w:tc>
      </w:tr>
      <w:tr w14:paraId="4D1775B8">
        <w:tblPrEx>
          <w:tblCellMar>
            <w:top w:w="0" w:type="dxa"/>
            <w:left w:w="108" w:type="dxa"/>
            <w:bottom w:w="0" w:type="dxa"/>
            <w:right w:w="108" w:type="dxa"/>
          </w:tblCellMar>
        </w:tblPrEx>
        <w:trPr>
          <w:trHeight w:val="397" w:hRule="atLeast"/>
          <w:jc w:val="center"/>
        </w:trPr>
        <w:tc>
          <w:tcPr>
            <w:tcW w:w="336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E462C">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合计</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ADF20">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30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D0F81">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27.50</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CC4F6">
            <w:pPr>
              <w:widowControl/>
              <w:spacing w:line="240" w:lineRule="auto"/>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91.67%</w:t>
            </w:r>
          </w:p>
        </w:tc>
      </w:tr>
    </w:tbl>
    <w:p w14:paraId="035FE5E4">
      <w:pPr>
        <w:pStyle w:val="30"/>
        <w:ind w:firstLine="400"/>
        <w:rPr>
          <w:sz w:val="20"/>
          <w:szCs w:val="20"/>
        </w:rPr>
      </w:pPr>
    </w:p>
    <w:p w14:paraId="0631113B">
      <w:pPr>
        <w:ind w:firstLine="0" w:firstLineChars="0"/>
      </w:pPr>
    </w:p>
    <w:p w14:paraId="31FD7EB2">
      <w:pPr>
        <w:pStyle w:val="30"/>
        <w:outlineLvl w:val="2"/>
      </w:pPr>
      <w:r>
        <w:t>1</w:t>
      </w:r>
      <w:r>
        <w:rPr>
          <w:rFonts w:hint="eastAsia"/>
        </w:rPr>
        <w:t>.项目实施效益</w:t>
      </w:r>
    </w:p>
    <w:p w14:paraId="36BE50FE">
      <w:pPr>
        <w:ind w:firstLine="640"/>
        <w:rPr>
          <w:rFonts w:ascii="仿宋_GB2312" w:hAnsi="宋体"/>
          <w:bCs/>
          <w:szCs w:val="32"/>
        </w:rPr>
      </w:pPr>
      <w:r>
        <w:rPr>
          <w:rFonts w:hint="eastAsia"/>
        </w:rPr>
        <w:t>项目通过更换广场石材、处理病害及下陷部位、翻新及铺设沥青路面等工作，为进驻单</w:t>
      </w:r>
      <w:r>
        <w:rPr>
          <w:rFonts w:hint="eastAsia" w:ascii="仿宋_GB2312" w:hAnsi="仿宋_GB2312" w:cs="仿宋_GB2312"/>
          <w:szCs w:val="32"/>
        </w:rPr>
        <w:t>位4112名</w:t>
      </w:r>
      <w:r>
        <w:rPr>
          <w:rFonts w:hint="eastAsia"/>
        </w:rPr>
        <w:t>职工提供了良好的工作环境，有效满足了</w:t>
      </w:r>
      <w:r>
        <w:rPr>
          <w:rFonts w:hint="eastAsia" w:ascii="仿宋_GB2312" w:hAnsi="仿宋_GB2312" w:cs="仿宋_GB2312"/>
          <w:szCs w:val="32"/>
        </w:rPr>
        <w:t>2024北京接诉即办改革论坛以及其他大、中型检查、参观、调研活动的环境需求。</w:t>
      </w:r>
      <w:r>
        <w:rPr>
          <w:rFonts w:hint="eastAsia" w:ascii="仿宋_GB2312" w:hAnsi="宋体"/>
          <w:bCs/>
          <w:szCs w:val="32"/>
        </w:rPr>
        <w:t>2024年12月17日下午，六里桥办公区圆满完成国际嘉宾走进12345活动的服务保障工作，接待了来自港澳台和70个国家的嘉宾400余人，6、9号门改造提升项目与市政务中心整体提升改造相配合，完美展示了北京为民服务的整体形象。截至评价时点市政务服务中心共接待了中央及市级机关单位的参观调研活动116次，累计接待2522人次。</w:t>
      </w:r>
      <w:r>
        <w:rPr>
          <w:rFonts w:hint="eastAsia" w:ascii="仿宋_GB2312" w:hAnsi="仿宋_GB2312" w:cs="仿宋_GB2312"/>
          <w:szCs w:val="32"/>
        </w:rPr>
        <w:t>但工程完工后至评价时点时间较短，项目效益尚且存在进一步发挥空间。</w:t>
      </w:r>
    </w:p>
    <w:p w14:paraId="33E0D1FC">
      <w:pPr>
        <w:pStyle w:val="30"/>
        <w:outlineLvl w:val="2"/>
      </w:pPr>
      <w:r>
        <w:t>2</w:t>
      </w:r>
      <w:r>
        <w:rPr>
          <w:rFonts w:hint="eastAsia"/>
        </w:rPr>
        <w:t>.满意度</w:t>
      </w:r>
    </w:p>
    <w:p w14:paraId="7EB50D22">
      <w:pPr>
        <w:ind w:firstLine="640"/>
        <w:rPr>
          <w:rFonts w:ascii="仿宋_GB2312" w:hAnsi="仿宋_GB2312" w:cs="仿宋_GB2312"/>
          <w:szCs w:val="32"/>
        </w:rPr>
      </w:pPr>
      <w:r>
        <w:rPr>
          <w:rFonts w:hint="eastAsia" w:ascii="仿宋_GB2312" w:hAnsi="仿宋_GB2312" w:cs="仿宋_GB2312"/>
          <w:szCs w:val="32"/>
        </w:rPr>
        <w:t>项目实施完毕后，六里桥办公区管理处组织入驻单位填写了“2024年度北京市市级机关集中办公区服务满意度评价表”，从服务保障整体、规范化保障、综合感知、意见建议等方面收集了入驻单位满意度情况，共收集问卷70份，覆盖相关部门共29家，实际满意度为100%。</w:t>
      </w:r>
    </w:p>
    <w:p w14:paraId="5E41F7C4">
      <w:pPr>
        <w:ind w:firstLine="640"/>
        <w:outlineLvl w:val="0"/>
        <w:rPr>
          <w:rFonts w:ascii="黑体" w:eastAsia="黑体"/>
          <w:szCs w:val="32"/>
        </w:rPr>
      </w:pPr>
      <w:bookmarkStart w:id="50" w:name="_Toc15770"/>
      <w:r>
        <w:rPr>
          <w:rFonts w:hint="eastAsia" w:ascii="黑体" w:eastAsia="黑体"/>
          <w:szCs w:val="32"/>
        </w:rPr>
        <w:t>五、主要经验及做法、存在的问题及原因</w:t>
      </w:r>
      <w:bookmarkEnd w:id="50"/>
    </w:p>
    <w:p w14:paraId="5D987624">
      <w:pPr>
        <w:ind w:firstLine="640"/>
        <w:outlineLvl w:val="1"/>
        <w:rPr>
          <w:rFonts w:ascii="楷体_GB2312" w:eastAsia="楷体_GB2312"/>
          <w:szCs w:val="32"/>
        </w:rPr>
      </w:pPr>
      <w:bookmarkStart w:id="51" w:name="_Toc35588425"/>
      <w:bookmarkStart w:id="52" w:name="_Toc35588783"/>
      <w:bookmarkStart w:id="53" w:name="_Toc21426"/>
      <w:r>
        <w:rPr>
          <w:rFonts w:hint="eastAsia" w:ascii="楷体_GB2312" w:eastAsia="楷体_GB2312"/>
          <w:szCs w:val="32"/>
        </w:rPr>
        <w:t>（一）主要经验及做法</w:t>
      </w:r>
      <w:bookmarkEnd w:id="51"/>
      <w:bookmarkEnd w:id="52"/>
      <w:bookmarkEnd w:id="53"/>
    </w:p>
    <w:p w14:paraId="0E3AB72A">
      <w:pPr>
        <w:ind w:firstLine="640"/>
        <w:rPr>
          <w:rFonts w:ascii="仿宋_GB2312" w:hAnsi="仿宋_GB2312" w:cs="仿宋_GB2312"/>
          <w:szCs w:val="32"/>
        </w:rPr>
      </w:pPr>
      <w:r>
        <w:rPr>
          <w:rFonts w:hint="eastAsia" w:ascii="仿宋_GB2312" w:hAnsi="仿宋_GB2312" w:cs="仿宋_GB2312"/>
          <w:szCs w:val="32"/>
        </w:rPr>
        <w:t>市机关事务管理局、市机关事务管理中心多次召开专题</w:t>
      </w:r>
      <w:r>
        <w:rPr>
          <w:rFonts w:hint="eastAsia" w:ascii="仿宋_GB2312" w:hAnsi="仿宋_GB2312" w:cs="仿宋_GB2312"/>
        </w:rPr>
        <w:t>会，并与</w:t>
      </w:r>
      <w:r>
        <w:rPr>
          <w:rFonts w:hint="eastAsia" w:ascii="仿宋_GB2312" w:hAnsi="仿宋_GB2312" w:cs="仿宋_GB2312"/>
          <w:szCs w:val="32"/>
        </w:rPr>
        <w:t>2024年度项目主要受益对象北京市政务服务和数据管理局进行充分沟通交流，以</w:t>
      </w:r>
      <w:r>
        <w:rPr>
          <w:rFonts w:hint="eastAsia" w:ascii="仿宋_GB2312" w:hAnsi="仿宋_GB2312" w:cs="仿宋_GB2312"/>
        </w:rPr>
        <w:t>确定维修提升需求、工作方案及预算。项目主管部门市机关事务管理中心统一聘请专业评审机构对项目预算进行评审，审减54.349567万元预算；同时，施工过程中充分利用原6、9号门门前广场旧砖，实现资金及资源的节约，有助于提高财政资金的使用效益。</w:t>
      </w:r>
    </w:p>
    <w:p w14:paraId="1E0A5D79">
      <w:pPr>
        <w:ind w:firstLine="640"/>
        <w:outlineLvl w:val="1"/>
        <w:rPr>
          <w:rFonts w:ascii="楷体_GB2312" w:eastAsia="楷体_GB2312"/>
          <w:szCs w:val="32"/>
        </w:rPr>
      </w:pPr>
      <w:bookmarkStart w:id="54" w:name="_Toc2850"/>
      <w:bookmarkStart w:id="55" w:name="_Toc35588784"/>
      <w:bookmarkStart w:id="56" w:name="_Toc35588426"/>
      <w:r>
        <w:rPr>
          <w:rFonts w:hint="eastAsia" w:ascii="楷体_GB2312" w:eastAsia="楷体_GB2312"/>
          <w:szCs w:val="32"/>
        </w:rPr>
        <w:t>（二）存在的主要问题及原因分析</w:t>
      </w:r>
      <w:bookmarkEnd w:id="54"/>
      <w:bookmarkEnd w:id="55"/>
      <w:bookmarkEnd w:id="56"/>
    </w:p>
    <w:p w14:paraId="03F6B356">
      <w:pPr>
        <w:pStyle w:val="30"/>
        <w:outlineLvl w:val="2"/>
      </w:pPr>
      <w:r>
        <w:rPr>
          <w:rFonts w:hint="eastAsia"/>
        </w:rPr>
        <w:t>1</w:t>
      </w:r>
      <w:r>
        <w:t>.</w:t>
      </w:r>
      <w:r>
        <w:rPr>
          <w:rFonts w:hint="eastAsia"/>
        </w:rPr>
        <w:t>项目前期论证不够充分，方案设计不够完善</w:t>
      </w:r>
    </w:p>
    <w:p w14:paraId="5AAA3FFD">
      <w:pPr>
        <w:ind w:firstLine="640"/>
        <w:rPr>
          <w:rFonts w:ascii="仿宋_GB2312" w:hAnsi="仿宋_GB2312" w:cs="仿宋_GB2312"/>
        </w:rPr>
      </w:pPr>
      <w:r>
        <w:rPr>
          <w:rFonts w:hint="eastAsia" w:ascii="仿宋_GB2312" w:hAnsi="仿宋_GB2312" w:cs="仿宋_GB2312"/>
        </w:rPr>
        <w:t>一是未编制可行性研究报告并经专家论证；二是增加地砖厚度的决策依据不够充分，前期依据实例结果来确定更换更厚地砖，未经设计单位科学计算来评估当前抗压能力是否能满足项目临时停放大巴车的需求、进而确定是否增加地砖厚度；三是前期空洞探测报告中提出的建议</w:t>
      </w:r>
      <w:r>
        <w:rPr>
          <w:rFonts w:hint="eastAsia"/>
        </w:rPr>
        <w:t>（如静载荷试验等）</w:t>
      </w:r>
      <w:r>
        <w:rPr>
          <w:rFonts w:hint="eastAsia" w:ascii="仿宋_GB2312" w:hAnsi="仿宋_GB2312" w:cs="仿宋_GB2312"/>
        </w:rPr>
        <w:t>未见落实到设计方案中，设计中未明确相关管线是否需要处理；四是项目前期对实际需求的摸底不够深入，工程量预估不够准确，如计划完成9号门门前广场拆除旧砖、新铺10cm地砖2000平方米，实际完成1859平方米。</w:t>
      </w:r>
    </w:p>
    <w:p w14:paraId="686EB147">
      <w:pPr>
        <w:pStyle w:val="30"/>
        <w:outlineLvl w:val="2"/>
      </w:pPr>
      <w:r>
        <w:t>2</w:t>
      </w:r>
      <w:r>
        <w:rPr>
          <w:rFonts w:hint="eastAsia"/>
        </w:rPr>
        <w:t>.未预留质量保证金，合同签订、验收及结算规范性不足</w:t>
      </w:r>
    </w:p>
    <w:p w14:paraId="6497AEDE">
      <w:pPr>
        <w:ind w:firstLine="640"/>
      </w:pPr>
      <w:r>
        <w:rPr>
          <w:rFonts w:hint="eastAsia" w:ascii="仿宋_GB2312"/>
          <w:iCs/>
          <w:szCs w:val="32"/>
        </w:rPr>
        <w:t>一是合同约定有两年质保期，但未设计质量保证金条款、未预留质量保证金，不利于管控合同履约及质量维修责任风险；二是项目未明确为固定总价合同，未开展结算审核；三是工程款支付未经监理审核，未见监理公司提供的开工令及延期申请等；四是验收单上未体现承包方项目经理，规范性有待提升。</w:t>
      </w:r>
    </w:p>
    <w:p w14:paraId="7FEF4CAD">
      <w:pPr>
        <w:ind w:firstLine="640"/>
        <w:outlineLvl w:val="2"/>
        <w:rPr>
          <w:rFonts w:ascii="仿宋_GB2312"/>
          <w:szCs w:val="32"/>
        </w:rPr>
      </w:pPr>
      <w:r>
        <w:rPr>
          <w:rFonts w:hint="eastAsia" w:ascii="仿宋_GB2312"/>
        </w:rPr>
        <w:t>3</w:t>
      </w:r>
      <w:r>
        <w:rPr>
          <w:rFonts w:ascii="仿宋_GB2312"/>
        </w:rPr>
        <w:t>.</w:t>
      </w:r>
      <w:r>
        <w:rPr>
          <w:rFonts w:hint="eastAsia" w:ascii="仿宋_GB2312"/>
        </w:rPr>
        <w:t>项目实施存在拖期情况，</w:t>
      </w:r>
      <w:r>
        <w:rPr>
          <w:rFonts w:hint="eastAsia" w:ascii="仿宋_GB2312"/>
          <w:szCs w:val="32"/>
        </w:rPr>
        <w:t>效益有待进一步跟踪发挥</w:t>
      </w:r>
    </w:p>
    <w:p w14:paraId="7C7BB836">
      <w:pPr>
        <w:pStyle w:val="30"/>
      </w:pPr>
      <w:bookmarkStart w:id="57" w:name="_Toc35588785"/>
      <w:bookmarkStart w:id="58" w:name="_Toc35588427"/>
      <w:r>
        <w:rPr>
          <w:rFonts w:hint="eastAsia"/>
        </w:rPr>
        <w:t>一是因结合实际业务需求工作内容及工作量有所增加，实际完工时间为2024年12月2日，较合同约定的11月16日有所延迟；二是合同约定开工后10个工作日内付款，项目实际于10月23日开工，11月22日承包单位开出首款发票，11月25日六里桥办公区管理处填写支出审批单，11月28日完成首款支付；</w:t>
      </w:r>
      <w:r>
        <w:rPr>
          <w:rFonts w:hint="eastAsia" w:hAnsi="仿宋_GB2312" w:cs="仿宋_GB2312"/>
        </w:rPr>
        <w:t>三是工程完工后至评价时点时间较短，项目效益尚且存在进一步发挥空间。</w:t>
      </w:r>
    </w:p>
    <w:p w14:paraId="043F2C60">
      <w:pPr>
        <w:ind w:firstLine="640"/>
        <w:outlineLvl w:val="0"/>
        <w:rPr>
          <w:rFonts w:ascii="黑体" w:eastAsia="黑体"/>
          <w:szCs w:val="32"/>
        </w:rPr>
      </w:pPr>
      <w:bookmarkStart w:id="59" w:name="_Toc28443"/>
      <w:r>
        <w:rPr>
          <w:rFonts w:hint="eastAsia" w:ascii="黑体" w:eastAsia="黑体"/>
          <w:szCs w:val="32"/>
        </w:rPr>
        <w:t>六、有关建议</w:t>
      </w:r>
      <w:bookmarkEnd w:id="57"/>
      <w:bookmarkEnd w:id="58"/>
      <w:bookmarkEnd w:id="59"/>
    </w:p>
    <w:p w14:paraId="302AA894">
      <w:pPr>
        <w:ind w:firstLine="640"/>
        <w:outlineLvl w:val="1"/>
        <w:rPr>
          <w:rFonts w:ascii="楷体_GB2312" w:eastAsia="楷体_GB2312"/>
          <w:szCs w:val="32"/>
        </w:rPr>
      </w:pPr>
      <w:bookmarkStart w:id="60" w:name="_Toc32258"/>
      <w:r>
        <w:rPr>
          <w:rFonts w:hint="eastAsia" w:ascii="楷体_GB2312" w:eastAsia="楷体_GB2312"/>
          <w:szCs w:val="32"/>
        </w:rPr>
        <w:t>（一）重视可行性研究，深入开展需求调研</w:t>
      </w:r>
      <w:bookmarkEnd w:id="60"/>
    </w:p>
    <w:p w14:paraId="4010DC89">
      <w:pPr>
        <w:ind w:firstLine="640"/>
      </w:pPr>
      <w:r>
        <w:rPr>
          <w:rFonts w:hint="eastAsia"/>
        </w:rPr>
        <w:t>建议项目单位在后续年度的施工工作中加强项目前期论证工作，重视可行性研究。对于地砖厚度调整，需经设计单位科学计算来评估当前抗压能力并确定是否调整、如何调整地砖厚度；同时设计中需合理体现前期探测报告建议、明确管线处理等相关技术要求。深入调研使用单位需求及现场情况，加强前期谋划设计，合理预估施工内容及工程量。</w:t>
      </w:r>
    </w:p>
    <w:p w14:paraId="469240DE">
      <w:pPr>
        <w:ind w:firstLine="640"/>
        <w:outlineLvl w:val="1"/>
        <w:rPr>
          <w:rFonts w:ascii="楷体_GB2312" w:eastAsia="楷体_GB2312"/>
          <w:szCs w:val="32"/>
        </w:rPr>
      </w:pPr>
      <w:bookmarkStart w:id="61" w:name="_Toc21451"/>
      <w:r>
        <w:rPr>
          <w:rFonts w:hint="eastAsia" w:ascii="楷体_GB2312" w:eastAsia="楷体_GB2312"/>
          <w:szCs w:val="32"/>
        </w:rPr>
        <w:t>（二）规范合同管理，强化项目实施过程及质量管控</w:t>
      </w:r>
      <w:bookmarkEnd w:id="61"/>
    </w:p>
    <w:p w14:paraId="199280D1">
      <w:pPr>
        <w:ind w:firstLine="640"/>
        <w:rPr>
          <w:rFonts w:ascii="仿宋_GB2312"/>
        </w:rPr>
      </w:pPr>
      <w:r>
        <w:rPr>
          <w:rFonts w:hint="eastAsia" w:ascii="仿宋_GB2312"/>
        </w:rPr>
        <w:t>一是在合同条款中明确为固定总价合同，增设质量保证金条款，可参考《建设工程质量保证金管理办法》预留工程总价款3%的质量保证金，对于本项目未预留质保金的情况，建议后续请承包单位提供质保金保函。二是对于出现拖期、延期的情况，需由监理出具延期申请，工程款支付需由监理出具相关材料作为依据。</w:t>
      </w:r>
    </w:p>
    <w:p w14:paraId="7E94A4E9">
      <w:pPr>
        <w:ind w:firstLine="640"/>
        <w:outlineLvl w:val="1"/>
        <w:rPr>
          <w:rFonts w:ascii="楷体_GB2312" w:eastAsia="楷体_GB2312"/>
          <w:szCs w:val="32"/>
        </w:rPr>
      </w:pPr>
      <w:bookmarkStart w:id="62" w:name="_Toc29216"/>
      <w:r>
        <w:rPr>
          <w:rFonts w:hint="eastAsia" w:ascii="楷体_GB2312" w:eastAsia="楷体_GB2312"/>
          <w:szCs w:val="32"/>
        </w:rPr>
        <w:t>（三）加强项目进度把控，进一步追踪项目效益</w:t>
      </w:r>
      <w:bookmarkEnd w:id="62"/>
    </w:p>
    <w:p w14:paraId="21CB4485">
      <w:pPr>
        <w:ind w:firstLine="640"/>
        <w:rPr>
          <w:rFonts w:ascii="仿宋_GB2312" w:hAnsi="仿宋_GB2312" w:cs="仿宋_GB2312"/>
        </w:rPr>
      </w:pPr>
      <w:r>
        <w:rPr>
          <w:rFonts w:hint="eastAsia" w:ascii="仿宋_GB2312" w:hAnsi="仿宋_GB2312" w:cs="仿宋_GB2312"/>
        </w:rPr>
        <w:t>建立动态的项目进度管控机制，及时应对因需求变化导致的工期调整，确保项目按时完工。优化工程款支付流程，避免因流程繁琐造成付款延迟。为保证铺装耐久性、充分发挥项目效益，建议视实际情况对石材铺装部位接缝进行粗砂扫缝处理，同时建立项目效益跟踪机制，持续关注项目完工后的效益发挥情况，及时发现并解决问题，充分释放项目价值。</w:t>
      </w:r>
    </w:p>
    <w:p w14:paraId="1727C759">
      <w:pPr>
        <w:autoSpaceDE w:val="0"/>
        <w:autoSpaceDN w:val="0"/>
        <w:ind w:left="640" w:firstLine="1600" w:firstLineChars="500"/>
      </w:pPr>
    </w:p>
    <w:sectPr>
      <w:headerReference r:id="rId5" w:type="default"/>
      <w:footerReference r:id="rId6" w:type="default"/>
      <w:pgSz w:w="11906" w:h="16838"/>
      <w:pgMar w:top="2098" w:right="1531" w:bottom="1985" w:left="1531" w:header="851" w:footer="1134" w:gutter="0"/>
      <w:pgNumType w:start="1"/>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3838589"/>
    </w:sdtPr>
    <w:sdtEndPr>
      <w:rPr>
        <w:rFonts w:ascii="宋体" w:hAnsi="宋体"/>
        <w:sz w:val="28"/>
        <w:szCs w:val="28"/>
      </w:rPr>
    </w:sdtEndPr>
    <w:sdtContent>
      <w:p w14:paraId="5F321D5A">
        <w:pPr>
          <w:pStyle w:val="21"/>
          <w:ind w:firstLine="36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360" w:lineRule="auto"/>
        <w:ind w:firstLine="640"/>
      </w:pPr>
      <w:r>
        <w:separator/>
      </w:r>
    </w:p>
  </w:footnote>
  <w:footnote w:type="continuationSeparator" w:id="3">
    <w:p>
      <w:pPr>
        <w:spacing w:line="360" w:lineRule="auto"/>
        <w:ind w:firstLine="640"/>
      </w:pPr>
      <w:r>
        <w:continuationSeparator/>
      </w:r>
    </w:p>
  </w:footnote>
  <w:footnote w:id="0">
    <w:p w14:paraId="294244E6">
      <w:pPr>
        <w:pStyle w:val="25"/>
        <w:ind w:firstLine="360"/>
      </w:pPr>
      <w:r>
        <w:rPr>
          <w:rStyle w:val="38"/>
        </w:rPr>
        <w:footnoteRef/>
      </w:r>
      <w:r>
        <w:t xml:space="preserve"> </w:t>
      </w:r>
      <w:r>
        <w:rPr>
          <w:rFonts w:hint="eastAsia"/>
        </w:rPr>
        <w:t>北京市政务服务中心为北京市政务服务和数据管理局所属事业单位，办公地点位于六里桥办公大楼。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7B68D">
    <w:pPr>
      <w:pStyle w:val="22"/>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0C5567"/>
    <w:multiLevelType w:val="multilevel"/>
    <w:tmpl w:val="260C5567"/>
    <w:lvl w:ilvl="0" w:tentative="0">
      <w:start w:val="1"/>
      <w:numFmt w:val="decimal"/>
      <w:pStyle w:val="47"/>
      <w:lvlText w:val="（%1）"/>
      <w:lvlJc w:val="left"/>
      <w:pPr>
        <w:tabs>
          <w:tab w:val="left" w:pos="3750"/>
        </w:tabs>
        <w:ind w:left="3750" w:hanging="2250"/>
      </w:pPr>
      <w:rPr>
        <w:rFonts w:hint="eastAsia"/>
      </w:rPr>
    </w:lvl>
    <w:lvl w:ilvl="1" w:tentative="0">
      <w:start w:val="1"/>
      <w:numFmt w:val="lowerLetter"/>
      <w:lvlText w:val="%2)"/>
      <w:lvlJc w:val="left"/>
      <w:pPr>
        <w:tabs>
          <w:tab w:val="left" w:pos="2340"/>
        </w:tabs>
        <w:ind w:left="2340" w:hanging="420"/>
      </w:pPr>
    </w:lvl>
    <w:lvl w:ilvl="2" w:tentative="0">
      <w:start w:val="1"/>
      <w:numFmt w:val="lowerRoman"/>
      <w:lvlText w:val="%3."/>
      <w:lvlJc w:val="right"/>
      <w:pPr>
        <w:tabs>
          <w:tab w:val="left" w:pos="2760"/>
        </w:tabs>
        <w:ind w:left="2760" w:hanging="420"/>
      </w:pPr>
    </w:lvl>
    <w:lvl w:ilvl="3" w:tentative="0">
      <w:start w:val="1"/>
      <w:numFmt w:val="decimal"/>
      <w:lvlText w:val="%4."/>
      <w:lvlJc w:val="left"/>
      <w:pPr>
        <w:tabs>
          <w:tab w:val="left" w:pos="3180"/>
        </w:tabs>
        <w:ind w:left="3180" w:hanging="420"/>
      </w:pPr>
    </w:lvl>
    <w:lvl w:ilvl="4" w:tentative="0">
      <w:start w:val="1"/>
      <w:numFmt w:val="lowerLetter"/>
      <w:lvlText w:val="%5)"/>
      <w:lvlJc w:val="left"/>
      <w:pPr>
        <w:tabs>
          <w:tab w:val="left" w:pos="3600"/>
        </w:tabs>
        <w:ind w:left="3600" w:hanging="420"/>
      </w:pPr>
    </w:lvl>
    <w:lvl w:ilvl="5" w:tentative="0">
      <w:start w:val="1"/>
      <w:numFmt w:val="lowerRoman"/>
      <w:lvlText w:val="%6."/>
      <w:lvlJc w:val="right"/>
      <w:pPr>
        <w:tabs>
          <w:tab w:val="left" w:pos="4020"/>
        </w:tabs>
        <w:ind w:left="4020" w:hanging="420"/>
      </w:pPr>
    </w:lvl>
    <w:lvl w:ilvl="6" w:tentative="0">
      <w:start w:val="1"/>
      <w:numFmt w:val="decimal"/>
      <w:lvlText w:val="%7."/>
      <w:lvlJc w:val="left"/>
      <w:pPr>
        <w:tabs>
          <w:tab w:val="left" w:pos="4440"/>
        </w:tabs>
        <w:ind w:left="4440" w:hanging="420"/>
      </w:pPr>
    </w:lvl>
    <w:lvl w:ilvl="7" w:tentative="0">
      <w:start w:val="1"/>
      <w:numFmt w:val="lowerLetter"/>
      <w:lvlText w:val="%8)"/>
      <w:lvlJc w:val="left"/>
      <w:pPr>
        <w:tabs>
          <w:tab w:val="left" w:pos="4860"/>
        </w:tabs>
        <w:ind w:left="4860" w:hanging="420"/>
      </w:pPr>
    </w:lvl>
    <w:lvl w:ilvl="8" w:tentative="0">
      <w:start w:val="1"/>
      <w:numFmt w:val="lowerRoman"/>
      <w:lvlText w:val="%9."/>
      <w:lvlJc w:val="right"/>
      <w:pPr>
        <w:tabs>
          <w:tab w:val="left" w:pos="5280"/>
        </w:tabs>
        <w:ind w:left="5280" w:hanging="420"/>
      </w:pPr>
    </w:lvl>
  </w:abstractNum>
  <w:abstractNum w:abstractNumId="1">
    <w:nsid w:val="5A7E4ED1"/>
    <w:multiLevelType w:val="multilevel"/>
    <w:tmpl w:val="5A7E4ED1"/>
    <w:lvl w:ilvl="0" w:tentative="0">
      <w:start w:val="1"/>
      <w:numFmt w:val="bullet"/>
      <w:pStyle w:val="14"/>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60"/>
  <w:drawingGridVerticalSpacing w:val="435"/>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QwYWQwOWJjOGU5YTI1M2FmMTUzN2RmMTdiZjU4MmQifQ=="/>
  </w:docVars>
  <w:rsids>
    <w:rsidRoot w:val="00F57F82"/>
    <w:rsid w:val="0000081C"/>
    <w:rsid w:val="0000098C"/>
    <w:rsid w:val="00001685"/>
    <w:rsid w:val="00001D0F"/>
    <w:rsid w:val="00002C2D"/>
    <w:rsid w:val="00002C5A"/>
    <w:rsid w:val="00002CC0"/>
    <w:rsid w:val="00002F82"/>
    <w:rsid w:val="00003574"/>
    <w:rsid w:val="00003747"/>
    <w:rsid w:val="00004340"/>
    <w:rsid w:val="00004C81"/>
    <w:rsid w:val="00005B90"/>
    <w:rsid w:val="00006622"/>
    <w:rsid w:val="000072FC"/>
    <w:rsid w:val="0000744F"/>
    <w:rsid w:val="0000747F"/>
    <w:rsid w:val="000074AD"/>
    <w:rsid w:val="000076DC"/>
    <w:rsid w:val="000078EC"/>
    <w:rsid w:val="000101E1"/>
    <w:rsid w:val="00010672"/>
    <w:rsid w:val="00010B3E"/>
    <w:rsid w:val="00012B36"/>
    <w:rsid w:val="00013124"/>
    <w:rsid w:val="0001370A"/>
    <w:rsid w:val="00013EAB"/>
    <w:rsid w:val="00013F58"/>
    <w:rsid w:val="00013F8C"/>
    <w:rsid w:val="0001492F"/>
    <w:rsid w:val="000149D1"/>
    <w:rsid w:val="00015A76"/>
    <w:rsid w:val="00016ABE"/>
    <w:rsid w:val="00016D27"/>
    <w:rsid w:val="00017F51"/>
    <w:rsid w:val="00020029"/>
    <w:rsid w:val="000213A1"/>
    <w:rsid w:val="000216C4"/>
    <w:rsid w:val="0002189E"/>
    <w:rsid w:val="00021E18"/>
    <w:rsid w:val="00021ED0"/>
    <w:rsid w:val="0002366A"/>
    <w:rsid w:val="00023F0A"/>
    <w:rsid w:val="000241C3"/>
    <w:rsid w:val="000242B0"/>
    <w:rsid w:val="0002468E"/>
    <w:rsid w:val="00024F81"/>
    <w:rsid w:val="00025093"/>
    <w:rsid w:val="000271F8"/>
    <w:rsid w:val="0002730A"/>
    <w:rsid w:val="00027C84"/>
    <w:rsid w:val="00030673"/>
    <w:rsid w:val="00030FB0"/>
    <w:rsid w:val="00031381"/>
    <w:rsid w:val="0003163B"/>
    <w:rsid w:val="00031780"/>
    <w:rsid w:val="00035EDA"/>
    <w:rsid w:val="00037010"/>
    <w:rsid w:val="000415FF"/>
    <w:rsid w:val="00041CE9"/>
    <w:rsid w:val="00042B8E"/>
    <w:rsid w:val="00043732"/>
    <w:rsid w:val="00043918"/>
    <w:rsid w:val="00043AA3"/>
    <w:rsid w:val="000441E7"/>
    <w:rsid w:val="00044971"/>
    <w:rsid w:val="00044D72"/>
    <w:rsid w:val="000452CF"/>
    <w:rsid w:val="00045B2D"/>
    <w:rsid w:val="00045E51"/>
    <w:rsid w:val="00047BCF"/>
    <w:rsid w:val="00050994"/>
    <w:rsid w:val="00050BAA"/>
    <w:rsid w:val="000519CA"/>
    <w:rsid w:val="00052086"/>
    <w:rsid w:val="000520E6"/>
    <w:rsid w:val="0005287B"/>
    <w:rsid w:val="00052B17"/>
    <w:rsid w:val="00053D6E"/>
    <w:rsid w:val="00054081"/>
    <w:rsid w:val="0005425C"/>
    <w:rsid w:val="0005474C"/>
    <w:rsid w:val="00054CE1"/>
    <w:rsid w:val="000556F2"/>
    <w:rsid w:val="00056D62"/>
    <w:rsid w:val="00056FC2"/>
    <w:rsid w:val="00057B5A"/>
    <w:rsid w:val="00060703"/>
    <w:rsid w:val="000615C6"/>
    <w:rsid w:val="00061A0B"/>
    <w:rsid w:val="00061C33"/>
    <w:rsid w:val="00062CE2"/>
    <w:rsid w:val="00062E1B"/>
    <w:rsid w:val="00064BB0"/>
    <w:rsid w:val="00065850"/>
    <w:rsid w:val="00065870"/>
    <w:rsid w:val="000658D5"/>
    <w:rsid w:val="00065E66"/>
    <w:rsid w:val="000675D6"/>
    <w:rsid w:val="00067FB0"/>
    <w:rsid w:val="0007065B"/>
    <w:rsid w:val="000718A5"/>
    <w:rsid w:val="000723DA"/>
    <w:rsid w:val="0007527B"/>
    <w:rsid w:val="000754B1"/>
    <w:rsid w:val="000760FB"/>
    <w:rsid w:val="000767CA"/>
    <w:rsid w:val="00077DCA"/>
    <w:rsid w:val="000808E8"/>
    <w:rsid w:val="00080B65"/>
    <w:rsid w:val="00081914"/>
    <w:rsid w:val="00082002"/>
    <w:rsid w:val="000821DD"/>
    <w:rsid w:val="000822D8"/>
    <w:rsid w:val="00082839"/>
    <w:rsid w:val="000829E3"/>
    <w:rsid w:val="00082DB6"/>
    <w:rsid w:val="00083161"/>
    <w:rsid w:val="00083816"/>
    <w:rsid w:val="000842B1"/>
    <w:rsid w:val="000848FD"/>
    <w:rsid w:val="00084DD7"/>
    <w:rsid w:val="000852F0"/>
    <w:rsid w:val="000856A3"/>
    <w:rsid w:val="00085A5B"/>
    <w:rsid w:val="00085EDC"/>
    <w:rsid w:val="00086A59"/>
    <w:rsid w:val="00086CB1"/>
    <w:rsid w:val="0008739E"/>
    <w:rsid w:val="0008763A"/>
    <w:rsid w:val="000905C5"/>
    <w:rsid w:val="0009145A"/>
    <w:rsid w:val="000914D8"/>
    <w:rsid w:val="00091586"/>
    <w:rsid w:val="00091D75"/>
    <w:rsid w:val="00092357"/>
    <w:rsid w:val="000923FE"/>
    <w:rsid w:val="00092C3B"/>
    <w:rsid w:val="00093CA4"/>
    <w:rsid w:val="00094965"/>
    <w:rsid w:val="00094980"/>
    <w:rsid w:val="00094C8C"/>
    <w:rsid w:val="000956FC"/>
    <w:rsid w:val="00095E80"/>
    <w:rsid w:val="000971A3"/>
    <w:rsid w:val="00097B95"/>
    <w:rsid w:val="000A081E"/>
    <w:rsid w:val="000A0DAA"/>
    <w:rsid w:val="000A1DE3"/>
    <w:rsid w:val="000A1EFB"/>
    <w:rsid w:val="000A39A6"/>
    <w:rsid w:val="000A3EAC"/>
    <w:rsid w:val="000A4E44"/>
    <w:rsid w:val="000A516E"/>
    <w:rsid w:val="000A6177"/>
    <w:rsid w:val="000A6B9B"/>
    <w:rsid w:val="000B0673"/>
    <w:rsid w:val="000B1B2D"/>
    <w:rsid w:val="000B1CEB"/>
    <w:rsid w:val="000B1D16"/>
    <w:rsid w:val="000B1E3F"/>
    <w:rsid w:val="000B1E65"/>
    <w:rsid w:val="000B2DDE"/>
    <w:rsid w:val="000B2E20"/>
    <w:rsid w:val="000B3751"/>
    <w:rsid w:val="000B4A72"/>
    <w:rsid w:val="000B51CA"/>
    <w:rsid w:val="000B5506"/>
    <w:rsid w:val="000B7F12"/>
    <w:rsid w:val="000C01A4"/>
    <w:rsid w:val="000C022B"/>
    <w:rsid w:val="000C071A"/>
    <w:rsid w:val="000C0FAB"/>
    <w:rsid w:val="000C20E0"/>
    <w:rsid w:val="000C276F"/>
    <w:rsid w:val="000C2824"/>
    <w:rsid w:val="000C3213"/>
    <w:rsid w:val="000C354F"/>
    <w:rsid w:val="000C3C52"/>
    <w:rsid w:val="000C4567"/>
    <w:rsid w:val="000C4F5A"/>
    <w:rsid w:val="000C5740"/>
    <w:rsid w:val="000C58F2"/>
    <w:rsid w:val="000C651A"/>
    <w:rsid w:val="000C6BF5"/>
    <w:rsid w:val="000C780D"/>
    <w:rsid w:val="000C7F6C"/>
    <w:rsid w:val="000D05ED"/>
    <w:rsid w:val="000D08D5"/>
    <w:rsid w:val="000D0AFB"/>
    <w:rsid w:val="000D0F03"/>
    <w:rsid w:val="000D102B"/>
    <w:rsid w:val="000D1224"/>
    <w:rsid w:val="000D143D"/>
    <w:rsid w:val="000D24DE"/>
    <w:rsid w:val="000D2BC3"/>
    <w:rsid w:val="000D3D0F"/>
    <w:rsid w:val="000D4374"/>
    <w:rsid w:val="000D461A"/>
    <w:rsid w:val="000D4739"/>
    <w:rsid w:val="000D4B45"/>
    <w:rsid w:val="000D4C3C"/>
    <w:rsid w:val="000D63FC"/>
    <w:rsid w:val="000D6814"/>
    <w:rsid w:val="000D6862"/>
    <w:rsid w:val="000E01DA"/>
    <w:rsid w:val="000E0595"/>
    <w:rsid w:val="000E0CCC"/>
    <w:rsid w:val="000E0D61"/>
    <w:rsid w:val="000E257C"/>
    <w:rsid w:val="000E25AE"/>
    <w:rsid w:val="000E3F25"/>
    <w:rsid w:val="000E4587"/>
    <w:rsid w:val="000E4817"/>
    <w:rsid w:val="000E4AFF"/>
    <w:rsid w:val="000E638C"/>
    <w:rsid w:val="000E66F0"/>
    <w:rsid w:val="000E6FE5"/>
    <w:rsid w:val="000E7966"/>
    <w:rsid w:val="000F11F9"/>
    <w:rsid w:val="000F12F8"/>
    <w:rsid w:val="000F1CFA"/>
    <w:rsid w:val="000F289D"/>
    <w:rsid w:val="000F484F"/>
    <w:rsid w:val="000F536F"/>
    <w:rsid w:val="000F585B"/>
    <w:rsid w:val="000F5911"/>
    <w:rsid w:val="000F6975"/>
    <w:rsid w:val="000F71E4"/>
    <w:rsid w:val="000F790B"/>
    <w:rsid w:val="001002B5"/>
    <w:rsid w:val="001003B7"/>
    <w:rsid w:val="00100979"/>
    <w:rsid w:val="001019CE"/>
    <w:rsid w:val="00101F7F"/>
    <w:rsid w:val="001023EF"/>
    <w:rsid w:val="00102429"/>
    <w:rsid w:val="0010259D"/>
    <w:rsid w:val="00102A23"/>
    <w:rsid w:val="00103A6C"/>
    <w:rsid w:val="00103D24"/>
    <w:rsid w:val="00104491"/>
    <w:rsid w:val="00104634"/>
    <w:rsid w:val="001047E0"/>
    <w:rsid w:val="00105A32"/>
    <w:rsid w:val="00105D80"/>
    <w:rsid w:val="001065C8"/>
    <w:rsid w:val="001066AA"/>
    <w:rsid w:val="00106BC1"/>
    <w:rsid w:val="001079FA"/>
    <w:rsid w:val="00111B13"/>
    <w:rsid w:val="00111C5D"/>
    <w:rsid w:val="0011201B"/>
    <w:rsid w:val="0011226B"/>
    <w:rsid w:val="00112CA9"/>
    <w:rsid w:val="00112FE0"/>
    <w:rsid w:val="00113A3E"/>
    <w:rsid w:val="001144BB"/>
    <w:rsid w:val="00114E06"/>
    <w:rsid w:val="00115148"/>
    <w:rsid w:val="00115220"/>
    <w:rsid w:val="00115905"/>
    <w:rsid w:val="00115CF4"/>
    <w:rsid w:val="0011618B"/>
    <w:rsid w:val="0011657F"/>
    <w:rsid w:val="00117689"/>
    <w:rsid w:val="001201FE"/>
    <w:rsid w:val="001203B5"/>
    <w:rsid w:val="00121226"/>
    <w:rsid w:val="001217FC"/>
    <w:rsid w:val="001224F7"/>
    <w:rsid w:val="001224FA"/>
    <w:rsid w:val="00122506"/>
    <w:rsid w:val="00122762"/>
    <w:rsid w:val="001229E6"/>
    <w:rsid w:val="00122C02"/>
    <w:rsid w:val="00122E3D"/>
    <w:rsid w:val="00123683"/>
    <w:rsid w:val="0012377B"/>
    <w:rsid w:val="00123E26"/>
    <w:rsid w:val="00124090"/>
    <w:rsid w:val="001246FD"/>
    <w:rsid w:val="0012490A"/>
    <w:rsid w:val="00125CAF"/>
    <w:rsid w:val="00126129"/>
    <w:rsid w:val="00127596"/>
    <w:rsid w:val="00127DFF"/>
    <w:rsid w:val="00130C1B"/>
    <w:rsid w:val="00130DEC"/>
    <w:rsid w:val="00131373"/>
    <w:rsid w:val="00131979"/>
    <w:rsid w:val="00131A76"/>
    <w:rsid w:val="00131EE3"/>
    <w:rsid w:val="001324B3"/>
    <w:rsid w:val="00132E10"/>
    <w:rsid w:val="00133EED"/>
    <w:rsid w:val="001344D3"/>
    <w:rsid w:val="0013524B"/>
    <w:rsid w:val="001354FF"/>
    <w:rsid w:val="00136180"/>
    <w:rsid w:val="001361AF"/>
    <w:rsid w:val="001363F1"/>
    <w:rsid w:val="00136606"/>
    <w:rsid w:val="00136BF4"/>
    <w:rsid w:val="0013709E"/>
    <w:rsid w:val="001379D6"/>
    <w:rsid w:val="00137E65"/>
    <w:rsid w:val="00141ECA"/>
    <w:rsid w:val="0014265B"/>
    <w:rsid w:val="00143349"/>
    <w:rsid w:val="001436F7"/>
    <w:rsid w:val="001439B8"/>
    <w:rsid w:val="00143DFF"/>
    <w:rsid w:val="00145EC0"/>
    <w:rsid w:val="00145FDE"/>
    <w:rsid w:val="0014617D"/>
    <w:rsid w:val="00146208"/>
    <w:rsid w:val="001462D2"/>
    <w:rsid w:val="0014692E"/>
    <w:rsid w:val="00146BED"/>
    <w:rsid w:val="00147809"/>
    <w:rsid w:val="00150867"/>
    <w:rsid w:val="00150DF9"/>
    <w:rsid w:val="00151066"/>
    <w:rsid w:val="0015189F"/>
    <w:rsid w:val="001519F3"/>
    <w:rsid w:val="001527C4"/>
    <w:rsid w:val="0015345B"/>
    <w:rsid w:val="00153C75"/>
    <w:rsid w:val="001540C2"/>
    <w:rsid w:val="00154944"/>
    <w:rsid w:val="001556E5"/>
    <w:rsid w:val="0015642C"/>
    <w:rsid w:val="00156927"/>
    <w:rsid w:val="001605E0"/>
    <w:rsid w:val="00160608"/>
    <w:rsid w:val="00160B5D"/>
    <w:rsid w:val="00160E57"/>
    <w:rsid w:val="00161569"/>
    <w:rsid w:val="00162694"/>
    <w:rsid w:val="00162ED6"/>
    <w:rsid w:val="0016323B"/>
    <w:rsid w:val="001635C2"/>
    <w:rsid w:val="001639DB"/>
    <w:rsid w:val="00164992"/>
    <w:rsid w:val="0016667C"/>
    <w:rsid w:val="001667CE"/>
    <w:rsid w:val="001702F3"/>
    <w:rsid w:val="00171180"/>
    <w:rsid w:val="001711CA"/>
    <w:rsid w:val="001711F8"/>
    <w:rsid w:val="001719A7"/>
    <w:rsid w:val="00171AAB"/>
    <w:rsid w:val="001722CF"/>
    <w:rsid w:val="0017287A"/>
    <w:rsid w:val="00172AFA"/>
    <w:rsid w:val="00172BBC"/>
    <w:rsid w:val="0017377A"/>
    <w:rsid w:val="0017468B"/>
    <w:rsid w:val="0017523B"/>
    <w:rsid w:val="0017546F"/>
    <w:rsid w:val="001754D2"/>
    <w:rsid w:val="00175F07"/>
    <w:rsid w:val="00176617"/>
    <w:rsid w:val="00176961"/>
    <w:rsid w:val="001779A3"/>
    <w:rsid w:val="001805AD"/>
    <w:rsid w:val="00180AD0"/>
    <w:rsid w:val="00182A2C"/>
    <w:rsid w:val="00182DE9"/>
    <w:rsid w:val="0018352F"/>
    <w:rsid w:val="00183EFF"/>
    <w:rsid w:val="0018407E"/>
    <w:rsid w:val="00184506"/>
    <w:rsid w:val="00184B61"/>
    <w:rsid w:val="00184BF3"/>
    <w:rsid w:val="001859F6"/>
    <w:rsid w:val="00186338"/>
    <w:rsid w:val="001867D3"/>
    <w:rsid w:val="00187083"/>
    <w:rsid w:val="001878CD"/>
    <w:rsid w:val="001879FA"/>
    <w:rsid w:val="00190C26"/>
    <w:rsid w:val="00190C2A"/>
    <w:rsid w:val="00190D9F"/>
    <w:rsid w:val="00191052"/>
    <w:rsid w:val="00191F38"/>
    <w:rsid w:val="001920B7"/>
    <w:rsid w:val="00192211"/>
    <w:rsid w:val="00192276"/>
    <w:rsid w:val="0019254C"/>
    <w:rsid w:val="00193650"/>
    <w:rsid w:val="00194BD7"/>
    <w:rsid w:val="00196157"/>
    <w:rsid w:val="001963CF"/>
    <w:rsid w:val="001967E8"/>
    <w:rsid w:val="0019688E"/>
    <w:rsid w:val="00196AD7"/>
    <w:rsid w:val="001A0223"/>
    <w:rsid w:val="001A169D"/>
    <w:rsid w:val="001A1979"/>
    <w:rsid w:val="001A1FEB"/>
    <w:rsid w:val="001A22E6"/>
    <w:rsid w:val="001A26E7"/>
    <w:rsid w:val="001A2D64"/>
    <w:rsid w:val="001A42EB"/>
    <w:rsid w:val="001A5D39"/>
    <w:rsid w:val="001A6919"/>
    <w:rsid w:val="001A6C5C"/>
    <w:rsid w:val="001A6F37"/>
    <w:rsid w:val="001A6FD3"/>
    <w:rsid w:val="001B0648"/>
    <w:rsid w:val="001B097C"/>
    <w:rsid w:val="001B231B"/>
    <w:rsid w:val="001B37C3"/>
    <w:rsid w:val="001B4472"/>
    <w:rsid w:val="001B5406"/>
    <w:rsid w:val="001B555C"/>
    <w:rsid w:val="001B5CEF"/>
    <w:rsid w:val="001B6A4B"/>
    <w:rsid w:val="001B6BFD"/>
    <w:rsid w:val="001B74A9"/>
    <w:rsid w:val="001B771C"/>
    <w:rsid w:val="001B7D23"/>
    <w:rsid w:val="001B7E25"/>
    <w:rsid w:val="001C02B6"/>
    <w:rsid w:val="001C0B2C"/>
    <w:rsid w:val="001C0F29"/>
    <w:rsid w:val="001C10A4"/>
    <w:rsid w:val="001C1625"/>
    <w:rsid w:val="001C2862"/>
    <w:rsid w:val="001C3103"/>
    <w:rsid w:val="001C4B4E"/>
    <w:rsid w:val="001C4D01"/>
    <w:rsid w:val="001C6B9E"/>
    <w:rsid w:val="001C71C5"/>
    <w:rsid w:val="001D0145"/>
    <w:rsid w:val="001D068A"/>
    <w:rsid w:val="001D103F"/>
    <w:rsid w:val="001D1AA1"/>
    <w:rsid w:val="001D2B23"/>
    <w:rsid w:val="001D2B83"/>
    <w:rsid w:val="001D376A"/>
    <w:rsid w:val="001D37F5"/>
    <w:rsid w:val="001D4F45"/>
    <w:rsid w:val="001D4FED"/>
    <w:rsid w:val="001D601D"/>
    <w:rsid w:val="001D6115"/>
    <w:rsid w:val="001D65A0"/>
    <w:rsid w:val="001E08A0"/>
    <w:rsid w:val="001E0CB2"/>
    <w:rsid w:val="001E1227"/>
    <w:rsid w:val="001E12F7"/>
    <w:rsid w:val="001E167A"/>
    <w:rsid w:val="001E37AB"/>
    <w:rsid w:val="001E39EA"/>
    <w:rsid w:val="001E3ECF"/>
    <w:rsid w:val="001E4396"/>
    <w:rsid w:val="001E47B8"/>
    <w:rsid w:val="001E4AFF"/>
    <w:rsid w:val="001E4B9A"/>
    <w:rsid w:val="001E4BF3"/>
    <w:rsid w:val="001E5E51"/>
    <w:rsid w:val="001E7241"/>
    <w:rsid w:val="001E7C50"/>
    <w:rsid w:val="001F0331"/>
    <w:rsid w:val="001F0B6A"/>
    <w:rsid w:val="001F1A35"/>
    <w:rsid w:val="001F3119"/>
    <w:rsid w:val="001F356B"/>
    <w:rsid w:val="001F424C"/>
    <w:rsid w:val="001F4638"/>
    <w:rsid w:val="001F4A44"/>
    <w:rsid w:val="001F7E5D"/>
    <w:rsid w:val="001F7FFD"/>
    <w:rsid w:val="002007D8"/>
    <w:rsid w:val="00200EE7"/>
    <w:rsid w:val="002015B9"/>
    <w:rsid w:val="0020286F"/>
    <w:rsid w:val="00202B74"/>
    <w:rsid w:val="002046C0"/>
    <w:rsid w:val="002054C3"/>
    <w:rsid w:val="00205868"/>
    <w:rsid w:val="00205894"/>
    <w:rsid w:val="00205D81"/>
    <w:rsid w:val="00207CE7"/>
    <w:rsid w:val="0021003B"/>
    <w:rsid w:val="00210055"/>
    <w:rsid w:val="00210A15"/>
    <w:rsid w:val="00211198"/>
    <w:rsid w:val="00211A2D"/>
    <w:rsid w:val="0021202C"/>
    <w:rsid w:val="00212408"/>
    <w:rsid w:val="002124C1"/>
    <w:rsid w:val="00212636"/>
    <w:rsid w:val="00215E5D"/>
    <w:rsid w:val="00215ED6"/>
    <w:rsid w:val="00216B41"/>
    <w:rsid w:val="00216E53"/>
    <w:rsid w:val="00222EEE"/>
    <w:rsid w:val="00223625"/>
    <w:rsid w:val="0022412D"/>
    <w:rsid w:val="00224A6A"/>
    <w:rsid w:val="00225762"/>
    <w:rsid w:val="002263D6"/>
    <w:rsid w:val="002278FD"/>
    <w:rsid w:val="002305CB"/>
    <w:rsid w:val="00230FA6"/>
    <w:rsid w:val="00231474"/>
    <w:rsid w:val="00231F30"/>
    <w:rsid w:val="002323CE"/>
    <w:rsid w:val="002328B0"/>
    <w:rsid w:val="00232B54"/>
    <w:rsid w:val="00232FE0"/>
    <w:rsid w:val="00233D14"/>
    <w:rsid w:val="00233DB0"/>
    <w:rsid w:val="00233DF9"/>
    <w:rsid w:val="00233E4B"/>
    <w:rsid w:val="0023400A"/>
    <w:rsid w:val="002344CF"/>
    <w:rsid w:val="00234508"/>
    <w:rsid w:val="0023522F"/>
    <w:rsid w:val="002354FB"/>
    <w:rsid w:val="002359D1"/>
    <w:rsid w:val="00236050"/>
    <w:rsid w:val="002366F0"/>
    <w:rsid w:val="00240227"/>
    <w:rsid w:val="00240757"/>
    <w:rsid w:val="00240E5B"/>
    <w:rsid w:val="002412BE"/>
    <w:rsid w:val="00241B54"/>
    <w:rsid w:val="002423E4"/>
    <w:rsid w:val="00243D4B"/>
    <w:rsid w:val="0024423A"/>
    <w:rsid w:val="00245143"/>
    <w:rsid w:val="002453CD"/>
    <w:rsid w:val="00247831"/>
    <w:rsid w:val="00247832"/>
    <w:rsid w:val="00247B0F"/>
    <w:rsid w:val="00250621"/>
    <w:rsid w:val="0025066C"/>
    <w:rsid w:val="00250713"/>
    <w:rsid w:val="0025226A"/>
    <w:rsid w:val="00253642"/>
    <w:rsid w:val="0025370D"/>
    <w:rsid w:val="00253E26"/>
    <w:rsid w:val="00253EE9"/>
    <w:rsid w:val="00253FB7"/>
    <w:rsid w:val="00254270"/>
    <w:rsid w:val="002542D8"/>
    <w:rsid w:val="002550E1"/>
    <w:rsid w:val="00255CC0"/>
    <w:rsid w:val="00256E14"/>
    <w:rsid w:val="00257ABA"/>
    <w:rsid w:val="00257DA4"/>
    <w:rsid w:val="0026014C"/>
    <w:rsid w:val="00260D85"/>
    <w:rsid w:val="00261D71"/>
    <w:rsid w:val="00261EE8"/>
    <w:rsid w:val="0026203A"/>
    <w:rsid w:val="00262BB1"/>
    <w:rsid w:val="00262D13"/>
    <w:rsid w:val="00263B69"/>
    <w:rsid w:val="002643D9"/>
    <w:rsid w:val="002664B5"/>
    <w:rsid w:val="002672F0"/>
    <w:rsid w:val="002700B9"/>
    <w:rsid w:val="00271ED7"/>
    <w:rsid w:val="002722A6"/>
    <w:rsid w:val="002728AF"/>
    <w:rsid w:val="0027295B"/>
    <w:rsid w:val="00273432"/>
    <w:rsid w:val="0027389D"/>
    <w:rsid w:val="00275133"/>
    <w:rsid w:val="002756A8"/>
    <w:rsid w:val="00275B67"/>
    <w:rsid w:val="0027648F"/>
    <w:rsid w:val="0027670C"/>
    <w:rsid w:val="00276C0E"/>
    <w:rsid w:val="00277892"/>
    <w:rsid w:val="00280015"/>
    <w:rsid w:val="002805AE"/>
    <w:rsid w:val="00280A74"/>
    <w:rsid w:val="00281550"/>
    <w:rsid w:val="00281983"/>
    <w:rsid w:val="002827BA"/>
    <w:rsid w:val="00282C84"/>
    <w:rsid w:val="00282E8F"/>
    <w:rsid w:val="00284308"/>
    <w:rsid w:val="00284808"/>
    <w:rsid w:val="00284893"/>
    <w:rsid w:val="00285A07"/>
    <w:rsid w:val="002868A1"/>
    <w:rsid w:val="00287C2A"/>
    <w:rsid w:val="0029035B"/>
    <w:rsid w:val="00291178"/>
    <w:rsid w:val="00291B40"/>
    <w:rsid w:val="002926A0"/>
    <w:rsid w:val="00292D21"/>
    <w:rsid w:val="00293139"/>
    <w:rsid w:val="002931C4"/>
    <w:rsid w:val="002943A4"/>
    <w:rsid w:val="002945C6"/>
    <w:rsid w:val="002948E6"/>
    <w:rsid w:val="002951BE"/>
    <w:rsid w:val="0029796B"/>
    <w:rsid w:val="002A05AC"/>
    <w:rsid w:val="002A0E92"/>
    <w:rsid w:val="002A11CB"/>
    <w:rsid w:val="002A2328"/>
    <w:rsid w:val="002A298A"/>
    <w:rsid w:val="002A2B37"/>
    <w:rsid w:val="002A3048"/>
    <w:rsid w:val="002A30E4"/>
    <w:rsid w:val="002A3DFE"/>
    <w:rsid w:val="002A4B10"/>
    <w:rsid w:val="002A59A1"/>
    <w:rsid w:val="002A6240"/>
    <w:rsid w:val="002A69AF"/>
    <w:rsid w:val="002B047E"/>
    <w:rsid w:val="002B04AE"/>
    <w:rsid w:val="002B0CEA"/>
    <w:rsid w:val="002B1B4A"/>
    <w:rsid w:val="002B3184"/>
    <w:rsid w:val="002B4B97"/>
    <w:rsid w:val="002B52BF"/>
    <w:rsid w:val="002B68C4"/>
    <w:rsid w:val="002B6CD5"/>
    <w:rsid w:val="002C1077"/>
    <w:rsid w:val="002C19AC"/>
    <w:rsid w:val="002C2135"/>
    <w:rsid w:val="002C2B96"/>
    <w:rsid w:val="002C4728"/>
    <w:rsid w:val="002C6220"/>
    <w:rsid w:val="002C7186"/>
    <w:rsid w:val="002C7342"/>
    <w:rsid w:val="002D02B1"/>
    <w:rsid w:val="002D0D02"/>
    <w:rsid w:val="002D26C2"/>
    <w:rsid w:val="002D279B"/>
    <w:rsid w:val="002D38A2"/>
    <w:rsid w:val="002D4DA2"/>
    <w:rsid w:val="002D7C63"/>
    <w:rsid w:val="002E070D"/>
    <w:rsid w:val="002E1BDD"/>
    <w:rsid w:val="002E2E8D"/>
    <w:rsid w:val="002E36DD"/>
    <w:rsid w:val="002E5BF7"/>
    <w:rsid w:val="002E7F9A"/>
    <w:rsid w:val="002F179F"/>
    <w:rsid w:val="002F2143"/>
    <w:rsid w:val="002F29E4"/>
    <w:rsid w:val="002F4297"/>
    <w:rsid w:val="002F43ED"/>
    <w:rsid w:val="002F440A"/>
    <w:rsid w:val="002F5374"/>
    <w:rsid w:val="002F6464"/>
    <w:rsid w:val="002F77E1"/>
    <w:rsid w:val="002F7C05"/>
    <w:rsid w:val="0030067A"/>
    <w:rsid w:val="003010E9"/>
    <w:rsid w:val="003024CC"/>
    <w:rsid w:val="00302C8C"/>
    <w:rsid w:val="003032D4"/>
    <w:rsid w:val="003035A9"/>
    <w:rsid w:val="00303B15"/>
    <w:rsid w:val="00305057"/>
    <w:rsid w:val="00305D67"/>
    <w:rsid w:val="00307AF9"/>
    <w:rsid w:val="003112D5"/>
    <w:rsid w:val="0031210E"/>
    <w:rsid w:val="00312391"/>
    <w:rsid w:val="00312C8A"/>
    <w:rsid w:val="00313572"/>
    <w:rsid w:val="00313993"/>
    <w:rsid w:val="00313B1E"/>
    <w:rsid w:val="0031479F"/>
    <w:rsid w:val="00314833"/>
    <w:rsid w:val="00314907"/>
    <w:rsid w:val="003149BD"/>
    <w:rsid w:val="00314FA9"/>
    <w:rsid w:val="00315443"/>
    <w:rsid w:val="0031596C"/>
    <w:rsid w:val="003161FC"/>
    <w:rsid w:val="0031689D"/>
    <w:rsid w:val="00316CCD"/>
    <w:rsid w:val="00317256"/>
    <w:rsid w:val="00317DF2"/>
    <w:rsid w:val="00317E04"/>
    <w:rsid w:val="00320042"/>
    <w:rsid w:val="003202E9"/>
    <w:rsid w:val="00322514"/>
    <w:rsid w:val="00322AC1"/>
    <w:rsid w:val="00324033"/>
    <w:rsid w:val="003240C7"/>
    <w:rsid w:val="00324231"/>
    <w:rsid w:val="00325F64"/>
    <w:rsid w:val="003262FB"/>
    <w:rsid w:val="00326463"/>
    <w:rsid w:val="00326710"/>
    <w:rsid w:val="00326E96"/>
    <w:rsid w:val="00326FFE"/>
    <w:rsid w:val="003307C2"/>
    <w:rsid w:val="00330819"/>
    <w:rsid w:val="00330FA9"/>
    <w:rsid w:val="003314A2"/>
    <w:rsid w:val="003317DE"/>
    <w:rsid w:val="003317FF"/>
    <w:rsid w:val="00332289"/>
    <w:rsid w:val="00332D8F"/>
    <w:rsid w:val="003346E2"/>
    <w:rsid w:val="0033503B"/>
    <w:rsid w:val="003359A9"/>
    <w:rsid w:val="003361F4"/>
    <w:rsid w:val="00336740"/>
    <w:rsid w:val="00336A93"/>
    <w:rsid w:val="003379F6"/>
    <w:rsid w:val="00340684"/>
    <w:rsid w:val="00341146"/>
    <w:rsid w:val="003413E0"/>
    <w:rsid w:val="00341AF9"/>
    <w:rsid w:val="00343BB4"/>
    <w:rsid w:val="003449B2"/>
    <w:rsid w:val="00345678"/>
    <w:rsid w:val="003461D7"/>
    <w:rsid w:val="003467DC"/>
    <w:rsid w:val="003467E8"/>
    <w:rsid w:val="00346EAC"/>
    <w:rsid w:val="003470E0"/>
    <w:rsid w:val="003504DC"/>
    <w:rsid w:val="0035141D"/>
    <w:rsid w:val="00351421"/>
    <w:rsid w:val="00351AB4"/>
    <w:rsid w:val="0035251F"/>
    <w:rsid w:val="00353201"/>
    <w:rsid w:val="00353DEE"/>
    <w:rsid w:val="00354130"/>
    <w:rsid w:val="003554D5"/>
    <w:rsid w:val="00360A1F"/>
    <w:rsid w:val="003619FE"/>
    <w:rsid w:val="00361DA4"/>
    <w:rsid w:val="00361E08"/>
    <w:rsid w:val="00362A93"/>
    <w:rsid w:val="0036493A"/>
    <w:rsid w:val="00365334"/>
    <w:rsid w:val="0036540B"/>
    <w:rsid w:val="00365705"/>
    <w:rsid w:val="00365AF2"/>
    <w:rsid w:val="00366DCC"/>
    <w:rsid w:val="00367C05"/>
    <w:rsid w:val="00370CDD"/>
    <w:rsid w:val="00372508"/>
    <w:rsid w:val="00372635"/>
    <w:rsid w:val="003733E1"/>
    <w:rsid w:val="00373F49"/>
    <w:rsid w:val="0037436B"/>
    <w:rsid w:val="00374634"/>
    <w:rsid w:val="0037497B"/>
    <w:rsid w:val="00375B69"/>
    <w:rsid w:val="00376621"/>
    <w:rsid w:val="00376D45"/>
    <w:rsid w:val="00376DF5"/>
    <w:rsid w:val="0037750C"/>
    <w:rsid w:val="003779D1"/>
    <w:rsid w:val="00377BF6"/>
    <w:rsid w:val="003800D7"/>
    <w:rsid w:val="00381E7B"/>
    <w:rsid w:val="003822EB"/>
    <w:rsid w:val="00382AD3"/>
    <w:rsid w:val="00382BEE"/>
    <w:rsid w:val="00383300"/>
    <w:rsid w:val="00383EAA"/>
    <w:rsid w:val="003857FE"/>
    <w:rsid w:val="0038605C"/>
    <w:rsid w:val="00386AA3"/>
    <w:rsid w:val="003871FE"/>
    <w:rsid w:val="003875D7"/>
    <w:rsid w:val="00390525"/>
    <w:rsid w:val="00392A4D"/>
    <w:rsid w:val="0039321A"/>
    <w:rsid w:val="00393272"/>
    <w:rsid w:val="00393490"/>
    <w:rsid w:val="003937C1"/>
    <w:rsid w:val="00393BAB"/>
    <w:rsid w:val="003942A7"/>
    <w:rsid w:val="003945B7"/>
    <w:rsid w:val="0039518E"/>
    <w:rsid w:val="0039545F"/>
    <w:rsid w:val="0039551F"/>
    <w:rsid w:val="0039560B"/>
    <w:rsid w:val="00395C83"/>
    <w:rsid w:val="00395EDE"/>
    <w:rsid w:val="00396556"/>
    <w:rsid w:val="003976AC"/>
    <w:rsid w:val="003979C7"/>
    <w:rsid w:val="003A118A"/>
    <w:rsid w:val="003A1EF6"/>
    <w:rsid w:val="003A319C"/>
    <w:rsid w:val="003A43AA"/>
    <w:rsid w:val="003A5778"/>
    <w:rsid w:val="003A5AE0"/>
    <w:rsid w:val="003A5D89"/>
    <w:rsid w:val="003A7540"/>
    <w:rsid w:val="003A79BC"/>
    <w:rsid w:val="003A7B0F"/>
    <w:rsid w:val="003B0A4E"/>
    <w:rsid w:val="003B0BFE"/>
    <w:rsid w:val="003B0D3C"/>
    <w:rsid w:val="003B1798"/>
    <w:rsid w:val="003B18BF"/>
    <w:rsid w:val="003B2677"/>
    <w:rsid w:val="003B294C"/>
    <w:rsid w:val="003B3270"/>
    <w:rsid w:val="003B32BD"/>
    <w:rsid w:val="003B3359"/>
    <w:rsid w:val="003B3484"/>
    <w:rsid w:val="003B3518"/>
    <w:rsid w:val="003B36CF"/>
    <w:rsid w:val="003B414D"/>
    <w:rsid w:val="003B467D"/>
    <w:rsid w:val="003B5F02"/>
    <w:rsid w:val="003B69A2"/>
    <w:rsid w:val="003B6B4E"/>
    <w:rsid w:val="003B7504"/>
    <w:rsid w:val="003B793D"/>
    <w:rsid w:val="003C14D9"/>
    <w:rsid w:val="003C154B"/>
    <w:rsid w:val="003C1564"/>
    <w:rsid w:val="003C1A4F"/>
    <w:rsid w:val="003C1D71"/>
    <w:rsid w:val="003C2A79"/>
    <w:rsid w:val="003C2CB6"/>
    <w:rsid w:val="003C2DD4"/>
    <w:rsid w:val="003C36D3"/>
    <w:rsid w:val="003C38CE"/>
    <w:rsid w:val="003C3D06"/>
    <w:rsid w:val="003C50F9"/>
    <w:rsid w:val="003C5C20"/>
    <w:rsid w:val="003C62A6"/>
    <w:rsid w:val="003C68B0"/>
    <w:rsid w:val="003D0203"/>
    <w:rsid w:val="003D0B3A"/>
    <w:rsid w:val="003D0C9C"/>
    <w:rsid w:val="003D0EA5"/>
    <w:rsid w:val="003D1644"/>
    <w:rsid w:val="003D171C"/>
    <w:rsid w:val="003D1A2C"/>
    <w:rsid w:val="003D1DDD"/>
    <w:rsid w:val="003D2A05"/>
    <w:rsid w:val="003D2FCA"/>
    <w:rsid w:val="003D36BD"/>
    <w:rsid w:val="003D3DDE"/>
    <w:rsid w:val="003D456B"/>
    <w:rsid w:val="003D485B"/>
    <w:rsid w:val="003D4BA6"/>
    <w:rsid w:val="003D5762"/>
    <w:rsid w:val="003D59EB"/>
    <w:rsid w:val="003D5D56"/>
    <w:rsid w:val="003D5F21"/>
    <w:rsid w:val="003D6294"/>
    <w:rsid w:val="003E0464"/>
    <w:rsid w:val="003E0736"/>
    <w:rsid w:val="003E08E0"/>
    <w:rsid w:val="003E1822"/>
    <w:rsid w:val="003E27F1"/>
    <w:rsid w:val="003E2F05"/>
    <w:rsid w:val="003E30C1"/>
    <w:rsid w:val="003E35AB"/>
    <w:rsid w:val="003E4CC6"/>
    <w:rsid w:val="003E5179"/>
    <w:rsid w:val="003E543F"/>
    <w:rsid w:val="003E5860"/>
    <w:rsid w:val="003E5A1C"/>
    <w:rsid w:val="003E64DE"/>
    <w:rsid w:val="003E69EF"/>
    <w:rsid w:val="003E7695"/>
    <w:rsid w:val="003E7DFD"/>
    <w:rsid w:val="003F0C9B"/>
    <w:rsid w:val="003F21DE"/>
    <w:rsid w:val="003F285D"/>
    <w:rsid w:val="003F2CF4"/>
    <w:rsid w:val="003F2D95"/>
    <w:rsid w:val="003F3380"/>
    <w:rsid w:val="003F3565"/>
    <w:rsid w:val="003F3B63"/>
    <w:rsid w:val="003F3E0C"/>
    <w:rsid w:val="003F3E1D"/>
    <w:rsid w:val="003F4071"/>
    <w:rsid w:val="003F6358"/>
    <w:rsid w:val="00400B0D"/>
    <w:rsid w:val="004025E6"/>
    <w:rsid w:val="00403345"/>
    <w:rsid w:val="004043AC"/>
    <w:rsid w:val="00404FFC"/>
    <w:rsid w:val="004050E0"/>
    <w:rsid w:val="0041097F"/>
    <w:rsid w:val="00410E98"/>
    <w:rsid w:val="004115F0"/>
    <w:rsid w:val="004142E9"/>
    <w:rsid w:val="00415060"/>
    <w:rsid w:val="00415A28"/>
    <w:rsid w:val="004166B5"/>
    <w:rsid w:val="0041789F"/>
    <w:rsid w:val="004178D3"/>
    <w:rsid w:val="00417B4A"/>
    <w:rsid w:val="00417FC8"/>
    <w:rsid w:val="0042020B"/>
    <w:rsid w:val="00420421"/>
    <w:rsid w:val="00420FC0"/>
    <w:rsid w:val="00423172"/>
    <w:rsid w:val="0042386C"/>
    <w:rsid w:val="00423BA7"/>
    <w:rsid w:val="00423EE3"/>
    <w:rsid w:val="004243E7"/>
    <w:rsid w:val="00424C7E"/>
    <w:rsid w:val="004252B1"/>
    <w:rsid w:val="004252E3"/>
    <w:rsid w:val="00425583"/>
    <w:rsid w:val="00425618"/>
    <w:rsid w:val="004263F9"/>
    <w:rsid w:val="00427C78"/>
    <w:rsid w:val="0043023F"/>
    <w:rsid w:val="004303F6"/>
    <w:rsid w:val="00430DAA"/>
    <w:rsid w:val="004314DC"/>
    <w:rsid w:val="00431A39"/>
    <w:rsid w:val="00431DB1"/>
    <w:rsid w:val="00431EC7"/>
    <w:rsid w:val="00432539"/>
    <w:rsid w:val="00433D3A"/>
    <w:rsid w:val="00433FB4"/>
    <w:rsid w:val="00434657"/>
    <w:rsid w:val="004347F0"/>
    <w:rsid w:val="00434867"/>
    <w:rsid w:val="00434954"/>
    <w:rsid w:val="00435970"/>
    <w:rsid w:val="00435AA5"/>
    <w:rsid w:val="00436A62"/>
    <w:rsid w:val="0043745A"/>
    <w:rsid w:val="0043765C"/>
    <w:rsid w:val="0044153F"/>
    <w:rsid w:val="00441ED6"/>
    <w:rsid w:val="00443086"/>
    <w:rsid w:val="0044321D"/>
    <w:rsid w:val="00443320"/>
    <w:rsid w:val="004456CB"/>
    <w:rsid w:val="00445ACC"/>
    <w:rsid w:val="00446843"/>
    <w:rsid w:val="0044692D"/>
    <w:rsid w:val="00446AE3"/>
    <w:rsid w:val="004504EA"/>
    <w:rsid w:val="00450A9E"/>
    <w:rsid w:val="00452432"/>
    <w:rsid w:val="00452E5F"/>
    <w:rsid w:val="00454812"/>
    <w:rsid w:val="004557ED"/>
    <w:rsid w:val="00455840"/>
    <w:rsid w:val="00456AE1"/>
    <w:rsid w:val="00457BD5"/>
    <w:rsid w:val="004619EF"/>
    <w:rsid w:val="00461DB2"/>
    <w:rsid w:val="00461E5B"/>
    <w:rsid w:val="00461EAD"/>
    <w:rsid w:val="00462142"/>
    <w:rsid w:val="00462F4C"/>
    <w:rsid w:val="00462FDD"/>
    <w:rsid w:val="004637D3"/>
    <w:rsid w:val="00463905"/>
    <w:rsid w:val="00463F59"/>
    <w:rsid w:val="0046528A"/>
    <w:rsid w:val="004663F4"/>
    <w:rsid w:val="00466A47"/>
    <w:rsid w:val="00467DE7"/>
    <w:rsid w:val="00470364"/>
    <w:rsid w:val="00470758"/>
    <w:rsid w:val="00471739"/>
    <w:rsid w:val="00472AD8"/>
    <w:rsid w:val="00472B31"/>
    <w:rsid w:val="00472D4C"/>
    <w:rsid w:val="0047349C"/>
    <w:rsid w:val="004735E6"/>
    <w:rsid w:val="00473BB1"/>
    <w:rsid w:val="00475435"/>
    <w:rsid w:val="00475ED5"/>
    <w:rsid w:val="00476190"/>
    <w:rsid w:val="00476BA0"/>
    <w:rsid w:val="00476FB8"/>
    <w:rsid w:val="004771E8"/>
    <w:rsid w:val="004814E9"/>
    <w:rsid w:val="0048155D"/>
    <w:rsid w:val="00481CC2"/>
    <w:rsid w:val="0048332C"/>
    <w:rsid w:val="00483A8F"/>
    <w:rsid w:val="00483D18"/>
    <w:rsid w:val="004843C8"/>
    <w:rsid w:val="004847F4"/>
    <w:rsid w:val="00484963"/>
    <w:rsid w:val="00484A92"/>
    <w:rsid w:val="00485CC3"/>
    <w:rsid w:val="00485D6D"/>
    <w:rsid w:val="00485FBF"/>
    <w:rsid w:val="0048626B"/>
    <w:rsid w:val="004879D7"/>
    <w:rsid w:val="004879FC"/>
    <w:rsid w:val="0049040B"/>
    <w:rsid w:val="004920AD"/>
    <w:rsid w:val="00492A2F"/>
    <w:rsid w:val="00493104"/>
    <w:rsid w:val="00494FBD"/>
    <w:rsid w:val="004A0315"/>
    <w:rsid w:val="004A0433"/>
    <w:rsid w:val="004A0F37"/>
    <w:rsid w:val="004A1761"/>
    <w:rsid w:val="004A19F0"/>
    <w:rsid w:val="004A1ABC"/>
    <w:rsid w:val="004A2CE2"/>
    <w:rsid w:val="004A2EED"/>
    <w:rsid w:val="004A375B"/>
    <w:rsid w:val="004A3DA8"/>
    <w:rsid w:val="004A45B0"/>
    <w:rsid w:val="004A4BD1"/>
    <w:rsid w:val="004A7B91"/>
    <w:rsid w:val="004B00BE"/>
    <w:rsid w:val="004B07DA"/>
    <w:rsid w:val="004B0AC6"/>
    <w:rsid w:val="004B0F57"/>
    <w:rsid w:val="004B12BA"/>
    <w:rsid w:val="004B1586"/>
    <w:rsid w:val="004B1BEA"/>
    <w:rsid w:val="004B1E65"/>
    <w:rsid w:val="004B25B7"/>
    <w:rsid w:val="004B26FA"/>
    <w:rsid w:val="004B3699"/>
    <w:rsid w:val="004B3AD8"/>
    <w:rsid w:val="004B47AB"/>
    <w:rsid w:val="004B4FA2"/>
    <w:rsid w:val="004B4FBA"/>
    <w:rsid w:val="004B5248"/>
    <w:rsid w:val="004B5A28"/>
    <w:rsid w:val="004B5DEE"/>
    <w:rsid w:val="004B5E7B"/>
    <w:rsid w:val="004B6E95"/>
    <w:rsid w:val="004C0072"/>
    <w:rsid w:val="004C02A9"/>
    <w:rsid w:val="004C0A81"/>
    <w:rsid w:val="004C115E"/>
    <w:rsid w:val="004C1242"/>
    <w:rsid w:val="004C1A30"/>
    <w:rsid w:val="004C340C"/>
    <w:rsid w:val="004C340D"/>
    <w:rsid w:val="004C3668"/>
    <w:rsid w:val="004C3790"/>
    <w:rsid w:val="004C3838"/>
    <w:rsid w:val="004C6697"/>
    <w:rsid w:val="004C6980"/>
    <w:rsid w:val="004C6CD6"/>
    <w:rsid w:val="004D0648"/>
    <w:rsid w:val="004D0AA1"/>
    <w:rsid w:val="004D1531"/>
    <w:rsid w:val="004D1A51"/>
    <w:rsid w:val="004D1F6E"/>
    <w:rsid w:val="004D231A"/>
    <w:rsid w:val="004D2EAB"/>
    <w:rsid w:val="004D36F9"/>
    <w:rsid w:val="004D3D46"/>
    <w:rsid w:val="004D44D3"/>
    <w:rsid w:val="004D478F"/>
    <w:rsid w:val="004D483B"/>
    <w:rsid w:val="004D568A"/>
    <w:rsid w:val="004D5760"/>
    <w:rsid w:val="004D6551"/>
    <w:rsid w:val="004D6784"/>
    <w:rsid w:val="004D6801"/>
    <w:rsid w:val="004D6C69"/>
    <w:rsid w:val="004D72C5"/>
    <w:rsid w:val="004D7D2B"/>
    <w:rsid w:val="004E0AAD"/>
    <w:rsid w:val="004E17B8"/>
    <w:rsid w:val="004E1E90"/>
    <w:rsid w:val="004E30BD"/>
    <w:rsid w:val="004E420C"/>
    <w:rsid w:val="004E445E"/>
    <w:rsid w:val="004E45CC"/>
    <w:rsid w:val="004E4E90"/>
    <w:rsid w:val="004E5EDE"/>
    <w:rsid w:val="004E68AE"/>
    <w:rsid w:val="004E6FB2"/>
    <w:rsid w:val="004E73D9"/>
    <w:rsid w:val="004F0374"/>
    <w:rsid w:val="004F1770"/>
    <w:rsid w:val="004F3E80"/>
    <w:rsid w:val="004F460B"/>
    <w:rsid w:val="004F4EDA"/>
    <w:rsid w:val="004F5544"/>
    <w:rsid w:val="004F5C36"/>
    <w:rsid w:val="004F6EE2"/>
    <w:rsid w:val="004F7940"/>
    <w:rsid w:val="00500623"/>
    <w:rsid w:val="0050104A"/>
    <w:rsid w:val="005016B2"/>
    <w:rsid w:val="00501CB8"/>
    <w:rsid w:val="00501DF3"/>
    <w:rsid w:val="0050551C"/>
    <w:rsid w:val="00506428"/>
    <w:rsid w:val="00506937"/>
    <w:rsid w:val="00507110"/>
    <w:rsid w:val="00507649"/>
    <w:rsid w:val="00510CB7"/>
    <w:rsid w:val="00511412"/>
    <w:rsid w:val="00513A69"/>
    <w:rsid w:val="0051480F"/>
    <w:rsid w:val="00514D10"/>
    <w:rsid w:val="0051515D"/>
    <w:rsid w:val="0051527A"/>
    <w:rsid w:val="00515593"/>
    <w:rsid w:val="00516114"/>
    <w:rsid w:val="00516339"/>
    <w:rsid w:val="00517A6A"/>
    <w:rsid w:val="00517CFC"/>
    <w:rsid w:val="00517D09"/>
    <w:rsid w:val="00520C26"/>
    <w:rsid w:val="00520C75"/>
    <w:rsid w:val="00520D08"/>
    <w:rsid w:val="005232A3"/>
    <w:rsid w:val="005245A5"/>
    <w:rsid w:val="00524C1D"/>
    <w:rsid w:val="0052609E"/>
    <w:rsid w:val="005279B3"/>
    <w:rsid w:val="0053007C"/>
    <w:rsid w:val="005300D6"/>
    <w:rsid w:val="005316E7"/>
    <w:rsid w:val="00532577"/>
    <w:rsid w:val="005325B6"/>
    <w:rsid w:val="00532C1C"/>
    <w:rsid w:val="005338DF"/>
    <w:rsid w:val="00533976"/>
    <w:rsid w:val="00533B71"/>
    <w:rsid w:val="00533BE0"/>
    <w:rsid w:val="0053424E"/>
    <w:rsid w:val="005349F3"/>
    <w:rsid w:val="00534AE6"/>
    <w:rsid w:val="0053541C"/>
    <w:rsid w:val="005354B9"/>
    <w:rsid w:val="005354F2"/>
    <w:rsid w:val="00535615"/>
    <w:rsid w:val="00536016"/>
    <w:rsid w:val="005364DD"/>
    <w:rsid w:val="00536628"/>
    <w:rsid w:val="0053754C"/>
    <w:rsid w:val="00537C7F"/>
    <w:rsid w:val="00540ED5"/>
    <w:rsid w:val="005413C8"/>
    <w:rsid w:val="00542F82"/>
    <w:rsid w:val="005446A4"/>
    <w:rsid w:val="00545D99"/>
    <w:rsid w:val="00546A1F"/>
    <w:rsid w:val="00546B53"/>
    <w:rsid w:val="00546EA5"/>
    <w:rsid w:val="005473ED"/>
    <w:rsid w:val="00547BF2"/>
    <w:rsid w:val="00547EFF"/>
    <w:rsid w:val="0055155A"/>
    <w:rsid w:val="00551A1D"/>
    <w:rsid w:val="00551BA5"/>
    <w:rsid w:val="005524D3"/>
    <w:rsid w:val="005527E2"/>
    <w:rsid w:val="005531E6"/>
    <w:rsid w:val="00553399"/>
    <w:rsid w:val="0055339F"/>
    <w:rsid w:val="005535AE"/>
    <w:rsid w:val="005536DD"/>
    <w:rsid w:val="00553757"/>
    <w:rsid w:val="00553F1B"/>
    <w:rsid w:val="00554926"/>
    <w:rsid w:val="0055553D"/>
    <w:rsid w:val="00555E6E"/>
    <w:rsid w:val="00556A20"/>
    <w:rsid w:val="00556A91"/>
    <w:rsid w:val="00560219"/>
    <w:rsid w:val="00560673"/>
    <w:rsid w:val="00560DC5"/>
    <w:rsid w:val="00561876"/>
    <w:rsid w:val="005625B6"/>
    <w:rsid w:val="0056300D"/>
    <w:rsid w:val="0056339F"/>
    <w:rsid w:val="00564127"/>
    <w:rsid w:val="005647A9"/>
    <w:rsid w:val="0056496A"/>
    <w:rsid w:val="005659DE"/>
    <w:rsid w:val="00565ED5"/>
    <w:rsid w:val="005665DB"/>
    <w:rsid w:val="00566905"/>
    <w:rsid w:val="005670F4"/>
    <w:rsid w:val="005701DB"/>
    <w:rsid w:val="00570872"/>
    <w:rsid w:val="00570FE6"/>
    <w:rsid w:val="005710FF"/>
    <w:rsid w:val="00573399"/>
    <w:rsid w:val="00573BC3"/>
    <w:rsid w:val="00573DDC"/>
    <w:rsid w:val="005744DE"/>
    <w:rsid w:val="005749BB"/>
    <w:rsid w:val="00575BDA"/>
    <w:rsid w:val="00576D0A"/>
    <w:rsid w:val="00577977"/>
    <w:rsid w:val="00580333"/>
    <w:rsid w:val="0058098D"/>
    <w:rsid w:val="00580E7A"/>
    <w:rsid w:val="00581B26"/>
    <w:rsid w:val="005823AE"/>
    <w:rsid w:val="005824FB"/>
    <w:rsid w:val="005824FE"/>
    <w:rsid w:val="00584626"/>
    <w:rsid w:val="00584D63"/>
    <w:rsid w:val="005850F1"/>
    <w:rsid w:val="005855DA"/>
    <w:rsid w:val="005858E9"/>
    <w:rsid w:val="00587278"/>
    <w:rsid w:val="005876E0"/>
    <w:rsid w:val="005911C9"/>
    <w:rsid w:val="00591A62"/>
    <w:rsid w:val="00591DA6"/>
    <w:rsid w:val="005921A0"/>
    <w:rsid w:val="0059257A"/>
    <w:rsid w:val="00592637"/>
    <w:rsid w:val="00594D61"/>
    <w:rsid w:val="005950D4"/>
    <w:rsid w:val="00595322"/>
    <w:rsid w:val="005962DD"/>
    <w:rsid w:val="00596369"/>
    <w:rsid w:val="005967CB"/>
    <w:rsid w:val="0059795A"/>
    <w:rsid w:val="005A16AD"/>
    <w:rsid w:val="005A1C2D"/>
    <w:rsid w:val="005A44E1"/>
    <w:rsid w:val="005A47E8"/>
    <w:rsid w:val="005A4AA0"/>
    <w:rsid w:val="005A4E71"/>
    <w:rsid w:val="005A51D8"/>
    <w:rsid w:val="005A529D"/>
    <w:rsid w:val="005A56A7"/>
    <w:rsid w:val="005A5E53"/>
    <w:rsid w:val="005A76F7"/>
    <w:rsid w:val="005A7A54"/>
    <w:rsid w:val="005B1F3C"/>
    <w:rsid w:val="005B2C1A"/>
    <w:rsid w:val="005B3574"/>
    <w:rsid w:val="005B4180"/>
    <w:rsid w:val="005B44FC"/>
    <w:rsid w:val="005B47CB"/>
    <w:rsid w:val="005B4DEA"/>
    <w:rsid w:val="005B4DF7"/>
    <w:rsid w:val="005B51DC"/>
    <w:rsid w:val="005B5682"/>
    <w:rsid w:val="005B573B"/>
    <w:rsid w:val="005B5A88"/>
    <w:rsid w:val="005B7857"/>
    <w:rsid w:val="005C0171"/>
    <w:rsid w:val="005C0227"/>
    <w:rsid w:val="005C0C25"/>
    <w:rsid w:val="005C2489"/>
    <w:rsid w:val="005C2622"/>
    <w:rsid w:val="005C3A40"/>
    <w:rsid w:val="005C3AF3"/>
    <w:rsid w:val="005C40E7"/>
    <w:rsid w:val="005C51EC"/>
    <w:rsid w:val="005C5256"/>
    <w:rsid w:val="005C5DA1"/>
    <w:rsid w:val="005C64AD"/>
    <w:rsid w:val="005C65AB"/>
    <w:rsid w:val="005C69B2"/>
    <w:rsid w:val="005C7381"/>
    <w:rsid w:val="005C78E9"/>
    <w:rsid w:val="005C7D97"/>
    <w:rsid w:val="005D0B19"/>
    <w:rsid w:val="005D18A3"/>
    <w:rsid w:val="005D2788"/>
    <w:rsid w:val="005D40E8"/>
    <w:rsid w:val="005D45BF"/>
    <w:rsid w:val="005D59D7"/>
    <w:rsid w:val="005D5B89"/>
    <w:rsid w:val="005D5E60"/>
    <w:rsid w:val="005D5F3D"/>
    <w:rsid w:val="005D64DB"/>
    <w:rsid w:val="005D6D63"/>
    <w:rsid w:val="005E0C74"/>
    <w:rsid w:val="005E0F59"/>
    <w:rsid w:val="005E1367"/>
    <w:rsid w:val="005E1F07"/>
    <w:rsid w:val="005E33C2"/>
    <w:rsid w:val="005E4058"/>
    <w:rsid w:val="005E4417"/>
    <w:rsid w:val="005E5E4D"/>
    <w:rsid w:val="005E6183"/>
    <w:rsid w:val="005E6B16"/>
    <w:rsid w:val="005E7717"/>
    <w:rsid w:val="005F074D"/>
    <w:rsid w:val="005F0BC1"/>
    <w:rsid w:val="005F246F"/>
    <w:rsid w:val="005F299F"/>
    <w:rsid w:val="005F3C70"/>
    <w:rsid w:val="005F6538"/>
    <w:rsid w:val="005F680E"/>
    <w:rsid w:val="005F6F5F"/>
    <w:rsid w:val="005F6F8F"/>
    <w:rsid w:val="0060017A"/>
    <w:rsid w:val="0060055E"/>
    <w:rsid w:val="00600806"/>
    <w:rsid w:val="00600EF8"/>
    <w:rsid w:val="0060108C"/>
    <w:rsid w:val="00601675"/>
    <w:rsid w:val="00601C53"/>
    <w:rsid w:val="0060429C"/>
    <w:rsid w:val="0060491E"/>
    <w:rsid w:val="00604BA7"/>
    <w:rsid w:val="00605316"/>
    <w:rsid w:val="0060559A"/>
    <w:rsid w:val="0060577D"/>
    <w:rsid w:val="00606250"/>
    <w:rsid w:val="00606737"/>
    <w:rsid w:val="00606C85"/>
    <w:rsid w:val="006074C8"/>
    <w:rsid w:val="00607DD9"/>
    <w:rsid w:val="006100BE"/>
    <w:rsid w:val="006103DA"/>
    <w:rsid w:val="006114D7"/>
    <w:rsid w:val="00611D6F"/>
    <w:rsid w:val="00612A2E"/>
    <w:rsid w:val="00612C39"/>
    <w:rsid w:val="006134C2"/>
    <w:rsid w:val="00615411"/>
    <w:rsid w:val="0061670C"/>
    <w:rsid w:val="0061673C"/>
    <w:rsid w:val="00616E4A"/>
    <w:rsid w:val="006173B5"/>
    <w:rsid w:val="0062019F"/>
    <w:rsid w:val="00621059"/>
    <w:rsid w:val="00621BBB"/>
    <w:rsid w:val="00621BF0"/>
    <w:rsid w:val="00622429"/>
    <w:rsid w:val="00622444"/>
    <w:rsid w:val="006233C4"/>
    <w:rsid w:val="006239E4"/>
    <w:rsid w:val="00623E4D"/>
    <w:rsid w:val="006245F3"/>
    <w:rsid w:val="00624CEF"/>
    <w:rsid w:val="00625234"/>
    <w:rsid w:val="00625C47"/>
    <w:rsid w:val="00625EC0"/>
    <w:rsid w:val="00626374"/>
    <w:rsid w:val="00627298"/>
    <w:rsid w:val="00627B91"/>
    <w:rsid w:val="00627FD5"/>
    <w:rsid w:val="00631155"/>
    <w:rsid w:val="006314DF"/>
    <w:rsid w:val="00631617"/>
    <w:rsid w:val="00631A07"/>
    <w:rsid w:val="0063237D"/>
    <w:rsid w:val="00632713"/>
    <w:rsid w:val="00632748"/>
    <w:rsid w:val="00632F49"/>
    <w:rsid w:val="00633004"/>
    <w:rsid w:val="00633BD1"/>
    <w:rsid w:val="006341CB"/>
    <w:rsid w:val="00634B30"/>
    <w:rsid w:val="00634D61"/>
    <w:rsid w:val="00634EE1"/>
    <w:rsid w:val="006359EE"/>
    <w:rsid w:val="00635CCC"/>
    <w:rsid w:val="006373C9"/>
    <w:rsid w:val="00637460"/>
    <w:rsid w:val="006376BC"/>
    <w:rsid w:val="00640010"/>
    <w:rsid w:val="0064112A"/>
    <w:rsid w:val="006417F2"/>
    <w:rsid w:val="0064197E"/>
    <w:rsid w:val="00641F5A"/>
    <w:rsid w:val="00642038"/>
    <w:rsid w:val="006431A4"/>
    <w:rsid w:val="00643E06"/>
    <w:rsid w:val="0064482B"/>
    <w:rsid w:val="00644B1E"/>
    <w:rsid w:val="00646275"/>
    <w:rsid w:val="00646949"/>
    <w:rsid w:val="006475F8"/>
    <w:rsid w:val="00647D85"/>
    <w:rsid w:val="00651540"/>
    <w:rsid w:val="00651B70"/>
    <w:rsid w:val="00652B60"/>
    <w:rsid w:val="00653788"/>
    <w:rsid w:val="00654752"/>
    <w:rsid w:val="0065671E"/>
    <w:rsid w:val="006574B3"/>
    <w:rsid w:val="00657860"/>
    <w:rsid w:val="006605D6"/>
    <w:rsid w:val="0066068B"/>
    <w:rsid w:val="00660A41"/>
    <w:rsid w:val="006617AD"/>
    <w:rsid w:val="00661F92"/>
    <w:rsid w:val="006623DA"/>
    <w:rsid w:val="0066273E"/>
    <w:rsid w:val="0066305E"/>
    <w:rsid w:val="0066411A"/>
    <w:rsid w:val="00664B3A"/>
    <w:rsid w:val="00664D90"/>
    <w:rsid w:val="00665F0E"/>
    <w:rsid w:val="00666EC0"/>
    <w:rsid w:val="00670E93"/>
    <w:rsid w:val="00670FF5"/>
    <w:rsid w:val="00671A6B"/>
    <w:rsid w:val="00672241"/>
    <w:rsid w:val="00672A63"/>
    <w:rsid w:val="006731B1"/>
    <w:rsid w:val="00673588"/>
    <w:rsid w:val="00673A3D"/>
    <w:rsid w:val="0067418F"/>
    <w:rsid w:val="00676E6E"/>
    <w:rsid w:val="00677019"/>
    <w:rsid w:val="00677AC7"/>
    <w:rsid w:val="006800C2"/>
    <w:rsid w:val="00680AF8"/>
    <w:rsid w:val="006815B5"/>
    <w:rsid w:val="00681F83"/>
    <w:rsid w:val="006827B7"/>
    <w:rsid w:val="00682820"/>
    <w:rsid w:val="006828A2"/>
    <w:rsid w:val="00683413"/>
    <w:rsid w:val="00684249"/>
    <w:rsid w:val="00684C08"/>
    <w:rsid w:val="00684E65"/>
    <w:rsid w:val="00686F5C"/>
    <w:rsid w:val="00687C76"/>
    <w:rsid w:val="00690478"/>
    <w:rsid w:val="00690C2D"/>
    <w:rsid w:val="00690C66"/>
    <w:rsid w:val="0069139A"/>
    <w:rsid w:val="00691419"/>
    <w:rsid w:val="006924E2"/>
    <w:rsid w:val="00692A55"/>
    <w:rsid w:val="00692AA8"/>
    <w:rsid w:val="00692AB1"/>
    <w:rsid w:val="00692B94"/>
    <w:rsid w:val="00694F7E"/>
    <w:rsid w:val="00696017"/>
    <w:rsid w:val="00696389"/>
    <w:rsid w:val="006964DA"/>
    <w:rsid w:val="0069683A"/>
    <w:rsid w:val="00696B1E"/>
    <w:rsid w:val="0069720D"/>
    <w:rsid w:val="00697CA2"/>
    <w:rsid w:val="00697F59"/>
    <w:rsid w:val="006A025F"/>
    <w:rsid w:val="006A0965"/>
    <w:rsid w:val="006A0B24"/>
    <w:rsid w:val="006A0E4A"/>
    <w:rsid w:val="006A22C9"/>
    <w:rsid w:val="006A259A"/>
    <w:rsid w:val="006A3A11"/>
    <w:rsid w:val="006A3CB1"/>
    <w:rsid w:val="006A4E3F"/>
    <w:rsid w:val="006A68C3"/>
    <w:rsid w:val="006B0256"/>
    <w:rsid w:val="006B0498"/>
    <w:rsid w:val="006B0D29"/>
    <w:rsid w:val="006B0EDF"/>
    <w:rsid w:val="006B214E"/>
    <w:rsid w:val="006B29F0"/>
    <w:rsid w:val="006B2E49"/>
    <w:rsid w:val="006B325B"/>
    <w:rsid w:val="006B3600"/>
    <w:rsid w:val="006B5EDF"/>
    <w:rsid w:val="006C03F6"/>
    <w:rsid w:val="006C0F46"/>
    <w:rsid w:val="006C2CD7"/>
    <w:rsid w:val="006C2CDC"/>
    <w:rsid w:val="006C2E3B"/>
    <w:rsid w:val="006C3099"/>
    <w:rsid w:val="006C321B"/>
    <w:rsid w:val="006C32AA"/>
    <w:rsid w:val="006C50F3"/>
    <w:rsid w:val="006C65AA"/>
    <w:rsid w:val="006C67D6"/>
    <w:rsid w:val="006C7121"/>
    <w:rsid w:val="006C73CC"/>
    <w:rsid w:val="006C759E"/>
    <w:rsid w:val="006C7D5A"/>
    <w:rsid w:val="006C7FFB"/>
    <w:rsid w:val="006D004C"/>
    <w:rsid w:val="006D16FF"/>
    <w:rsid w:val="006D2920"/>
    <w:rsid w:val="006D2990"/>
    <w:rsid w:val="006D2B5B"/>
    <w:rsid w:val="006D3206"/>
    <w:rsid w:val="006D4313"/>
    <w:rsid w:val="006D4450"/>
    <w:rsid w:val="006D4648"/>
    <w:rsid w:val="006D4A23"/>
    <w:rsid w:val="006D4ABD"/>
    <w:rsid w:val="006D583D"/>
    <w:rsid w:val="006D5C2D"/>
    <w:rsid w:val="006D5D90"/>
    <w:rsid w:val="006D628A"/>
    <w:rsid w:val="006D74AD"/>
    <w:rsid w:val="006D7B60"/>
    <w:rsid w:val="006E23CE"/>
    <w:rsid w:val="006E25A7"/>
    <w:rsid w:val="006E2C77"/>
    <w:rsid w:val="006E44DA"/>
    <w:rsid w:val="006E5234"/>
    <w:rsid w:val="006E7159"/>
    <w:rsid w:val="006E7923"/>
    <w:rsid w:val="006E7AE1"/>
    <w:rsid w:val="006F08F1"/>
    <w:rsid w:val="006F1629"/>
    <w:rsid w:val="006F18CB"/>
    <w:rsid w:val="006F1A32"/>
    <w:rsid w:val="006F1D55"/>
    <w:rsid w:val="006F21E7"/>
    <w:rsid w:val="006F29CA"/>
    <w:rsid w:val="006F3721"/>
    <w:rsid w:val="006F376D"/>
    <w:rsid w:val="006F5DF1"/>
    <w:rsid w:val="006F5EFC"/>
    <w:rsid w:val="006F6583"/>
    <w:rsid w:val="006F66E9"/>
    <w:rsid w:val="006F6E56"/>
    <w:rsid w:val="006F7147"/>
    <w:rsid w:val="006F7E06"/>
    <w:rsid w:val="00700218"/>
    <w:rsid w:val="00700334"/>
    <w:rsid w:val="007007F7"/>
    <w:rsid w:val="00700A5B"/>
    <w:rsid w:val="00700B04"/>
    <w:rsid w:val="00700D46"/>
    <w:rsid w:val="00700EAB"/>
    <w:rsid w:val="00701EAD"/>
    <w:rsid w:val="00702013"/>
    <w:rsid w:val="00703B43"/>
    <w:rsid w:val="00704693"/>
    <w:rsid w:val="00705449"/>
    <w:rsid w:val="00705604"/>
    <w:rsid w:val="00705827"/>
    <w:rsid w:val="00710841"/>
    <w:rsid w:val="00710A99"/>
    <w:rsid w:val="00710FC7"/>
    <w:rsid w:val="00711ECE"/>
    <w:rsid w:val="007123C7"/>
    <w:rsid w:val="007126F4"/>
    <w:rsid w:val="007162B7"/>
    <w:rsid w:val="00716518"/>
    <w:rsid w:val="00716E2D"/>
    <w:rsid w:val="00717752"/>
    <w:rsid w:val="007203D9"/>
    <w:rsid w:val="00720FC3"/>
    <w:rsid w:val="00721081"/>
    <w:rsid w:val="00721930"/>
    <w:rsid w:val="00721F8D"/>
    <w:rsid w:val="0072264D"/>
    <w:rsid w:val="00722793"/>
    <w:rsid w:val="00722ECC"/>
    <w:rsid w:val="00724C90"/>
    <w:rsid w:val="00725787"/>
    <w:rsid w:val="00725A26"/>
    <w:rsid w:val="007278B2"/>
    <w:rsid w:val="00727B2D"/>
    <w:rsid w:val="00731A1A"/>
    <w:rsid w:val="00731B5F"/>
    <w:rsid w:val="00731E1A"/>
    <w:rsid w:val="007331BD"/>
    <w:rsid w:val="00734038"/>
    <w:rsid w:val="00734830"/>
    <w:rsid w:val="00735CC7"/>
    <w:rsid w:val="007365AB"/>
    <w:rsid w:val="00737641"/>
    <w:rsid w:val="007408F3"/>
    <w:rsid w:val="00740E50"/>
    <w:rsid w:val="007418B2"/>
    <w:rsid w:val="00742A08"/>
    <w:rsid w:val="00742D09"/>
    <w:rsid w:val="00743C0E"/>
    <w:rsid w:val="007466A2"/>
    <w:rsid w:val="00746BAC"/>
    <w:rsid w:val="00746E9F"/>
    <w:rsid w:val="00746F4B"/>
    <w:rsid w:val="00747188"/>
    <w:rsid w:val="00747428"/>
    <w:rsid w:val="007476AF"/>
    <w:rsid w:val="00747E0D"/>
    <w:rsid w:val="00747F8E"/>
    <w:rsid w:val="007500DE"/>
    <w:rsid w:val="0075055F"/>
    <w:rsid w:val="00750E6B"/>
    <w:rsid w:val="00750F88"/>
    <w:rsid w:val="00751521"/>
    <w:rsid w:val="00751C2B"/>
    <w:rsid w:val="00751CA2"/>
    <w:rsid w:val="00752161"/>
    <w:rsid w:val="007521B2"/>
    <w:rsid w:val="0075285A"/>
    <w:rsid w:val="007533A0"/>
    <w:rsid w:val="007538F7"/>
    <w:rsid w:val="007546A6"/>
    <w:rsid w:val="00756773"/>
    <w:rsid w:val="00756AF3"/>
    <w:rsid w:val="00757ABA"/>
    <w:rsid w:val="00760047"/>
    <w:rsid w:val="007609A6"/>
    <w:rsid w:val="00760C80"/>
    <w:rsid w:val="00761B91"/>
    <w:rsid w:val="0076262C"/>
    <w:rsid w:val="007629AC"/>
    <w:rsid w:val="00762B5C"/>
    <w:rsid w:val="0076386F"/>
    <w:rsid w:val="00763EFB"/>
    <w:rsid w:val="007642D9"/>
    <w:rsid w:val="00765329"/>
    <w:rsid w:val="00765CBC"/>
    <w:rsid w:val="00765E7C"/>
    <w:rsid w:val="007663AF"/>
    <w:rsid w:val="007664DE"/>
    <w:rsid w:val="00766845"/>
    <w:rsid w:val="007676B9"/>
    <w:rsid w:val="0076789A"/>
    <w:rsid w:val="00767D6B"/>
    <w:rsid w:val="00770F11"/>
    <w:rsid w:val="007716EC"/>
    <w:rsid w:val="0077279C"/>
    <w:rsid w:val="007734F7"/>
    <w:rsid w:val="00773A2A"/>
    <w:rsid w:val="00773EFF"/>
    <w:rsid w:val="00774B62"/>
    <w:rsid w:val="00774EAD"/>
    <w:rsid w:val="00775EFA"/>
    <w:rsid w:val="00775FEA"/>
    <w:rsid w:val="007775DF"/>
    <w:rsid w:val="007777A4"/>
    <w:rsid w:val="00777D6C"/>
    <w:rsid w:val="00781056"/>
    <w:rsid w:val="007812FA"/>
    <w:rsid w:val="0078166B"/>
    <w:rsid w:val="007829B8"/>
    <w:rsid w:val="00783118"/>
    <w:rsid w:val="0078335F"/>
    <w:rsid w:val="0078337B"/>
    <w:rsid w:val="00783435"/>
    <w:rsid w:val="00783E7E"/>
    <w:rsid w:val="007860FC"/>
    <w:rsid w:val="00786701"/>
    <w:rsid w:val="00786834"/>
    <w:rsid w:val="00786F05"/>
    <w:rsid w:val="00787B0B"/>
    <w:rsid w:val="00787EA5"/>
    <w:rsid w:val="00790C3B"/>
    <w:rsid w:val="00791094"/>
    <w:rsid w:val="00791BFD"/>
    <w:rsid w:val="00791DD3"/>
    <w:rsid w:val="0079471C"/>
    <w:rsid w:val="0079546F"/>
    <w:rsid w:val="007963E6"/>
    <w:rsid w:val="00796E05"/>
    <w:rsid w:val="00797252"/>
    <w:rsid w:val="00797A69"/>
    <w:rsid w:val="007A0348"/>
    <w:rsid w:val="007A1391"/>
    <w:rsid w:val="007A24B8"/>
    <w:rsid w:val="007A2C19"/>
    <w:rsid w:val="007A3A73"/>
    <w:rsid w:val="007A405B"/>
    <w:rsid w:val="007A4A8C"/>
    <w:rsid w:val="007A4ED2"/>
    <w:rsid w:val="007A5B81"/>
    <w:rsid w:val="007A612B"/>
    <w:rsid w:val="007A751E"/>
    <w:rsid w:val="007A7887"/>
    <w:rsid w:val="007B0F7A"/>
    <w:rsid w:val="007B1186"/>
    <w:rsid w:val="007B1AC0"/>
    <w:rsid w:val="007B1F1A"/>
    <w:rsid w:val="007B2418"/>
    <w:rsid w:val="007B2858"/>
    <w:rsid w:val="007B2BEE"/>
    <w:rsid w:val="007B479D"/>
    <w:rsid w:val="007B495D"/>
    <w:rsid w:val="007B4AB8"/>
    <w:rsid w:val="007B50F9"/>
    <w:rsid w:val="007B7195"/>
    <w:rsid w:val="007B7197"/>
    <w:rsid w:val="007B7460"/>
    <w:rsid w:val="007B77CA"/>
    <w:rsid w:val="007B7DEA"/>
    <w:rsid w:val="007C07D6"/>
    <w:rsid w:val="007C0C50"/>
    <w:rsid w:val="007C168D"/>
    <w:rsid w:val="007C17E5"/>
    <w:rsid w:val="007C31F9"/>
    <w:rsid w:val="007C350A"/>
    <w:rsid w:val="007C4314"/>
    <w:rsid w:val="007C43CB"/>
    <w:rsid w:val="007C45FB"/>
    <w:rsid w:val="007C5198"/>
    <w:rsid w:val="007C53B4"/>
    <w:rsid w:val="007C595D"/>
    <w:rsid w:val="007C5A3F"/>
    <w:rsid w:val="007C62AC"/>
    <w:rsid w:val="007C647B"/>
    <w:rsid w:val="007C734F"/>
    <w:rsid w:val="007D0A01"/>
    <w:rsid w:val="007D20A7"/>
    <w:rsid w:val="007D2E07"/>
    <w:rsid w:val="007D2E4F"/>
    <w:rsid w:val="007D467B"/>
    <w:rsid w:val="007D476F"/>
    <w:rsid w:val="007D4CF6"/>
    <w:rsid w:val="007D573C"/>
    <w:rsid w:val="007D6371"/>
    <w:rsid w:val="007D6E3E"/>
    <w:rsid w:val="007D73D3"/>
    <w:rsid w:val="007D762F"/>
    <w:rsid w:val="007E10B7"/>
    <w:rsid w:val="007E2661"/>
    <w:rsid w:val="007E2695"/>
    <w:rsid w:val="007E29DD"/>
    <w:rsid w:val="007E2A8F"/>
    <w:rsid w:val="007E2DEC"/>
    <w:rsid w:val="007E33DE"/>
    <w:rsid w:val="007E3B49"/>
    <w:rsid w:val="007E4AC5"/>
    <w:rsid w:val="007E50B7"/>
    <w:rsid w:val="007E56FB"/>
    <w:rsid w:val="007E5EDE"/>
    <w:rsid w:val="007E79ED"/>
    <w:rsid w:val="007E7BAB"/>
    <w:rsid w:val="007F1154"/>
    <w:rsid w:val="007F17FE"/>
    <w:rsid w:val="007F2F7B"/>
    <w:rsid w:val="007F30F2"/>
    <w:rsid w:val="007F35E5"/>
    <w:rsid w:val="007F4284"/>
    <w:rsid w:val="007F4596"/>
    <w:rsid w:val="007F4680"/>
    <w:rsid w:val="007F4D3C"/>
    <w:rsid w:val="007F53CB"/>
    <w:rsid w:val="007F5556"/>
    <w:rsid w:val="007F60BC"/>
    <w:rsid w:val="007F65C5"/>
    <w:rsid w:val="007F6C3F"/>
    <w:rsid w:val="007F6F03"/>
    <w:rsid w:val="007F7820"/>
    <w:rsid w:val="007F7CB9"/>
    <w:rsid w:val="007F7FBD"/>
    <w:rsid w:val="0080022A"/>
    <w:rsid w:val="008003B5"/>
    <w:rsid w:val="008008FC"/>
    <w:rsid w:val="0080152B"/>
    <w:rsid w:val="00801D50"/>
    <w:rsid w:val="00801E6F"/>
    <w:rsid w:val="00802716"/>
    <w:rsid w:val="00802723"/>
    <w:rsid w:val="00802AE7"/>
    <w:rsid w:val="00803F3B"/>
    <w:rsid w:val="00804347"/>
    <w:rsid w:val="008048DB"/>
    <w:rsid w:val="00804AF7"/>
    <w:rsid w:val="0080563C"/>
    <w:rsid w:val="00806234"/>
    <w:rsid w:val="00806298"/>
    <w:rsid w:val="0080644E"/>
    <w:rsid w:val="00806644"/>
    <w:rsid w:val="0080702B"/>
    <w:rsid w:val="00807186"/>
    <w:rsid w:val="0080765A"/>
    <w:rsid w:val="00807BC2"/>
    <w:rsid w:val="00807C42"/>
    <w:rsid w:val="00807CD7"/>
    <w:rsid w:val="00807D32"/>
    <w:rsid w:val="0081096A"/>
    <w:rsid w:val="00811391"/>
    <w:rsid w:val="008119CB"/>
    <w:rsid w:val="00812A36"/>
    <w:rsid w:val="00813900"/>
    <w:rsid w:val="00813DBE"/>
    <w:rsid w:val="008140CD"/>
    <w:rsid w:val="0081433C"/>
    <w:rsid w:val="008149AF"/>
    <w:rsid w:val="00815FAF"/>
    <w:rsid w:val="00816020"/>
    <w:rsid w:val="008171BC"/>
    <w:rsid w:val="00817564"/>
    <w:rsid w:val="0082071E"/>
    <w:rsid w:val="00822A67"/>
    <w:rsid w:val="00823E05"/>
    <w:rsid w:val="00824BDA"/>
    <w:rsid w:val="0082576A"/>
    <w:rsid w:val="00825892"/>
    <w:rsid w:val="0082623C"/>
    <w:rsid w:val="008271F9"/>
    <w:rsid w:val="00827EDC"/>
    <w:rsid w:val="00827F7D"/>
    <w:rsid w:val="00830F0B"/>
    <w:rsid w:val="00831737"/>
    <w:rsid w:val="008321DB"/>
    <w:rsid w:val="00834076"/>
    <w:rsid w:val="00834CFE"/>
    <w:rsid w:val="008358AD"/>
    <w:rsid w:val="00835AFC"/>
    <w:rsid w:val="00836A43"/>
    <w:rsid w:val="00836BE2"/>
    <w:rsid w:val="0083773A"/>
    <w:rsid w:val="00840374"/>
    <w:rsid w:val="00840AE3"/>
    <w:rsid w:val="00840DA8"/>
    <w:rsid w:val="008410DE"/>
    <w:rsid w:val="00842AC4"/>
    <w:rsid w:val="00843410"/>
    <w:rsid w:val="008438A5"/>
    <w:rsid w:val="00843A63"/>
    <w:rsid w:val="00843E9B"/>
    <w:rsid w:val="00844315"/>
    <w:rsid w:val="008466EB"/>
    <w:rsid w:val="0084676B"/>
    <w:rsid w:val="0084678D"/>
    <w:rsid w:val="00846BBF"/>
    <w:rsid w:val="00847074"/>
    <w:rsid w:val="0084761B"/>
    <w:rsid w:val="00847CD9"/>
    <w:rsid w:val="00847F2D"/>
    <w:rsid w:val="00850040"/>
    <w:rsid w:val="0085028A"/>
    <w:rsid w:val="00850C37"/>
    <w:rsid w:val="00850E2F"/>
    <w:rsid w:val="0085156B"/>
    <w:rsid w:val="00852DBB"/>
    <w:rsid w:val="00853737"/>
    <w:rsid w:val="0085380F"/>
    <w:rsid w:val="00853E08"/>
    <w:rsid w:val="00855A93"/>
    <w:rsid w:val="00856055"/>
    <w:rsid w:val="00856BAE"/>
    <w:rsid w:val="00856BB1"/>
    <w:rsid w:val="0085770B"/>
    <w:rsid w:val="0085794A"/>
    <w:rsid w:val="00857E22"/>
    <w:rsid w:val="00860052"/>
    <w:rsid w:val="00860125"/>
    <w:rsid w:val="008604F1"/>
    <w:rsid w:val="00860B57"/>
    <w:rsid w:val="00860B7F"/>
    <w:rsid w:val="00861218"/>
    <w:rsid w:val="008625B5"/>
    <w:rsid w:val="008635EC"/>
    <w:rsid w:val="0086383E"/>
    <w:rsid w:val="00863897"/>
    <w:rsid w:val="00863B9E"/>
    <w:rsid w:val="00863FCE"/>
    <w:rsid w:val="0086413D"/>
    <w:rsid w:val="00864D72"/>
    <w:rsid w:val="008660D7"/>
    <w:rsid w:val="00866B89"/>
    <w:rsid w:val="00867670"/>
    <w:rsid w:val="00867AC2"/>
    <w:rsid w:val="00867EE9"/>
    <w:rsid w:val="00870D6D"/>
    <w:rsid w:val="00871460"/>
    <w:rsid w:val="00871B28"/>
    <w:rsid w:val="00871C33"/>
    <w:rsid w:val="00872016"/>
    <w:rsid w:val="008728BD"/>
    <w:rsid w:val="00872918"/>
    <w:rsid w:val="0087336C"/>
    <w:rsid w:val="008735FE"/>
    <w:rsid w:val="00873BDC"/>
    <w:rsid w:val="00873DB7"/>
    <w:rsid w:val="00873E0C"/>
    <w:rsid w:val="00874B99"/>
    <w:rsid w:val="00875750"/>
    <w:rsid w:val="00876ED3"/>
    <w:rsid w:val="008772CC"/>
    <w:rsid w:val="00877B7E"/>
    <w:rsid w:val="00877B9A"/>
    <w:rsid w:val="0088163F"/>
    <w:rsid w:val="00882713"/>
    <w:rsid w:val="00882EF9"/>
    <w:rsid w:val="0088329D"/>
    <w:rsid w:val="00883316"/>
    <w:rsid w:val="008835B2"/>
    <w:rsid w:val="00883A1A"/>
    <w:rsid w:val="0088416A"/>
    <w:rsid w:val="00884F3C"/>
    <w:rsid w:val="008870D8"/>
    <w:rsid w:val="00887215"/>
    <w:rsid w:val="008872B2"/>
    <w:rsid w:val="0088751F"/>
    <w:rsid w:val="00887DDB"/>
    <w:rsid w:val="00887EC2"/>
    <w:rsid w:val="00890434"/>
    <w:rsid w:val="008910DE"/>
    <w:rsid w:val="008916DA"/>
    <w:rsid w:val="00893D93"/>
    <w:rsid w:val="00896E35"/>
    <w:rsid w:val="00897836"/>
    <w:rsid w:val="008A11E5"/>
    <w:rsid w:val="008A28C5"/>
    <w:rsid w:val="008A3003"/>
    <w:rsid w:val="008A3144"/>
    <w:rsid w:val="008A3D55"/>
    <w:rsid w:val="008A4057"/>
    <w:rsid w:val="008A48AF"/>
    <w:rsid w:val="008A58BB"/>
    <w:rsid w:val="008A5B9E"/>
    <w:rsid w:val="008A5C0A"/>
    <w:rsid w:val="008A5E44"/>
    <w:rsid w:val="008A60B2"/>
    <w:rsid w:val="008A6924"/>
    <w:rsid w:val="008A70EA"/>
    <w:rsid w:val="008A7421"/>
    <w:rsid w:val="008A7656"/>
    <w:rsid w:val="008B03C8"/>
    <w:rsid w:val="008B0E36"/>
    <w:rsid w:val="008B13A3"/>
    <w:rsid w:val="008B1818"/>
    <w:rsid w:val="008B1972"/>
    <w:rsid w:val="008B2D31"/>
    <w:rsid w:val="008B37DB"/>
    <w:rsid w:val="008B3970"/>
    <w:rsid w:val="008B3CA2"/>
    <w:rsid w:val="008B3EC3"/>
    <w:rsid w:val="008B3F78"/>
    <w:rsid w:val="008B43D6"/>
    <w:rsid w:val="008B4D74"/>
    <w:rsid w:val="008B4FA7"/>
    <w:rsid w:val="008B55FF"/>
    <w:rsid w:val="008B64C9"/>
    <w:rsid w:val="008B7721"/>
    <w:rsid w:val="008C05AF"/>
    <w:rsid w:val="008C0796"/>
    <w:rsid w:val="008C0E6F"/>
    <w:rsid w:val="008C12D9"/>
    <w:rsid w:val="008C21D3"/>
    <w:rsid w:val="008C2555"/>
    <w:rsid w:val="008C2F7E"/>
    <w:rsid w:val="008C540F"/>
    <w:rsid w:val="008C5FAA"/>
    <w:rsid w:val="008C61C7"/>
    <w:rsid w:val="008C67EC"/>
    <w:rsid w:val="008C6BE8"/>
    <w:rsid w:val="008D0A1A"/>
    <w:rsid w:val="008D0C90"/>
    <w:rsid w:val="008D0F21"/>
    <w:rsid w:val="008D10D4"/>
    <w:rsid w:val="008D1CDA"/>
    <w:rsid w:val="008D30C6"/>
    <w:rsid w:val="008D63A5"/>
    <w:rsid w:val="008D6546"/>
    <w:rsid w:val="008D6BE3"/>
    <w:rsid w:val="008D6CE3"/>
    <w:rsid w:val="008D6E8F"/>
    <w:rsid w:val="008E119C"/>
    <w:rsid w:val="008E144E"/>
    <w:rsid w:val="008E18BC"/>
    <w:rsid w:val="008E2D07"/>
    <w:rsid w:val="008E548B"/>
    <w:rsid w:val="008E5F18"/>
    <w:rsid w:val="008E7664"/>
    <w:rsid w:val="008E766C"/>
    <w:rsid w:val="008E76DA"/>
    <w:rsid w:val="008E7BD6"/>
    <w:rsid w:val="008E7CC8"/>
    <w:rsid w:val="008F0003"/>
    <w:rsid w:val="008F0050"/>
    <w:rsid w:val="008F06DA"/>
    <w:rsid w:val="008F0796"/>
    <w:rsid w:val="008F1B2B"/>
    <w:rsid w:val="008F1E95"/>
    <w:rsid w:val="008F2ABC"/>
    <w:rsid w:val="008F3EBF"/>
    <w:rsid w:val="008F4393"/>
    <w:rsid w:val="008F46C9"/>
    <w:rsid w:val="008F51FB"/>
    <w:rsid w:val="008F60C2"/>
    <w:rsid w:val="008F66F7"/>
    <w:rsid w:val="008F7557"/>
    <w:rsid w:val="008F7C97"/>
    <w:rsid w:val="00900C21"/>
    <w:rsid w:val="00901D6B"/>
    <w:rsid w:val="00901E2F"/>
    <w:rsid w:val="00901E63"/>
    <w:rsid w:val="009021A8"/>
    <w:rsid w:val="00903A01"/>
    <w:rsid w:val="009041F6"/>
    <w:rsid w:val="0090451C"/>
    <w:rsid w:val="00904540"/>
    <w:rsid w:val="0090523C"/>
    <w:rsid w:val="00906D9E"/>
    <w:rsid w:val="00907806"/>
    <w:rsid w:val="00907AC2"/>
    <w:rsid w:val="0091007B"/>
    <w:rsid w:val="00910A07"/>
    <w:rsid w:val="0091153F"/>
    <w:rsid w:val="00911B3C"/>
    <w:rsid w:val="00912341"/>
    <w:rsid w:val="0091333F"/>
    <w:rsid w:val="0091335B"/>
    <w:rsid w:val="00914287"/>
    <w:rsid w:val="0091473E"/>
    <w:rsid w:val="009153AA"/>
    <w:rsid w:val="00916FFF"/>
    <w:rsid w:val="009178E2"/>
    <w:rsid w:val="009203A4"/>
    <w:rsid w:val="009206D8"/>
    <w:rsid w:val="00920B50"/>
    <w:rsid w:val="00920B63"/>
    <w:rsid w:val="00921FE5"/>
    <w:rsid w:val="00922F9A"/>
    <w:rsid w:val="00923F8D"/>
    <w:rsid w:val="0092556D"/>
    <w:rsid w:val="00925921"/>
    <w:rsid w:val="00926350"/>
    <w:rsid w:val="009266FB"/>
    <w:rsid w:val="0092675C"/>
    <w:rsid w:val="009269C4"/>
    <w:rsid w:val="009306CD"/>
    <w:rsid w:val="00930706"/>
    <w:rsid w:val="009318B7"/>
    <w:rsid w:val="00931EDF"/>
    <w:rsid w:val="00932235"/>
    <w:rsid w:val="00932767"/>
    <w:rsid w:val="00932B55"/>
    <w:rsid w:val="00932CAA"/>
    <w:rsid w:val="009346C4"/>
    <w:rsid w:val="00934E73"/>
    <w:rsid w:val="00935626"/>
    <w:rsid w:val="00936565"/>
    <w:rsid w:val="0094005C"/>
    <w:rsid w:val="009400AC"/>
    <w:rsid w:val="0094175A"/>
    <w:rsid w:val="00941E15"/>
    <w:rsid w:val="00943FC4"/>
    <w:rsid w:val="00944345"/>
    <w:rsid w:val="009443F1"/>
    <w:rsid w:val="00944BF4"/>
    <w:rsid w:val="009461C8"/>
    <w:rsid w:val="009464FD"/>
    <w:rsid w:val="00946668"/>
    <w:rsid w:val="00946DDE"/>
    <w:rsid w:val="00946DE2"/>
    <w:rsid w:val="0094707D"/>
    <w:rsid w:val="009470D4"/>
    <w:rsid w:val="009470EE"/>
    <w:rsid w:val="00947681"/>
    <w:rsid w:val="00947FF1"/>
    <w:rsid w:val="0095013C"/>
    <w:rsid w:val="00950527"/>
    <w:rsid w:val="00950CBD"/>
    <w:rsid w:val="0095163B"/>
    <w:rsid w:val="00952517"/>
    <w:rsid w:val="0095264A"/>
    <w:rsid w:val="009528C8"/>
    <w:rsid w:val="00952C20"/>
    <w:rsid w:val="0095344E"/>
    <w:rsid w:val="00953D0A"/>
    <w:rsid w:val="009549EB"/>
    <w:rsid w:val="0095527E"/>
    <w:rsid w:val="00955384"/>
    <w:rsid w:val="00955F52"/>
    <w:rsid w:val="009560B5"/>
    <w:rsid w:val="009571D4"/>
    <w:rsid w:val="009572DF"/>
    <w:rsid w:val="00957A39"/>
    <w:rsid w:val="00960599"/>
    <w:rsid w:val="009608D9"/>
    <w:rsid w:val="00960AA1"/>
    <w:rsid w:val="00960B63"/>
    <w:rsid w:val="009622E4"/>
    <w:rsid w:val="0096288B"/>
    <w:rsid w:val="00962A78"/>
    <w:rsid w:val="00963002"/>
    <w:rsid w:val="009631CA"/>
    <w:rsid w:val="009631FA"/>
    <w:rsid w:val="0096327C"/>
    <w:rsid w:val="00963417"/>
    <w:rsid w:val="0096343D"/>
    <w:rsid w:val="0096366C"/>
    <w:rsid w:val="009642F9"/>
    <w:rsid w:val="00964B87"/>
    <w:rsid w:val="00964F5C"/>
    <w:rsid w:val="00965734"/>
    <w:rsid w:val="009657F4"/>
    <w:rsid w:val="00965823"/>
    <w:rsid w:val="0096591C"/>
    <w:rsid w:val="00966C49"/>
    <w:rsid w:val="00967098"/>
    <w:rsid w:val="00967679"/>
    <w:rsid w:val="00967872"/>
    <w:rsid w:val="00967C8E"/>
    <w:rsid w:val="009705B9"/>
    <w:rsid w:val="0097174C"/>
    <w:rsid w:val="0097177A"/>
    <w:rsid w:val="00971997"/>
    <w:rsid w:val="00972149"/>
    <w:rsid w:val="00972F9A"/>
    <w:rsid w:val="009744B9"/>
    <w:rsid w:val="00974550"/>
    <w:rsid w:val="0097490E"/>
    <w:rsid w:val="00974DBA"/>
    <w:rsid w:val="00975D3D"/>
    <w:rsid w:val="00975E0F"/>
    <w:rsid w:val="00976535"/>
    <w:rsid w:val="00977101"/>
    <w:rsid w:val="0097789E"/>
    <w:rsid w:val="0097789F"/>
    <w:rsid w:val="00977A10"/>
    <w:rsid w:val="00977F35"/>
    <w:rsid w:val="009810B5"/>
    <w:rsid w:val="00981AED"/>
    <w:rsid w:val="00982C39"/>
    <w:rsid w:val="00983B10"/>
    <w:rsid w:val="00983CDD"/>
    <w:rsid w:val="00984BFA"/>
    <w:rsid w:val="00987218"/>
    <w:rsid w:val="009878D7"/>
    <w:rsid w:val="00990A5D"/>
    <w:rsid w:val="00993B01"/>
    <w:rsid w:val="00994348"/>
    <w:rsid w:val="00994478"/>
    <w:rsid w:val="009951DC"/>
    <w:rsid w:val="00995480"/>
    <w:rsid w:val="0099635A"/>
    <w:rsid w:val="0099637C"/>
    <w:rsid w:val="00996450"/>
    <w:rsid w:val="009969E4"/>
    <w:rsid w:val="00997499"/>
    <w:rsid w:val="0099789F"/>
    <w:rsid w:val="009A1811"/>
    <w:rsid w:val="009A1FCE"/>
    <w:rsid w:val="009A209A"/>
    <w:rsid w:val="009A25E6"/>
    <w:rsid w:val="009A4287"/>
    <w:rsid w:val="009A43A4"/>
    <w:rsid w:val="009A43E8"/>
    <w:rsid w:val="009A5158"/>
    <w:rsid w:val="009A6699"/>
    <w:rsid w:val="009A6C7E"/>
    <w:rsid w:val="009A6CF2"/>
    <w:rsid w:val="009A7371"/>
    <w:rsid w:val="009B0498"/>
    <w:rsid w:val="009B078C"/>
    <w:rsid w:val="009B0921"/>
    <w:rsid w:val="009B0D77"/>
    <w:rsid w:val="009B16FB"/>
    <w:rsid w:val="009B1A12"/>
    <w:rsid w:val="009B1AE3"/>
    <w:rsid w:val="009B2379"/>
    <w:rsid w:val="009B256E"/>
    <w:rsid w:val="009B4825"/>
    <w:rsid w:val="009B5D4E"/>
    <w:rsid w:val="009B66E7"/>
    <w:rsid w:val="009B7C3F"/>
    <w:rsid w:val="009C00D0"/>
    <w:rsid w:val="009C159A"/>
    <w:rsid w:val="009C1689"/>
    <w:rsid w:val="009C1C52"/>
    <w:rsid w:val="009C1D77"/>
    <w:rsid w:val="009C214A"/>
    <w:rsid w:val="009C254A"/>
    <w:rsid w:val="009C3EB9"/>
    <w:rsid w:val="009C456E"/>
    <w:rsid w:val="009C570A"/>
    <w:rsid w:val="009C64DA"/>
    <w:rsid w:val="009C7A66"/>
    <w:rsid w:val="009D00F8"/>
    <w:rsid w:val="009D0AC5"/>
    <w:rsid w:val="009D1DDC"/>
    <w:rsid w:val="009D1F27"/>
    <w:rsid w:val="009D2811"/>
    <w:rsid w:val="009D2846"/>
    <w:rsid w:val="009D36AB"/>
    <w:rsid w:val="009D37F7"/>
    <w:rsid w:val="009D38E7"/>
    <w:rsid w:val="009D489F"/>
    <w:rsid w:val="009D4E9E"/>
    <w:rsid w:val="009D5F83"/>
    <w:rsid w:val="009D66E9"/>
    <w:rsid w:val="009D68EF"/>
    <w:rsid w:val="009D6A17"/>
    <w:rsid w:val="009D71F4"/>
    <w:rsid w:val="009D75A4"/>
    <w:rsid w:val="009E0555"/>
    <w:rsid w:val="009E0671"/>
    <w:rsid w:val="009E157E"/>
    <w:rsid w:val="009E201E"/>
    <w:rsid w:val="009E24A3"/>
    <w:rsid w:val="009E29BD"/>
    <w:rsid w:val="009E38A6"/>
    <w:rsid w:val="009E3B56"/>
    <w:rsid w:val="009E3B6C"/>
    <w:rsid w:val="009E3BB0"/>
    <w:rsid w:val="009E41D3"/>
    <w:rsid w:val="009E4621"/>
    <w:rsid w:val="009E47EA"/>
    <w:rsid w:val="009E4C37"/>
    <w:rsid w:val="009E4DF9"/>
    <w:rsid w:val="009E5163"/>
    <w:rsid w:val="009E535B"/>
    <w:rsid w:val="009E5EA9"/>
    <w:rsid w:val="009E63AB"/>
    <w:rsid w:val="009E7356"/>
    <w:rsid w:val="009F02D3"/>
    <w:rsid w:val="009F0F96"/>
    <w:rsid w:val="009F2AFE"/>
    <w:rsid w:val="009F34C7"/>
    <w:rsid w:val="009F362A"/>
    <w:rsid w:val="009F3B5F"/>
    <w:rsid w:val="009F3F31"/>
    <w:rsid w:val="009F3FDC"/>
    <w:rsid w:val="009F44AC"/>
    <w:rsid w:val="009F49C1"/>
    <w:rsid w:val="009F4A72"/>
    <w:rsid w:val="009F558C"/>
    <w:rsid w:val="009F56CB"/>
    <w:rsid w:val="009F68FA"/>
    <w:rsid w:val="009F70C1"/>
    <w:rsid w:val="009F72FB"/>
    <w:rsid w:val="00A00476"/>
    <w:rsid w:val="00A00D2B"/>
    <w:rsid w:val="00A02762"/>
    <w:rsid w:val="00A03195"/>
    <w:rsid w:val="00A03355"/>
    <w:rsid w:val="00A03DBA"/>
    <w:rsid w:val="00A048BA"/>
    <w:rsid w:val="00A05620"/>
    <w:rsid w:val="00A05701"/>
    <w:rsid w:val="00A05BE8"/>
    <w:rsid w:val="00A05F3B"/>
    <w:rsid w:val="00A064C4"/>
    <w:rsid w:val="00A069FC"/>
    <w:rsid w:val="00A06CCE"/>
    <w:rsid w:val="00A11F2C"/>
    <w:rsid w:val="00A13135"/>
    <w:rsid w:val="00A14418"/>
    <w:rsid w:val="00A14879"/>
    <w:rsid w:val="00A14FE3"/>
    <w:rsid w:val="00A1612D"/>
    <w:rsid w:val="00A20202"/>
    <w:rsid w:val="00A2065B"/>
    <w:rsid w:val="00A20EB8"/>
    <w:rsid w:val="00A217F6"/>
    <w:rsid w:val="00A219FE"/>
    <w:rsid w:val="00A2219E"/>
    <w:rsid w:val="00A22269"/>
    <w:rsid w:val="00A22467"/>
    <w:rsid w:val="00A23966"/>
    <w:rsid w:val="00A23BFF"/>
    <w:rsid w:val="00A2415E"/>
    <w:rsid w:val="00A24E81"/>
    <w:rsid w:val="00A2525F"/>
    <w:rsid w:val="00A26035"/>
    <w:rsid w:val="00A302B0"/>
    <w:rsid w:val="00A308D9"/>
    <w:rsid w:val="00A30E6B"/>
    <w:rsid w:val="00A31459"/>
    <w:rsid w:val="00A3168D"/>
    <w:rsid w:val="00A32D85"/>
    <w:rsid w:val="00A3365F"/>
    <w:rsid w:val="00A337B8"/>
    <w:rsid w:val="00A34085"/>
    <w:rsid w:val="00A354E4"/>
    <w:rsid w:val="00A355CE"/>
    <w:rsid w:val="00A36500"/>
    <w:rsid w:val="00A37052"/>
    <w:rsid w:val="00A37A8E"/>
    <w:rsid w:val="00A37EB2"/>
    <w:rsid w:val="00A37ED3"/>
    <w:rsid w:val="00A421BF"/>
    <w:rsid w:val="00A42375"/>
    <w:rsid w:val="00A42A19"/>
    <w:rsid w:val="00A42C5E"/>
    <w:rsid w:val="00A451D0"/>
    <w:rsid w:val="00A467CE"/>
    <w:rsid w:val="00A46C60"/>
    <w:rsid w:val="00A46D20"/>
    <w:rsid w:val="00A46E59"/>
    <w:rsid w:val="00A502B6"/>
    <w:rsid w:val="00A507BA"/>
    <w:rsid w:val="00A50C66"/>
    <w:rsid w:val="00A5130D"/>
    <w:rsid w:val="00A52A14"/>
    <w:rsid w:val="00A539C9"/>
    <w:rsid w:val="00A54F81"/>
    <w:rsid w:val="00A55249"/>
    <w:rsid w:val="00A5600B"/>
    <w:rsid w:val="00A56A6A"/>
    <w:rsid w:val="00A570B6"/>
    <w:rsid w:val="00A60392"/>
    <w:rsid w:val="00A60CC7"/>
    <w:rsid w:val="00A60E55"/>
    <w:rsid w:val="00A6296A"/>
    <w:rsid w:val="00A62E3A"/>
    <w:rsid w:val="00A63053"/>
    <w:rsid w:val="00A6325A"/>
    <w:rsid w:val="00A633CA"/>
    <w:rsid w:val="00A63B79"/>
    <w:rsid w:val="00A63D9F"/>
    <w:rsid w:val="00A63DCD"/>
    <w:rsid w:val="00A63E38"/>
    <w:rsid w:val="00A6466C"/>
    <w:rsid w:val="00A646C0"/>
    <w:rsid w:val="00A664A1"/>
    <w:rsid w:val="00A664D0"/>
    <w:rsid w:val="00A676A4"/>
    <w:rsid w:val="00A723C6"/>
    <w:rsid w:val="00A73FD8"/>
    <w:rsid w:val="00A74AC4"/>
    <w:rsid w:val="00A74B34"/>
    <w:rsid w:val="00A75462"/>
    <w:rsid w:val="00A772BD"/>
    <w:rsid w:val="00A77F99"/>
    <w:rsid w:val="00A8233F"/>
    <w:rsid w:val="00A825BA"/>
    <w:rsid w:val="00A83385"/>
    <w:rsid w:val="00A84110"/>
    <w:rsid w:val="00A84478"/>
    <w:rsid w:val="00A845AE"/>
    <w:rsid w:val="00A846ED"/>
    <w:rsid w:val="00A84B97"/>
    <w:rsid w:val="00A84DCC"/>
    <w:rsid w:val="00A85FF8"/>
    <w:rsid w:val="00A863F6"/>
    <w:rsid w:val="00A87505"/>
    <w:rsid w:val="00A875D4"/>
    <w:rsid w:val="00A9014C"/>
    <w:rsid w:val="00A90898"/>
    <w:rsid w:val="00A90CAC"/>
    <w:rsid w:val="00A9158D"/>
    <w:rsid w:val="00A92DA4"/>
    <w:rsid w:val="00A93097"/>
    <w:rsid w:val="00A95953"/>
    <w:rsid w:val="00A95B8E"/>
    <w:rsid w:val="00A961C1"/>
    <w:rsid w:val="00A96F36"/>
    <w:rsid w:val="00AA0412"/>
    <w:rsid w:val="00AA23C4"/>
    <w:rsid w:val="00AA3533"/>
    <w:rsid w:val="00AA378F"/>
    <w:rsid w:val="00AA3DB8"/>
    <w:rsid w:val="00AA3F05"/>
    <w:rsid w:val="00AA4C4B"/>
    <w:rsid w:val="00AA4E43"/>
    <w:rsid w:val="00AA5970"/>
    <w:rsid w:val="00AA7E7A"/>
    <w:rsid w:val="00AB006A"/>
    <w:rsid w:val="00AB112E"/>
    <w:rsid w:val="00AB13F7"/>
    <w:rsid w:val="00AB2B04"/>
    <w:rsid w:val="00AB3778"/>
    <w:rsid w:val="00AB3A32"/>
    <w:rsid w:val="00AB4C8E"/>
    <w:rsid w:val="00AB4FAE"/>
    <w:rsid w:val="00AB4FC0"/>
    <w:rsid w:val="00AB65F2"/>
    <w:rsid w:val="00AB69FA"/>
    <w:rsid w:val="00AB734D"/>
    <w:rsid w:val="00AB742C"/>
    <w:rsid w:val="00AC076F"/>
    <w:rsid w:val="00AC2A6C"/>
    <w:rsid w:val="00AC2D2A"/>
    <w:rsid w:val="00AC2EBF"/>
    <w:rsid w:val="00AC45D7"/>
    <w:rsid w:val="00AC465A"/>
    <w:rsid w:val="00AC4E34"/>
    <w:rsid w:val="00AC4EA5"/>
    <w:rsid w:val="00AC5894"/>
    <w:rsid w:val="00AC5AEC"/>
    <w:rsid w:val="00AC628C"/>
    <w:rsid w:val="00AC629A"/>
    <w:rsid w:val="00AC669E"/>
    <w:rsid w:val="00AC67CC"/>
    <w:rsid w:val="00AC6E9B"/>
    <w:rsid w:val="00AC7ED7"/>
    <w:rsid w:val="00AD2192"/>
    <w:rsid w:val="00AD2438"/>
    <w:rsid w:val="00AD2657"/>
    <w:rsid w:val="00AD2B3E"/>
    <w:rsid w:val="00AD3018"/>
    <w:rsid w:val="00AD3B33"/>
    <w:rsid w:val="00AD3C77"/>
    <w:rsid w:val="00AD48FC"/>
    <w:rsid w:val="00AD5347"/>
    <w:rsid w:val="00AD68BA"/>
    <w:rsid w:val="00AD6AD0"/>
    <w:rsid w:val="00AD6C39"/>
    <w:rsid w:val="00AD7454"/>
    <w:rsid w:val="00AD7F34"/>
    <w:rsid w:val="00AE004C"/>
    <w:rsid w:val="00AE0AF1"/>
    <w:rsid w:val="00AE14CF"/>
    <w:rsid w:val="00AE20D2"/>
    <w:rsid w:val="00AE23C5"/>
    <w:rsid w:val="00AE316F"/>
    <w:rsid w:val="00AE4931"/>
    <w:rsid w:val="00AE4992"/>
    <w:rsid w:val="00AE68D8"/>
    <w:rsid w:val="00AE6A5B"/>
    <w:rsid w:val="00AE7B1C"/>
    <w:rsid w:val="00AE7F59"/>
    <w:rsid w:val="00AF0B56"/>
    <w:rsid w:val="00AF1038"/>
    <w:rsid w:val="00AF15E7"/>
    <w:rsid w:val="00AF1B9E"/>
    <w:rsid w:val="00AF2F31"/>
    <w:rsid w:val="00AF4E9D"/>
    <w:rsid w:val="00AF4EA7"/>
    <w:rsid w:val="00AF5081"/>
    <w:rsid w:val="00AF60C2"/>
    <w:rsid w:val="00AF65E2"/>
    <w:rsid w:val="00AF69A1"/>
    <w:rsid w:val="00AF7564"/>
    <w:rsid w:val="00AF79B1"/>
    <w:rsid w:val="00B00331"/>
    <w:rsid w:val="00B00B67"/>
    <w:rsid w:val="00B013F0"/>
    <w:rsid w:val="00B01425"/>
    <w:rsid w:val="00B02052"/>
    <w:rsid w:val="00B027EA"/>
    <w:rsid w:val="00B03BA9"/>
    <w:rsid w:val="00B0499B"/>
    <w:rsid w:val="00B0542E"/>
    <w:rsid w:val="00B05FCB"/>
    <w:rsid w:val="00B0616F"/>
    <w:rsid w:val="00B06943"/>
    <w:rsid w:val="00B07E75"/>
    <w:rsid w:val="00B07EC8"/>
    <w:rsid w:val="00B116D9"/>
    <w:rsid w:val="00B119A2"/>
    <w:rsid w:val="00B11A6A"/>
    <w:rsid w:val="00B12185"/>
    <w:rsid w:val="00B124BF"/>
    <w:rsid w:val="00B1272E"/>
    <w:rsid w:val="00B13B59"/>
    <w:rsid w:val="00B14800"/>
    <w:rsid w:val="00B156F9"/>
    <w:rsid w:val="00B16E35"/>
    <w:rsid w:val="00B17D8C"/>
    <w:rsid w:val="00B20896"/>
    <w:rsid w:val="00B21434"/>
    <w:rsid w:val="00B21C72"/>
    <w:rsid w:val="00B2233F"/>
    <w:rsid w:val="00B22616"/>
    <w:rsid w:val="00B26DB3"/>
    <w:rsid w:val="00B278E6"/>
    <w:rsid w:val="00B27AC9"/>
    <w:rsid w:val="00B30C4D"/>
    <w:rsid w:val="00B3103E"/>
    <w:rsid w:val="00B3194E"/>
    <w:rsid w:val="00B31AA5"/>
    <w:rsid w:val="00B31C0E"/>
    <w:rsid w:val="00B3252A"/>
    <w:rsid w:val="00B32C74"/>
    <w:rsid w:val="00B338E9"/>
    <w:rsid w:val="00B33A6E"/>
    <w:rsid w:val="00B35A27"/>
    <w:rsid w:val="00B36151"/>
    <w:rsid w:val="00B3681D"/>
    <w:rsid w:val="00B369B5"/>
    <w:rsid w:val="00B36FF6"/>
    <w:rsid w:val="00B375CD"/>
    <w:rsid w:val="00B37F60"/>
    <w:rsid w:val="00B4073B"/>
    <w:rsid w:val="00B40BB9"/>
    <w:rsid w:val="00B40DA6"/>
    <w:rsid w:val="00B4155F"/>
    <w:rsid w:val="00B437AB"/>
    <w:rsid w:val="00B43B1B"/>
    <w:rsid w:val="00B448FD"/>
    <w:rsid w:val="00B456FA"/>
    <w:rsid w:val="00B45B8D"/>
    <w:rsid w:val="00B45C2C"/>
    <w:rsid w:val="00B46339"/>
    <w:rsid w:val="00B4686E"/>
    <w:rsid w:val="00B46AD6"/>
    <w:rsid w:val="00B46D13"/>
    <w:rsid w:val="00B473E6"/>
    <w:rsid w:val="00B479B5"/>
    <w:rsid w:val="00B50A16"/>
    <w:rsid w:val="00B50C43"/>
    <w:rsid w:val="00B515E5"/>
    <w:rsid w:val="00B51ECD"/>
    <w:rsid w:val="00B5262D"/>
    <w:rsid w:val="00B536CE"/>
    <w:rsid w:val="00B55346"/>
    <w:rsid w:val="00B5561E"/>
    <w:rsid w:val="00B558BA"/>
    <w:rsid w:val="00B55BA5"/>
    <w:rsid w:val="00B5749C"/>
    <w:rsid w:val="00B5772A"/>
    <w:rsid w:val="00B6125C"/>
    <w:rsid w:val="00B6378E"/>
    <w:rsid w:val="00B644E4"/>
    <w:rsid w:val="00B657BC"/>
    <w:rsid w:val="00B65BB0"/>
    <w:rsid w:val="00B67015"/>
    <w:rsid w:val="00B67376"/>
    <w:rsid w:val="00B67D70"/>
    <w:rsid w:val="00B70667"/>
    <w:rsid w:val="00B7117E"/>
    <w:rsid w:val="00B71386"/>
    <w:rsid w:val="00B7198C"/>
    <w:rsid w:val="00B71CD2"/>
    <w:rsid w:val="00B72479"/>
    <w:rsid w:val="00B731B2"/>
    <w:rsid w:val="00B735A1"/>
    <w:rsid w:val="00B73E7D"/>
    <w:rsid w:val="00B7401B"/>
    <w:rsid w:val="00B74133"/>
    <w:rsid w:val="00B74BD2"/>
    <w:rsid w:val="00B760C4"/>
    <w:rsid w:val="00B770E9"/>
    <w:rsid w:val="00B77CE9"/>
    <w:rsid w:val="00B80499"/>
    <w:rsid w:val="00B815A2"/>
    <w:rsid w:val="00B8194B"/>
    <w:rsid w:val="00B81E71"/>
    <w:rsid w:val="00B820D7"/>
    <w:rsid w:val="00B8438F"/>
    <w:rsid w:val="00B84BD6"/>
    <w:rsid w:val="00B86C22"/>
    <w:rsid w:val="00B86E02"/>
    <w:rsid w:val="00B9098A"/>
    <w:rsid w:val="00B90AA1"/>
    <w:rsid w:val="00B91138"/>
    <w:rsid w:val="00B914F1"/>
    <w:rsid w:val="00B922F4"/>
    <w:rsid w:val="00B92A6D"/>
    <w:rsid w:val="00B92C00"/>
    <w:rsid w:val="00B93048"/>
    <w:rsid w:val="00B9357B"/>
    <w:rsid w:val="00B9361C"/>
    <w:rsid w:val="00B936D4"/>
    <w:rsid w:val="00B93D28"/>
    <w:rsid w:val="00B95233"/>
    <w:rsid w:val="00B954E1"/>
    <w:rsid w:val="00B95C0A"/>
    <w:rsid w:val="00B96082"/>
    <w:rsid w:val="00B96B2A"/>
    <w:rsid w:val="00B96C38"/>
    <w:rsid w:val="00B973EF"/>
    <w:rsid w:val="00B973F0"/>
    <w:rsid w:val="00B97422"/>
    <w:rsid w:val="00B97695"/>
    <w:rsid w:val="00B9798C"/>
    <w:rsid w:val="00B97B25"/>
    <w:rsid w:val="00B97EAB"/>
    <w:rsid w:val="00BA0280"/>
    <w:rsid w:val="00BA0671"/>
    <w:rsid w:val="00BA0C58"/>
    <w:rsid w:val="00BA0F98"/>
    <w:rsid w:val="00BA226F"/>
    <w:rsid w:val="00BA27F8"/>
    <w:rsid w:val="00BA2C60"/>
    <w:rsid w:val="00BA2CF5"/>
    <w:rsid w:val="00BA46A7"/>
    <w:rsid w:val="00BA53E3"/>
    <w:rsid w:val="00BA578E"/>
    <w:rsid w:val="00BA58DA"/>
    <w:rsid w:val="00BA5CD9"/>
    <w:rsid w:val="00BA7452"/>
    <w:rsid w:val="00BA7A96"/>
    <w:rsid w:val="00BB0133"/>
    <w:rsid w:val="00BB0AFF"/>
    <w:rsid w:val="00BB10D1"/>
    <w:rsid w:val="00BB1896"/>
    <w:rsid w:val="00BB1AC1"/>
    <w:rsid w:val="00BB1C18"/>
    <w:rsid w:val="00BB3E31"/>
    <w:rsid w:val="00BB5257"/>
    <w:rsid w:val="00BB60DC"/>
    <w:rsid w:val="00BB6B3D"/>
    <w:rsid w:val="00BB79A3"/>
    <w:rsid w:val="00BC0AE1"/>
    <w:rsid w:val="00BC0CFD"/>
    <w:rsid w:val="00BC18C7"/>
    <w:rsid w:val="00BC1FC1"/>
    <w:rsid w:val="00BC322C"/>
    <w:rsid w:val="00BC3EC4"/>
    <w:rsid w:val="00BC51FA"/>
    <w:rsid w:val="00BC59B4"/>
    <w:rsid w:val="00BC6FDB"/>
    <w:rsid w:val="00BC7832"/>
    <w:rsid w:val="00BD01B0"/>
    <w:rsid w:val="00BD0800"/>
    <w:rsid w:val="00BD1347"/>
    <w:rsid w:val="00BD16FD"/>
    <w:rsid w:val="00BD3D40"/>
    <w:rsid w:val="00BD5B3D"/>
    <w:rsid w:val="00BD6288"/>
    <w:rsid w:val="00BD62AB"/>
    <w:rsid w:val="00BD6621"/>
    <w:rsid w:val="00BE03DB"/>
    <w:rsid w:val="00BE0941"/>
    <w:rsid w:val="00BE2EA5"/>
    <w:rsid w:val="00BE3944"/>
    <w:rsid w:val="00BE4FAF"/>
    <w:rsid w:val="00BE63C4"/>
    <w:rsid w:val="00BE6DD3"/>
    <w:rsid w:val="00BE7239"/>
    <w:rsid w:val="00BF1208"/>
    <w:rsid w:val="00BF14AE"/>
    <w:rsid w:val="00BF1772"/>
    <w:rsid w:val="00BF1D1A"/>
    <w:rsid w:val="00BF1F25"/>
    <w:rsid w:val="00BF2F57"/>
    <w:rsid w:val="00BF3917"/>
    <w:rsid w:val="00BF477D"/>
    <w:rsid w:val="00BF5BCB"/>
    <w:rsid w:val="00BF6F26"/>
    <w:rsid w:val="00BF76ED"/>
    <w:rsid w:val="00BF7AF6"/>
    <w:rsid w:val="00C00796"/>
    <w:rsid w:val="00C007B0"/>
    <w:rsid w:val="00C010FE"/>
    <w:rsid w:val="00C0138D"/>
    <w:rsid w:val="00C01F1B"/>
    <w:rsid w:val="00C02A54"/>
    <w:rsid w:val="00C02BA9"/>
    <w:rsid w:val="00C0375C"/>
    <w:rsid w:val="00C03886"/>
    <w:rsid w:val="00C03A77"/>
    <w:rsid w:val="00C043D0"/>
    <w:rsid w:val="00C051C1"/>
    <w:rsid w:val="00C05B28"/>
    <w:rsid w:val="00C07B12"/>
    <w:rsid w:val="00C07BCC"/>
    <w:rsid w:val="00C07D89"/>
    <w:rsid w:val="00C10060"/>
    <w:rsid w:val="00C11648"/>
    <w:rsid w:val="00C1189D"/>
    <w:rsid w:val="00C11C36"/>
    <w:rsid w:val="00C11EFD"/>
    <w:rsid w:val="00C1211F"/>
    <w:rsid w:val="00C1255C"/>
    <w:rsid w:val="00C12765"/>
    <w:rsid w:val="00C127F1"/>
    <w:rsid w:val="00C14FDC"/>
    <w:rsid w:val="00C15146"/>
    <w:rsid w:val="00C153B9"/>
    <w:rsid w:val="00C15601"/>
    <w:rsid w:val="00C159E1"/>
    <w:rsid w:val="00C167D7"/>
    <w:rsid w:val="00C16E0A"/>
    <w:rsid w:val="00C21228"/>
    <w:rsid w:val="00C22DE7"/>
    <w:rsid w:val="00C231AA"/>
    <w:rsid w:val="00C236CA"/>
    <w:rsid w:val="00C23ED2"/>
    <w:rsid w:val="00C2481D"/>
    <w:rsid w:val="00C2498C"/>
    <w:rsid w:val="00C24B1E"/>
    <w:rsid w:val="00C24C91"/>
    <w:rsid w:val="00C252F9"/>
    <w:rsid w:val="00C266D3"/>
    <w:rsid w:val="00C30336"/>
    <w:rsid w:val="00C30425"/>
    <w:rsid w:val="00C31225"/>
    <w:rsid w:val="00C31A2F"/>
    <w:rsid w:val="00C31E2A"/>
    <w:rsid w:val="00C32CE5"/>
    <w:rsid w:val="00C3344B"/>
    <w:rsid w:val="00C33B4F"/>
    <w:rsid w:val="00C340D2"/>
    <w:rsid w:val="00C3573B"/>
    <w:rsid w:val="00C3590F"/>
    <w:rsid w:val="00C35C34"/>
    <w:rsid w:val="00C3604E"/>
    <w:rsid w:val="00C369AC"/>
    <w:rsid w:val="00C36A79"/>
    <w:rsid w:val="00C378A9"/>
    <w:rsid w:val="00C378EC"/>
    <w:rsid w:val="00C404F4"/>
    <w:rsid w:val="00C40C5F"/>
    <w:rsid w:val="00C41AF7"/>
    <w:rsid w:val="00C41B3F"/>
    <w:rsid w:val="00C43B9E"/>
    <w:rsid w:val="00C43D2A"/>
    <w:rsid w:val="00C448B2"/>
    <w:rsid w:val="00C44C23"/>
    <w:rsid w:val="00C45B40"/>
    <w:rsid w:val="00C46997"/>
    <w:rsid w:val="00C4716C"/>
    <w:rsid w:val="00C47C3D"/>
    <w:rsid w:val="00C5171D"/>
    <w:rsid w:val="00C5175B"/>
    <w:rsid w:val="00C51FC6"/>
    <w:rsid w:val="00C5208C"/>
    <w:rsid w:val="00C52C6C"/>
    <w:rsid w:val="00C534FE"/>
    <w:rsid w:val="00C535E5"/>
    <w:rsid w:val="00C545A8"/>
    <w:rsid w:val="00C55096"/>
    <w:rsid w:val="00C552EA"/>
    <w:rsid w:val="00C55D08"/>
    <w:rsid w:val="00C56B3B"/>
    <w:rsid w:val="00C56D96"/>
    <w:rsid w:val="00C57E5E"/>
    <w:rsid w:val="00C61209"/>
    <w:rsid w:val="00C61447"/>
    <w:rsid w:val="00C617B1"/>
    <w:rsid w:val="00C6231E"/>
    <w:rsid w:val="00C624F0"/>
    <w:rsid w:val="00C625CB"/>
    <w:rsid w:val="00C634FE"/>
    <w:rsid w:val="00C6397D"/>
    <w:rsid w:val="00C64FA8"/>
    <w:rsid w:val="00C65E89"/>
    <w:rsid w:val="00C6639F"/>
    <w:rsid w:val="00C67819"/>
    <w:rsid w:val="00C67832"/>
    <w:rsid w:val="00C67CB1"/>
    <w:rsid w:val="00C70EF6"/>
    <w:rsid w:val="00C710D0"/>
    <w:rsid w:val="00C71F91"/>
    <w:rsid w:val="00C72025"/>
    <w:rsid w:val="00C728CD"/>
    <w:rsid w:val="00C72ED6"/>
    <w:rsid w:val="00C73CDE"/>
    <w:rsid w:val="00C75D8B"/>
    <w:rsid w:val="00C76FC3"/>
    <w:rsid w:val="00C777B8"/>
    <w:rsid w:val="00C804F2"/>
    <w:rsid w:val="00C80628"/>
    <w:rsid w:val="00C81792"/>
    <w:rsid w:val="00C81984"/>
    <w:rsid w:val="00C82BB4"/>
    <w:rsid w:val="00C82D4D"/>
    <w:rsid w:val="00C8308A"/>
    <w:rsid w:val="00C832E6"/>
    <w:rsid w:val="00C84054"/>
    <w:rsid w:val="00C84478"/>
    <w:rsid w:val="00C849FF"/>
    <w:rsid w:val="00C8504A"/>
    <w:rsid w:val="00C85253"/>
    <w:rsid w:val="00C85C49"/>
    <w:rsid w:val="00C85C91"/>
    <w:rsid w:val="00C85FCD"/>
    <w:rsid w:val="00C87106"/>
    <w:rsid w:val="00C87F5F"/>
    <w:rsid w:val="00C90507"/>
    <w:rsid w:val="00C90D6B"/>
    <w:rsid w:val="00C9157B"/>
    <w:rsid w:val="00C94AAF"/>
    <w:rsid w:val="00C94D7D"/>
    <w:rsid w:val="00C95A2A"/>
    <w:rsid w:val="00C95D10"/>
    <w:rsid w:val="00C9606C"/>
    <w:rsid w:val="00C9617A"/>
    <w:rsid w:val="00C97764"/>
    <w:rsid w:val="00CA0543"/>
    <w:rsid w:val="00CA1E90"/>
    <w:rsid w:val="00CA3C72"/>
    <w:rsid w:val="00CA3FAE"/>
    <w:rsid w:val="00CA438F"/>
    <w:rsid w:val="00CA5433"/>
    <w:rsid w:val="00CA64B8"/>
    <w:rsid w:val="00CA6825"/>
    <w:rsid w:val="00CA77C7"/>
    <w:rsid w:val="00CB1957"/>
    <w:rsid w:val="00CB1BEE"/>
    <w:rsid w:val="00CB2448"/>
    <w:rsid w:val="00CB25EC"/>
    <w:rsid w:val="00CB2A74"/>
    <w:rsid w:val="00CB343E"/>
    <w:rsid w:val="00CB396F"/>
    <w:rsid w:val="00CB3FFD"/>
    <w:rsid w:val="00CB441C"/>
    <w:rsid w:val="00CB5CE6"/>
    <w:rsid w:val="00CB5EA6"/>
    <w:rsid w:val="00CB6A7B"/>
    <w:rsid w:val="00CB75D2"/>
    <w:rsid w:val="00CC09CF"/>
    <w:rsid w:val="00CC1120"/>
    <w:rsid w:val="00CC1369"/>
    <w:rsid w:val="00CC1439"/>
    <w:rsid w:val="00CC1CD8"/>
    <w:rsid w:val="00CC1DC8"/>
    <w:rsid w:val="00CC3A22"/>
    <w:rsid w:val="00CC4398"/>
    <w:rsid w:val="00CC548A"/>
    <w:rsid w:val="00CC59C6"/>
    <w:rsid w:val="00CC6801"/>
    <w:rsid w:val="00CC70A3"/>
    <w:rsid w:val="00CC7DEE"/>
    <w:rsid w:val="00CD0B26"/>
    <w:rsid w:val="00CD2128"/>
    <w:rsid w:val="00CD247D"/>
    <w:rsid w:val="00CD498C"/>
    <w:rsid w:val="00CD52A3"/>
    <w:rsid w:val="00CD5785"/>
    <w:rsid w:val="00CD5979"/>
    <w:rsid w:val="00CD5D3A"/>
    <w:rsid w:val="00CD713E"/>
    <w:rsid w:val="00CD7263"/>
    <w:rsid w:val="00CD7571"/>
    <w:rsid w:val="00CE0293"/>
    <w:rsid w:val="00CE0FEE"/>
    <w:rsid w:val="00CE1C4E"/>
    <w:rsid w:val="00CE1D3B"/>
    <w:rsid w:val="00CE20F5"/>
    <w:rsid w:val="00CE2D2A"/>
    <w:rsid w:val="00CE40B1"/>
    <w:rsid w:val="00CE4644"/>
    <w:rsid w:val="00CE481C"/>
    <w:rsid w:val="00CE4AA3"/>
    <w:rsid w:val="00CE5FF4"/>
    <w:rsid w:val="00CE6289"/>
    <w:rsid w:val="00CE6828"/>
    <w:rsid w:val="00CF07F9"/>
    <w:rsid w:val="00CF0AF7"/>
    <w:rsid w:val="00CF20A4"/>
    <w:rsid w:val="00CF395F"/>
    <w:rsid w:val="00CF3B59"/>
    <w:rsid w:val="00CF3C6E"/>
    <w:rsid w:val="00CF4331"/>
    <w:rsid w:val="00CF52D1"/>
    <w:rsid w:val="00CF531E"/>
    <w:rsid w:val="00CF604B"/>
    <w:rsid w:val="00CF62D9"/>
    <w:rsid w:val="00CF66D8"/>
    <w:rsid w:val="00CF742C"/>
    <w:rsid w:val="00CF78B6"/>
    <w:rsid w:val="00CF7F3C"/>
    <w:rsid w:val="00D00E91"/>
    <w:rsid w:val="00D01302"/>
    <w:rsid w:val="00D013EA"/>
    <w:rsid w:val="00D014A1"/>
    <w:rsid w:val="00D015A6"/>
    <w:rsid w:val="00D01F7E"/>
    <w:rsid w:val="00D02200"/>
    <w:rsid w:val="00D023A6"/>
    <w:rsid w:val="00D04379"/>
    <w:rsid w:val="00D046DE"/>
    <w:rsid w:val="00D0501A"/>
    <w:rsid w:val="00D05482"/>
    <w:rsid w:val="00D05B34"/>
    <w:rsid w:val="00D066D2"/>
    <w:rsid w:val="00D06956"/>
    <w:rsid w:val="00D06B00"/>
    <w:rsid w:val="00D07732"/>
    <w:rsid w:val="00D07E9A"/>
    <w:rsid w:val="00D10330"/>
    <w:rsid w:val="00D106C5"/>
    <w:rsid w:val="00D107BD"/>
    <w:rsid w:val="00D10DC9"/>
    <w:rsid w:val="00D11267"/>
    <w:rsid w:val="00D12059"/>
    <w:rsid w:val="00D1225B"/>
    <w:rsid w:val="00D15045"/>
    <w:rsid w:val="00D15F2A"/>
    <w:rsid w:val="00D17187"/>
    <w:rsid w:val="00D204CD"/>
    <w:rsid w:val="00D20AAF"/>
    <w:rsid w:val="00D21445"/>
    <w:rsid w:val="00D21E6B"/>
    <w:rsid w:val="00D235AE"/>
    <w:rsid w:val="00D23908"/>
    <w:rsid w:val="00D23C76"/>
    <w:rsid w:val="00D244EF"/>
    <w:rsid w:val="00D253E4"/>
    <w:rsid w:val="00D26232"/>
    <w:rsid w:val="00D26490"/>
    <w:rsid w:val="00D26CA4"/>
    <w:rsid w:val="00D2769E"/>
    <w:rsid w:val="00D3038D"/>
    <w:rsid w:val="00D30A8C"/>
    <w:rsid w:val="00D3143B"/>
    <w:rsid w:val="00D31C00"/>
    <w:rsid w:val="00D32162"/>
    <w:rsid w:val="00D3230B"/>
    <w:rsid w:val="00D3270D"/>
    <w:rsid w:val="00D32B9A"/>
    <w:rsid w:val="00D33EFC"/>
    <w:rsid w:val="00D3473F"/>
    <w:rsid w:val="00D3486E"/>
    <w:rsid w:val="00D34C35"/>
    <w:rsid w:val="00D34C91"/>
    <w:rsid w:val="00D3583E"/>
    <w:rsid w:val="00D35A11"/>
    <w:rsid w:val="00D3785F"/>
    <w:rsid w:val="00D3799E"/>
    <w:rsid w:val="00D37AFB"/>
    <w:rsid w:val="00D40207"/>
    <w:rsid w:val="00D403C2"/>
    <w:rsid w:val="00D41823"/>
    <w:rsid w:val="00D4236B"/>
    <w:rsid w:val="00D4268C"/>
    <w:rsid w:val="00D428A2"/>
    <w:rsid w:val="00D429E8"/>
    <w:rsid w:val="00D43995"/>
    <w:rsid w:val="00D44191"/>
    <w:rsid w:val="00D452D3"/>
    <w:rsid w:val="00D45461"/>
    <w:rsid w:val="00D45761"/>
    <w:rsid w:val="00D45BEF"/>
    <w:rsid w:val="00D46727"/>
    <w:rsid w:val="00D46F41"/>
    <w:rsid w:val="00D470DA"/>
    <w:rsid w:val="00D47A42"/>
    <w:rsid w:val="00D50282"/>
    <w:rsid w:val="00D502C8"/>
    <w:rsid w:val="00D50A54"/>
    <w:rsid w:val="00D5191B"/>
    <w:rsid w:val="00D51B74"/>
    <w:rsid w:val="00D52083"/>
    <w:rsid w:val="00D52373"/>
    <w:rsid w:val="00D52784"/>
    <w:rsid w:val="00D52AE4"/>
    <w:rsid w:val="00D534BF"/>
    <w:rsid w:val="00D54430"/>
    <w:rsid w:val="00D54B60"/>
    <w:rsid w:val="00D54CD1"/>
    <w:rsid w:val="00D553E7"/>
    <w:rsid w:val="00D56C0A"/>
    <w:rsid w:val="00D57112"/>
    <w:rsid w:val="00D5753A"/>
    <w:rsid w:val="00D60782"/>
    <w:rsid w:val="00D60C78"/>
    <w:rsid w:val="00D615A8"/>
    <w:rsid w:val="00D622A4"/>
    <w:rsid w:val="00D6293B"/>
    <w:rsid w:val="00D643FE"/>
    <w:rsid w:val="00D64628"/>
    <w:rsid w:val="00D64A80"/>
    <w:rsid w:val="00D65E7C"/>
    <w:rsid w:val="00D667E0"/>
    <w:rsid w:val="00D6768B"/>
    <w:rsid w:val="00D67A4B"/>
    <w:rsid w:val="00D67A96"/>
    <w:rsid w:val="00D70109"/>
    <w:rsid w:val="00D7074A"/>
    <w:rsid w:val="00D708A2"/>
    <w:rsid w:val="00D70D3F"/>
    <w:rsid w:val="00D71919"/>
    <w:rsid w:val="00D72620"/>
    <w:rsid w:val="00D731B9"/>
    <w:rsid w:val="00D74058"/>
    <w:rsid w:val="00D75219"/>
    <w:rsid w:val="00D757E9"/>
    <w:rsid w:val="00D75A9D"/>
    <w:rsid w:val="00D75B3E"/>
    <w:rsid w:val="00D75C48"/>
    <w:rsid w:val="00D76675"/>
    <w:rsid w:val="00D76B4C"/>
    <w:rsid w:val="00D76E04"/>
    <w:rsid w:val="00D77DAD"/>
    <w:rsid w:val="00D805B0"/>
    <w:rsid w:val="00D80775"/>
    <w:rsid w:val="00D80B38"/>
    <w:rsid w:val="00D82162"/>
    <w:rsid w:val="00D828F9"/>
    <w:rsid w:val="00D82F08"/>
    <w:rsid w:val="00D832DF"/>
    <w:rsid w:val="00D83FBD"/>
    <w:rsid w:val="00D85A65"/>
    <w:rsid w:val="00D85D3C"/>
    <w:rsid w:val="00D87340"/>
    <w:rsid w:val="00D87B92"/>
    <w:rsid w:val="00D87DCB"/>
    <w:rsid w:val="00D87FC4"/>
    <w:rsid w:val="00D900CD"/>
    <w:rsid w:val="00D911AE"/>
    <w:rsid w:val="00D91978"/>
    <w:rsid w:val="00D91E34"/>
    <w:rsid w:val="00D9347E"/>
    <w:rsid w:val="00D93B1D"/>
    <w:rsid w:val="00D9543D"/>
    <w:rsid w:val="00D9595F"/>
    <w:rsid w:val="00D96AB6"/>
    <w:rsid w:val="00D9764F"/>
    <w:rsid w:val="00D979AE"/>
    <w:rsid w:val="00DA088F"/>
    <w:rsid w:val="00DA0B95"/>
    <w:rsid w:val="00DA0C69"/>
    <w:rsid w:val="00DA24CD"/>
    <w:rsid w:val="00DA3E45"/>
    <w:rsid w:val="00DA4330"/>
    <w:rsid w:val="00DA551B"/>
    <w:rsid w:val="00DA5569"/>
    <w:rsid w:val="00DA562F"/>
    <w:rsid w:val="00DA5CB0"/>
    <w:rsid w:val="00DA6853"/>
    <w:rsid w:val="00DA7DF1"/>
    <w:rsid w:val="00DB13AF"/>
    <w:rsid w:val="00DB3487"/>
    <w:rsid w:val="00DB3B6A"/>
    <w:rsid w:val="00DB3ED0"/>
    <w:rsid w:val="00DB5032"/>
    <w:rsid w:val="00DB5754"/>
    <w:rsid w:val="00DB59A6"/>
    <w:rsid w:val="00DB5FA8"/>
    <w:rsid w:val="00DB631D"/>
    <w:rsid w:val="00DB6523"/>
    <w:rsid w:val="00DB68AD"/>
    <w:rsid w:val="00DB7F11"/>
    <w:rsid w:val="00DC1005"/>
    <w:rsid w:val="00DC267D"/>
    <w:rsid w:val="00DC31FE"/>
    <w:rsid w:val="00DC333A"/>
    <w:rsid w:val="00DC43F3"/>
    <w:rsid w:val="00DC50BB"/>
    <w:rsid w:val="00DC51E5"/>
    <w:rsid w:val="00DC520E"/>
    <w:rsid w:val="00DC55EB"/>
    <w:rsid w:val="00DC5A19"/>
    <w:rsid w:val="00DC5C08"/>
    <w:rsid w:val="00DC62E1"/>
    <w:rsid w:val="00DC6697"/>
    <w:rsid w:val="00DC7C1B"/>
    <w:rsid w:val="00DC7FFB"/>
    <w:rsid w:val="00DD048F"/>
    <w:rsid w:val="00DD119C"/>
    <w:rsid w:val="00DD15EB"/>
    <w:rsid w:val="00DD1777"/>
    <w:rsid w:val="00DD21C1"/>
    <w:rsid w:val="00DD284F"/>
    <w:rsid w:val="00DD2883"/>
    <w:rsid w:val="00DD3616"/>
    <w:rsid w:val="00DD4683"/>
    <w:rsid w:val="00DD6D92"/>
    <w:rsid w:val="00DD753C"/>
    <w:rsid w:val="00DD7C39"/>
    <w:rsid w:val="00DE0860"/>
    <w:rsid w:val="00DE2EDE"/>
    <w:rsid w:val="00DE3CAB"/>
    <w:rsid w:val="00DE47AD"/>
    <w:rsid w:val="00DE4A6D"/>
    <w:rsid w:val="00DE4BE4"/>
    <w:rsid w:val="00DE5E8D"/>
    <w:rsid w:val="00DE604E"/>
    <w:rsid w:val="00DE6361"/>
    <w:rsid w:val="00DE70BF"/>
    <w:rsid w:val="00DE7878"/>
    <w:rsid w:val="00DF0761"/>
    <w:rsid w:val="00DF0C16"/>
    <w:rsid w:val="00DF2428"/>
    <w:rsid w:val="00DF2612"/>
    <w:rsid w:val="00DF2A21"/>
    <w:rsid w:val="00DF2BE2"/>
    <w:rsid w:val="00DF45D8"/>
    <w:rsid w:val="00DF4B0C"/>
    <w:rsid w:val="00DF539D"/>
    <w:rsid w:val="00DF5799"/>
    <w:rsid w:val="00DF631D"/>
    <w:rsid w:val="00DF638A"/>
    <w:rsid w:val="00DF723F"/>
    <w:rsid w:val="00DF7285"/>
    <w:rsid w:val="00DF7FA8"/>
    <w:rsid w:val="00E009AE"/>
    <w:rsid w:val="00E00ACD"/>
    <w:rsid w:val="00E02BD6"/>
    <w:rsid w:val="00E0345C"/>
    <w:rsid w:val="00E03598"/>
    <w:rsid w:val="00E03C8B"/>
    <w:rsid w:val="00E03E40"/>
    <w:rsid w:val="00E042B1"/>
    <w:rsid w:val="00E04575"/>
    <w:rsid w:val="00E04B70"/>
    <w:rsid w:val="00E04D51"/>
    <w:rsid w:val="00E0657E"/>
    <w:rsid w:val="00E06ADC"/>
    <w:rsid w:val="00E07DD3"/>
    <w:rsid w:val="00E103C6"/>
    <w:rsid w:val="00E10ACF"/>
    <w:rsid w:val="00E11B93"/>
    <w:rsid w:val="00E12185"/>
    <w:rsid w:val="00E1245E"/>
    <w:rsid w:val="00E125F6"/>
    <w:rsid w:val="00E12920"/>
    <w:rsid w:val="00E14337"/>
    <w:rsid w:val="00E143A1"/>
    <w:rsid w:val="00E14B9A"/>
    <w:rsid w:val="00E15DB3"/>
    <w:rsid w:val="00E1615D"/>
    <w:rsid w:val="00E16EB2"/>
    <w:rsid w:val="00E17518"/>
    <w:rsid w:val="00E1763D"/>
    <w:rsid w:val="00E20017"/>
    <w:rsid w:val="00E20887"/>
    <w:rsid w:val="00E20DDF"/>
    <w:rsid w:val="00E22AB0"/>
    <w:rsid w:val="00E22C52"/>
    <w:rsid w:val="00E23243"/>
    <w:rsid w:val="00E2361C"/>
    <w:rsid w:val="00E24313"/>
    <w:rsid w:val="00E24ACD"/>
    <w:rsid w:val="00E25966"/>
    <w:rsid w:val="00E278A0"/>
    <w:rsid w:val="00E30042"/>
    <w:rsid w:val="00E30B97"/>
    <w:rsid w:val="00E31AB6"/>
    <w:rsid w:val="00E32375"/>
    <w:rsid w:val="00E32470"/>
    <w:rsid w:val="00E328CD"/>
    <w:rsid w:val="00E3293F"/>
    <w:rsid w:val="00E32B8B"/>
    <w:rsid w:val="00E32DE6"/>
    <w:rsid w:val="00E32E2E"/>
    <w:rsid w:val="00E346AE"/>
    <w:rsid w:val="00E36AAF"/>
    <w:rsid w:val="00E37927"/>
    <w:rsid w:val="00E40349"/>
    <w:rsid w:val="00E40476"/>
    <w:rsid w:val="00E4207E"/>
    <w:rsid w:val="00E42F3B"/>
    <w:rsid w:val="00E4363F"/>
    <w:rsid w:val="00E4375A"/>
    <w:rsid w:val="00E437B9"/>
    <w:rsid w:val="00E4410F"/>
    <w:rsid w:val="00E44CC8"/>
    <w:rsid w:val="00E44EA3"/>
    <w:rsid w:val="00E44EAF"/>
    <w:rsid w:val="00E44FDA"/>
    <w:rsid w:val="00E4504A"/>
    <w:rsid w:val="00E45620"/>
    <w:rsid w:val="00E45821"/>
    <w:rsid w:val="00E45CF3"/>
    <w:rsid w:val="00E466A2"/>
    <w:rsid w:val="00E47D44"/>
    <w:rsid w:val="00E503FC"/>
    <w:rsid w:val="00E511AB"/>
    <w:rsid w:val="00E512D9"/>
    <w:rsid w:val="00E516DF"/>
    <w:rsid w:val="00E524A0"/>
    <w:rsid w:val="00E531FF"/>
    <w:rsid w:val="00E53C9D"/>
    <w:rsid w:val="00E55367"/>
    <w:rsid w:val="00E55913"/>
    <w:rsid w:val="00E55A15"/>
    <w:rsid w:val="00E569B3"/>
    <w:rsid w:val="00E56EDA"/>
    <w:rsid w:val="00E571D9"/>
    <w:rsid w:val="00E61009"/>
    <w:rsid w:val="00E62157"/>
    <w:rsid w:val="00E62243"/>
    <w:rsid w:val="00E62937"/>
    <w:rsid w:val="00E6357B"/>
    <w:rsid w:val="00E6378E"/>
    <w:rsid w:val="00E63AF7"/>
    <w:rsid w:val="00E66377"/>
    <w:rsid w:val="00E672B2"/>
    <w:rsid w:val="00E70814"/>
    <w:rsid w:val="00E71BA7"/>
    <w:rsid w:val="00E72611"/>
    <w:rsid w:val="00E72A58"/>
    <w:rsid w:val="00E72F93"/>
    <w:rsid w:val="00E739E8"/>
    <w:rsid w:val="00E744BD"/>
    <w:rsid w:val="00E75A9F"/>
    <w:rsid w:val="00E75CF5"/>
    <w:rsid w:val="00E800B3"/>
    <w:rsid w:val="00E80164"/>
    <w:rsid w:val="00E81803"/>
    <w:rsid w:val="00E819FF"/>
    <w:rsid w:val="00E83023"/>
    <w:rsid w:val="00E830AB"/>
    <w:rsid w:val="00E833ED"/>
    <w:rsid w:val="00E83592"/>
    <w:rsid w:val="00E83AC9"/>
    <w:rsid w:val="00E83D7E"/>
    <w:rsid w:val="00E84537"/>
    <w:rsid w:val="00E85953"/>
    <w:rsid w:val="00E85BA9"/>
    <w:rsid w:val="00E86925"/>
    <w:rsid w:val="00E86BA4"/>
    <w:rsid w:val="00E86C9B"/>
    <w:rsid w:val="00E86D80"/>
    <w:rsid w:val="00E87185"/>
    <w:rsid w:val="00E87EBF"/>
    <w:rsid w:val="00E903C2"/>
    <w:rsid w:val="00E90467"/>
    <w:rsid w:val="00E90906"/>
    <w:rsid w:val="00E9139E"/>
    <w:rsid w:val="00E91973"/>
    <w:rsid w:val="00E9200E"/>
    <w:rsid w:val="00E9218E"/>
    <w:rsid w:val="00E92D8E"/>
    <w:rsid w:val="00E92DE0"/>
    <w:rsid w:val="00E93265"/>
    <w:rsid w:val="00E938A5"/>
    <w:rsid w:val="00E945D9"/>
    <w:rsid w:val="00E9500D"/>
    <w:rsid w:val="00E950BC"/>
    <w:rsid w:val="00E96616"/>
    <w:rsid w:val="00EA0586"/>
    <w:rsid w:val="00EA0F0F"/>
    <w:rsid w:val="00EA1277"/>
    <w:rsid w:val="00EA157E"/>
    <w:rsid w:val="00EA1AF7"/>
    <w:rsid w:val="00EA25A6"/>
    <w:rsid w:val="00EA2BC4"/>
    <w:rsid w:val="00EA3FE6"/>
    <w:rsid w:val="00EA40F0"/>
    <w:rsid w:val="00EA4324"/>
    <w:rsid w:val="00EA4764"/>
    <w:rsid w:val="00EA49FE"/>
    <w:rsid w:val="00EA4F3E"/>
    <w:rsid w:val="00EA5205"/>
    <w:rsid w:val="00EA6DA1"/>
    <w:rsid w:val="00EA6F5D"/>
    <w:rsid w:val="00EB002A"/>
    <w:rsid w:val="00EB0E2F"/>
    <w:rsid w:val="00EB0F50"/>
    <w:rsid w:val="00EB113E"/>
    <w:rsid w:val="00EB1458"/>
    <w:rsid w:val="00EB197A"/>
    <w:rsid w:val="00EB36FE"/>
    <w:rsid w:val="00EB3DEE"/>
    <w:rsid w:val="00EB4154"/>
    <w:rsid w:val="00EB4762"/>
    <w:rsid w:val="00EB4B3C"/>
    <w:rsid w:val="00EB4D1C"/>
    <w:rsid w:val="00EB4D23"/>
    <w:rsid w:val="00EB4DD4"/>
    <w:rsid w:val="00EB501C"/>
    <w:rsid w:val="00EB5565"/>
    <w:rsid w:val="00EB64EC"/>
    <w:rsid w:val="00EB6612"/>
    <w:rsid w:val="00EB6A21"/>
    <w:rsid w:val="00EB775F"/>
    <w:rsid w:val="00EC14BE"/>
    <w:rsid w:val="00EC21F1"/>
    <w:rsid w:val="00EC2F10"/>
    <w:rsid w:val="00EC330E"/>
    <w:rsid w:val="00EC34A6"/>
    <w:rsid w:val="00EC3831"/>
    <w:rsid w:val="00EC4948"/>
    <w:rsid w:val="00EC4ED3"/>
    <w:rsid w:val="00EC565B"/>
    <w:rsid w:val="00EC5771"/>
    <w:rsid w:val="00EC587D"/>
    <w:rsid w:val="00EC58A3"/>
    <w:rsid w:val="00EC7881"/>
    <w:rsid w:val="00EC7A50"/>
    <w:rsid w:val="00EC7A7B"/>
    <w:rsid w:val="00EC7FAC"/>
    <w:rsid w:val="00ED0789"/>
    <w:rsid w:val="00ED3CCC"/>
    <w:rsid w:val="00ED6638"/>
    <w:rsid w:val="00ED7404"/>
    <w:rsid w:val="00ED7F64"/>
    <w:rsid w:val="00EE1BBB"/>
    <w:rsid w:val="00EE1BD0"/>
    <w:rsid w:val="00EE1EFD"/>
    <w:rsid w:val="00EE230A"/>
    <w:rsid w:val="00EE4688"/>
    <w:rsid w:val="00EE47D3"/>
    <w:rsid w:val="00EE5119"/>
    <w:rsid w:val="00EE5AED"/>
    <w:rsid w:val="00EE6E8C"/>
    <w:rsid w:val="00EE7586"/>
    <w:rsid w:val="00EE7ED3"/>
    <w:rsid w:val="00EF0634"/>
    <w:rsid w:val="00EF0DBD"/>
    <w:rsid w:val="00EF0E64"/>
    <w:rsid w:val="00EF1342"/>
    <w:rsid w:val="00EF1359"/>
    <w:rsid w:val="00EF1D03"/>
    <w:rsid w:val="00EF4274"/>
    <w:rsid w:val="00EF48CE"/>
    <w:rsid w:val="00EF5191"/>
    <w:rsid w:val="00EF5D99"/>
    <w:rsid w:val="00EF651B"/>
    <w:rsid w:val="00EF6528"/>
    <w:rsid w:val="00F00344"/>
    <w:rsid w:val="00F00B0F"/>
    <w:rsid w:val="00F01109"/>
    <w:rsid w:val="00F018AA"/>
    <w:rsid w:val="00F028FD"/>
    <w:rsid w:val="00F02BF5"/>
    <w:rsid w:val="00F02F16"/>
    <w:rsid w:val="00F02FA3"/>
    <w:rsid w:val="00F04592"/>
    <w:rsid w:val="00F06525"/>
    <w:rsid w:val="00F07019"/>
    <w:rsid w:val="00F074D4"/>
    <w:rsid w:val="00F07AF5"/>
    <w:rsid w:val="00F07C3A"/>
    <w:rsid w:val="00F10147"/>
    <w:rsid w:val="00F11427"/>
    <w:rsid w:val="00F11556"/>
    <w:rsid w:val="00F11D10"/>
    <w:rsid w:val="00F11FA8"/>
    <w:rsid w:val="00F13866"/>
    <w:rsid w:val="00F145A5"/>
    <w:rsid w:val="00F1469F"/>
    <w:rsid w:val="00F157BB"/>
    <w:rsid w:val="00F15E4B"/>
    <w:rsid w:val="00F16091"/>
    <w:rsid w:val="00F16842"/>
    <w:rsid w:val="00F16878"/>
    <w:rsid w:val="00F168ED"/>
    <w:rsid w:val="00F16B59"/>
    <w:rsid w:val="00F224C1"/>
    <w:rsid w:val="00F2259C"/>
    <w:rsid w:val="00F2350F"/>
    <w:rsid w:val="00F24E21"/>
    <w:rsid w:val="00F25097"/>
    <w:rsid w:val="00F25D4F"/>
    <w:rsid w:val="00F25EEE"/>
    <w:rsid w:val="00F26045"/>
    <w:rsid w:val="00F263A5"/>
    <w:rsid w:val="00F26454"/>
    <w:rsid w:val="00F27329"/>
    <w:rsid w:val="00F27BFD"/>
    <w:rsid w:val="00F304C8"/>
    <w:rsid w:val="00F30B6F"/>
    <w:rsid w:val="00F32C31"/>
    <w:rsid w:val="00F32E5F"/>
    <w:rsid w:val="00F32FCF"/>
    <w:rsid w:val="00F3366E"/>
    <w:rsid w:val="00F33FFA"/>
    <w:rsid w:val="00F4015F"/>
    <w:rsid w:val="00F406C0"/>
    <w:rsid w:val="00F41478"/>
    <w:rsid w:val="00F4277F"/>
    <w:rsid w:val="00F437BA"/>
    <w:rsid w:val="00F43DF3"/>
    <w:rsid w:val="00F446A5"/>
    <w:rsid w:val="00F46811"/>
    <w:rsid w:val="00F50292"/>
    <w:rsid w:val="00F502CF"/>
    <w:rsid w:val="00F5095B"/>
    <w:rsid w:val="00F50F9C"/>
    <w:rsid w:val="00F51584"/>
    <w:rsid w:val="00F51BE6"/>
    <w:rsid w:val="00F527AB"/>
    <w:rsid w:val="00F53009"/>
    <w:rsid w:val="00F531F3"/>
    <w:rsid w:val="00F534DE"/>
    <w:rsid w:val="00F542C8"/>
    <w:rsid w:val="00F5512A"/>
    <w:rsid w:val="00F55425"/>
    <w:rsid w:val="00F5578A"/>
    <w:rsid w:val="00F56E9F"/>
    <w:rsid w:val="00F5738C"/>
    <w:rsid w:val="00F57F82"/>
    <w:rsid w:val="00F60318"/>
    <w:rsid w:val="00F607AE"/>
    <w:rsid w:val="00F60E35"/>
    <w:rsid w:val="00F60F9B"/>
    <w:rsid w:val="00F6130D"/>
    <w:rsid w:val="00F614AF"/>
    <w:rsid w:val="00F6229B"/>
    <w:rsid w:val="00F62FF1"/>
    <w:rsid w:val="00F63DBD"/>
    <w:rsid w:val="00F659F7"/>
    <w:rsid w:val="00F65BC4"/>
    <w:rsid w:val="00F677D7"/>
    <w:rsid w:val="00F67AF9"/>
    <w:rsid w:val="00F7011F"/>
    <w:rsid w:val="00F70457"/>
    <w:rsid w:val="00F714DF"/>
    <w:rsid w:val="00F71930"/>
    <w:rsid w:val="00F71CB3"/>
    <w:rsid w:val="00F72480"/>
    <w:rsid w:val="00F730A9"/>
    <w:rsid w:val="00F7336C"/>
    <w:rsid w:val="00F73492"/>
    <w:rsid w:val="00F740BC"/>
    <w:rsid w:val="00F75F5B"/>
    <w:rsid w:val="00F75FD1"/>
    <w:rsid w:val="00F762A8"/>
    <w:rsid w:val="00F76535"/>
    <w:rsid w:val="00F76862"/>
    <w:rsid w:val="00F768BD"/>
    <w:rsid w:val="00F77C90"/>
    <w:rsid w:val="00F77CE6"/>
    <w:rsid w:val="00F8045D"/>
    <w:rsid w:val="00F80494"/>
    <w:rsid w:val="00F80671"/>
    <w:rsid w:val="00F819FE"/>
    <w:rsid w:val="00F8255F"/>
    <w:rsid w:val="00F82806"/>
    <w:rsid w:val="00F82A79"/>
    <w:rsid w:val="00F82DF7"/>
    <w:rsid w:val="00F8332D"/>
    <w:rsid w:val="00F84865"/>
    <w:rsid w:val="00F85192"/>
    <w:rsid w:val="00F86789"/>
    <w:rsid w:val="00F87014"/>
    <w:rsid w:val="00F9010A"/>
    <w:rsid w:val="00F902DB"/>
    <w:rsid w:val="00F915EE"/>
    <w:rsid w:val="00F919B0"/>
    <w:rsid w:val="00F9214E"/>
    <w:rsid w:val="00F93CD7"/>
    <w:rsid w:val="00F959F2"/>
    <w:rsid w:val="00F95DE9"/>
    <w:rsid w:val="00F969BF"/>
    <w:rsid w:val="00F972C6"/>
    <w:rsid w:val="00FA04FC"/>
    <w:rsid w:val="00FA11D5"/>
    <w:rsid w:val="00FA1267"/>
    <w:rsid w:val="00FA34E4"/>
    <w:rsid w:val="00FA3837"/>
    <w:rsid w:val="00FA3B2C"/>
    <w:rsid w:val="00FA5CDA"/>
    <w:rsid w:val="00FA6AF7"/>
    <w:rsid w:val="00FA6E50"/>
    <w:rsid w:val="00FA7487"/>
    <w:rsid w:val="00FA78E0"/>
    <w:rsid w:val="00FA79A7"/>
    <w:rsid w:val="00FB0173"/>
    <w:rsid w:val="00FB0350"/>
    <w:rsid w:val="00FB0550"/>
    <w:rsid w:val="00FB0962"/>
    <w:rsid w:val="00FB0B75"/>
    <w:rsid w:val="00FB0BE8"/>
    <w:rsid w:val="00FB1007"/>
    <w:rsid w:val="00FB16AC"/>
    <w:rsid w:val="00FB16C3"/>
    <w:rsid w:val="00FB3D4E"/>
    <w:rsid w:val="00FB43BF"/>
    <w:rsid w:val="00FB4FF2"/>
    <w:rsid w:val="00FB6168"/>
    <w:rsid w:val="00FB78E3"/>
    <w:rsid w:val="00FB7A03"/>
    <w:rsid w:val="00FB7DA5"/>
    <w:rsid w:val="00FB7E8C"/>
    <w:rsid w:val="00FC0A47"/>
    <w:rsid w:val="00FC0B36"/>
    <w:rsid w:val="00FC1C0D"/>
    <w:rsid w:val="00FC2203"/>
    <w:rsid w:val="00FC3123"/>
    <w:rsid w:val="00FC312B"/>
    <w:rsid w:val="00FC33E9"/>
    <w:rsid w:val="00FC65FA"/>
    <w:rsid w:val="00FC6641"/>
    <w:rsid w:val="00FC6712"/>
    <w:rsid w:val="00FC7BA5"/>
    <w:rsid w:val="00FD001E"/>
    <w:rsid w:val="00FD016B"/>
    <w:rsid w:val="00FD0A7A"/>
    <w:rsid w:val="00FD0ED7"/>
    <w:rsid w:val="00FD12A5"/>
    <w:rsid w:val="00FD13CC"/>
    <w:rsid w:val="00FD1591"/>
    <w:rsid w:val="00FD3102"/>
    <w:rsid w:val="00FD3957"/>
    <w:rsid w:val="00FD552B"/>
    <w:rsid w:val="00FD5793"/>
    <w:rsid w:val="00FD5831"/>
    <w:rsid w:val="00FD67D6"/>
    <w:rsid w:val="00FD6A03"/>
    <w:rsid w:val="00FD6BF8"/>
    <w:rsid w:val="00FD7E94"/>
    <w:rsid w:val="00FE064B"/>
    <w:rsid w:val="00FE1267"/>
    <w:rsid w:val="00FE16EF"/>
    <w:rsid w:val="00FE22D4"/>
    <w:rsid w:val="00FE25F2"/>
    <w:rsid w:val="00FE2824"/>
    <w:rsid w:val="00FE37F6"/>
    <w:rsid w:val="00FE3B63"/>
    <w:rsid w:val="00FE3D94"/>
    <w:rsid w:val="00FE430C"/>
    <w:rsid w:val="00FE4E3C"/>
    <w:rsid w:val="00FE59C5"/>
    <w:rsid w:val="00FE5B05"/>
    <w:rsid w:val="00FE5CC5"/>
    <w:rsid w:val="00FE6D42"/>
    <w:rsid w:val="00FE6D85"/>
    <w:rsid w:val="00FE6F92"/>
    <w:rsid w:val="00FE7953"/>
    <w:rsid w:val="00FF0171"/>
    <w:rsid w:val="00FF0576"/>
    <w:rsid w:val="00FF0778"/>
    <w:rsid w:val="00FF12BE"/>
    <w:rsid w:val="00FF1B00"/>
    <w:rsid w:val="00FF1B18"/>
    <w:rsid w:val="00FF27FB"/>
    <w:rsid w:val="00FF29D2"/>
    <w:rsid w:val="00FF2F34"/>
    <w:rsid w:val="00FF3130"/>
    <w:rsid w:val="00FF3B6C"/>
    <w:rsid w:val="00FF40AB"/>
    <w:rsid w:val="00FF41EF"/>
    <w:rsid w:val="00FF593E"/>
    <w:rsid w:val="00FF5F1F"/>
    <w:rsid w:val="00FF6BE8"/>
    <w:rsid w:val="00FF6E1D"/>
    <w:rsid w:val="00FF7486"/>
    <w:rsid w:val="00FF7964"/>
    <w:rsid w:val="02B250DA"/>
    <w:rsid w:val="04415D9F"/>
    <w:rsid w:val="05EE4B07"/>
    <w:rsid w:val="06944F6E"/>
    <w:rsid w:val="08585DDB"/>
    <w:rsid w:val="08FD38FE"/>
    <w:rsid w:val="09910E9B"/>
    <w:rsid w:val="09B91151"/>
    <w:rsid w:val="0A3B59B5"/>
    <w:rsid w:val="0C136DCB"/>
    <w:rsid w:val="0CBD4DA7"/>
    <w:rsid w:val="0FB676D5"/>
    <w:rsid w:val="10093E5F"/>
    <w:rsid w:val="11A93B4C"/>
    <w:rsid w:val="126E3D8E"/>
    <w:rsid w:val="128879FC"/>
    <w:rsid w:val="12942106"/>
    <w:rsid w:val="12A52565"/>
    <w:rsid w:val="18751392"/>
    <w:rsid w:val="1A3C5663"/>
    <w:rsid w:val="1CFB5557"/>
    <w:rsid w:val="1E696B3C"/>
    <w:rsid w:val="1EB51737"/>
    <w:rsid w:val="1F576995"/>
    <w:rsid w:val="23AE0D27"/>
    <w:rsid w:val="25273FE7"/>
    <w:rsid w:val="257E54AC"/>
    <w:rsid w:val="269274E4"/>
    <w:rsid w:val="26CD39E1"/>
    <w:rsid w:val="26D27249"/>
    <w:rsid w:val="273A5DCF"/>
    <w:rsid w:val="287C121A"/>
    <w:rsid w:val="28A311AF"/>
    <w:rsid w:val="28DC46C1"/>
    <w:rsid w:val="298A3E0B"/>
    <w:rsid w:val="2AC80E06"/>
    <w:rsid w:val="2CF03F85"/>
    <w:rsid w:val="2D3B78F6"/>
    <w:rsid w:val="2D4342BC"/>
    <w:rsid w:val="2D6548BB"/>
    <w:rsid w:val="2DCF6B87"/>
    <w:rsid w:val="2E5910BF"/>
    <w:rsid w:val="31171910"/>
    <w:rsid w:val="32A27614"/>
    <w:rsid w:val="32DF2AD1"/>
    <w:rsid w:val="346A43A4"/>
    <w:rsid w:val="36005851"/>
    <w:rsid w:val="37662A0E"/>
    <w:rsid w:val="38FF2B4C"/>
    <w:rsid w:val="3A0C6459"/>
    <w:rsid w:val="3C9918BE"/>
    <w:rsid w:val="3D4F2C21"/>
    <w:rsid w:val="403F1053"/>
    <w:rsid w:val="43963680"/>
    <w:rsid w:val="44867251"/>
    <w:rsid w:val="45E5269D"/>
    <w:rsid w:val="46631554"/>
    <w:rsid w:val="470D5A07"/>
    <w:rsid w:val="472D19D2"/>
    <w:rsid w:val="49B14CA8"/>
    <w:rsid w:val="4AA820D6"/>
    <w:rsid w:val="4B3E12AF"/>
    <w:rsid w:val="4BB17B50"/>
    <w:rsid w:val="4C805385"/>
    <w:rsid w:val="4E007381"/>
    <w:rsid w:val="4F1435DF"/>
    <w:rsid w:val="4F8A16FE"/>
    <w:rsid w:val="4FE74D47"/>
    <w:rsid w:val="500D20C6"/>
    <w:rsid w:val="50C11611"/>
    <w:rsid w:val="52203FA7"/>
    <w:rsid w:val="53EC109A"/>
    <w:rsid w:val="54087522"/>
    <w:rsid w:val="54CB47F7"/>
    <w:rsid w:val="55647A4A"/>
    <w:rsid w:val="556F3D31"/>
    <w:rsid w:val="55B5663A"/>
    <w:rsid w:val="57B25041"/>
    <w:rsid w:val="57B66663"/>
    <w:rsid w:val="591866EF"/>
    <w:rsid w:val="59AF07CB"/>
    <w:rsid w:val="5E5C2DF2"/>
    <w:rsid w:val="5EB35B35"/>
    <w:rsid w:val="5EC010C0"/>
    <w:rsid w:val="60B71884"/>
    <w:rsid w:val="6102410D"/>
    <w:rsid w:val="61077514"/>
    <w:rsid w:val="61C066A1"/>
    <w:rsid w:val="61DC44FC"/>
    <w:rsid w:val="62F81E05"/>
    <w:rsid w:val="6307494D"/>
    <w:rsid w:val="64794284"/>
    <w:rsid w:val="66CD6B09"/>
    <w:rsid w:val="67180A15"/>
    <w:rsid w:val="68792AA5"/>
    <w:rsid w:val="6A8A11AD"/>
    <w:rsid w:val="6B9B4A08"/>
    <w:rsid w:val="6F082309"/>
    <w:rsid w:val="6F34175B"/>
    <w:rsid w:val="70D42A3B"/>
    <w:rsid w:val="726C367A"/>
    <w:rsid w:val="755201CC"/>
    <w:rsid w:val="770A4DBF"/>
    <w:rsid w:val="7804258D"/>
    <w:rsid w:val="7880693C"/>
    <w:rsid w:val="7A425C83"/>
    <w:rsid w:val="7A574E41"/>
    <w:rsid w:val="7BE14791"/>
    <w:rsid w:val="7BFD4F61"/>
    <w:rsid w:val="7D1D4A9A"/>
    <w:rsid w:val="7D3868CB"/>
    <w:rsid w:val="7DC968F4"/>
    <w:rsid w:val="7E1A0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20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Cs w:val="32"/>
    </w:rPr>
  </w:style>
  <w:style w:type="paragraph" w:styleId="4">
    <w:name w:val="heading 3"/>
    <w:basedOn w:val="1"/>
    <w:next w:val="1"/>
    <w:qFormat/>
    <w:uiPriority w:val="0"/>
    <w:pPr>
      <w:keepNext/>
      <w:keepLines/>
      <w:spacing w:before="260" w:after="260" w:line="416" w:lineRule="auto"/>
      <w:outlineLvl w:val="2"/>
    </w:pPr>
    <w:rPr>
      <w:b/>
      <w:bCs/>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rFonts w:eastAsia="宋体"/>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rFonts w:eastAsia="宋体"/>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 w:val="21"/>
      <w:szCs w:val="21"/>
    </w:rPr>
  </w:style>
  <w:style w:type="character" w:default="1" w:styleId="35">
    <w:name w:val="Default Paragraph Font"/>
    <w:semiHidden/>
    <w:unhideWhenUsed/>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1800"/>
      <w:jc w:val="left"/>
    </w:pPr>
    <w:rPr>
      <w:rFonts w:ascii="Calibri" w:hAnsi="Calibri" w:cs="Calibri"/>
      <w:sz w:val="18"/>
      <w:szCs w:val="18"/>
    </w:rPr>
  </w:style>
  <w:style w:type="paragraph" w:styleId="12">
    <w:name w:val="Document Map"/>
    <w:basedOn w:val="1"/>
    <w:semiHidden/>
    <w:qFormat/>
    <w:uiPriority w:val="0"/>
    <w:pPr>
      <w:shd w:val="clear" w:color="auto" w:fill="000080"/>
    </w:pPr>
  </w:style>
  <w:style w:type="paragraph" w:styleId="13">
    <w:name w:val="annotation text"/>
    <w:basedOn w:val="1"/>
    <w:link w:val="40"/>
    <w:qFormat/>
    <w:uiPriority w:val="0"/>
    <w:pPr>
      <w:jc w:val="left"/>
    </w:pPr>
  </w:style>
  <w:style w:type="paragraph" w:styleId="14">
    <w:name w:val="Body Text"/>
    <w:basedOn w:val="1"/>
    <w:qFormat/>
    <w:uiPriority w:val="0"/>
    <w:pPr>
      <w:numPr>
        <w:ilvl w:val="0"/>
        <w:numId w:val="1"/>
      </w:numPr>
      <w:spacing w:after="120"/>
    </w:pPr>
    <w:rPr>
      <w:rFonts w:ascii="Calibri" w:hAnsi="Calibri" w:eastAsia="宋体"/>
      <w:sz w:val="21"/>
      <w:szCs w:val="22"/>
    </w:rPr>
  </w:style>
  <w:style w:type="paragraph" w:styleId="15">
    <w:name w:val="Body Text Indent"/>
    <w:basedOn w:val="1"/>
    <w:qFormat/>
    <w:uiPriority w:val="0"/>
    <w:pPr>
      <w:spacing w:after="120"/>
      <w:ind w:left="420" w:leftChars="200"/>
    </w:pPr>
  </w:style>
  <w:style w:type="paragraph" w:styleId="16">
    <w:name w:val="toc 5"/>
    <w:basedOn w:val="1"/>
    <w:next w:val="1"/>
    <w:qFormat/>
    <w:uiPriority w:val="0"/>
    <w:pPr>
      <w:ind w:left="1200"/>
      <w:jc w:val="left"/>
    </w:pPr>
    <w:rPr>
      <w:rFonts w:ascii="Calibri" w:hAnsi="Calibri" w:cs="Calibri"/>
      <w:sz w:val="18"/>
      <w:szCs w:val="18"/>
    </w:rPr>
  </w:style>
  <w:style w:type="paragraph" w:styleId="17">
    <w:name w:val="toc 3"/>
    <w:basedOn w:val="1"/>
    <w:next w:val="1"/>
    <w:unhideWhenUsed/>
    <w:qFormat/>
    <w:uiPriority w:val="39"/>
    <w:pPr>
      <w:ind w:left="600"/>
      <w:jc w:val="left"/>
    </w:pPr>
    <w:rPr>
      <w:rFonts w:ascii="Calibri" w:hAnsi="Calibri" w:cs="Calibri"/>
      <w:i/>
      <w:iCs/>
      <w:sz w:val="20"/>
      <w:szCs w:val="20"/>
    </w:rPr>
  </w:style>
  <w:style w:type="paragraph" w:styleId="18">
    <w:name w:val="toc 8"/>
    <w:basedOn w:val="1"/>
    <w:next w:val="1"/>
    <w:qFormat/>
    <w:uiPriority w:val="0"/>
    <w:pPr>
      <w:ind w:left="2100"/>
      <w:jc w:val="left"/>
    </w:pPr>
    <w:rPr>
      <w:rFonts w:ascii="Calibri" w:hAnsi="Calibri" w:cs="Calibri"/>
      <w:sz w:val="18"/>
      <w:szCs w:val="18"/>
    </w:rPr>
  </w:style>
  <w:style w:type="paragraph" w:styleId="19">
    <w:name w:val="Body Text Indent 2"/>
    <w:basedOn w:val="1"/>
    <w:link w:val="41"/>
    <w:qFormat/>
    <w:uiPriority w:val="0"/>
    <w:pPr>
      <w:spacing w:after="120" w:line="480" w:lineRule="auto"/>
      <w:ind w:left="420" w:leftChars="200"/>
    </w:pPr>
    <w:rPr>
      <w:rFonts w:eastAsia="宋体"/>
      <w:sz w:val="21"/>
    </w:rPr>
  </w:style>
  <w:style w:type="paragraph" w:styleId="20">
    <w:name w:val="Balloon Text"/>
    <w:basedOn w:val="1"/>
    <w:semiHidden/>
    <w:qFormat/>
    <w:uiPriority w:val="0"/>
    <w:rPr>
      <w:sz w:val="18"/>
      <w:szCs w:val="18"/>
    </w:rPr>
  </w:style>
  <w:style w:type="paragraph" w:styleId="21">
    <w:name w:val="footer"/>
    <w:basedOn w:val="1"/>
    <w:link w:val="42"/>
    <w:unhideWhenUsed/>
    <w:qFormat/>
    <w:uiPriority w:val="99"/>
    <w:pPr>
      <w:tabs>
        <w:tab w:val="center" w:pos="4153"/>
        <w:tab w:val="right" w:pos="8306"/>
      </w:tabs>
      <w:jc w:val="left"/>
    </w:pPr>
    <w:rPr>
      <w:rFonts w:eastAsia="宋体"/>
      <w:kern w:val="0"/>
      <w:sz w:val="18"/>
      <w:szCs w:val="18"/>
    </w:rPr>
  </w:style>
  <w:style w:type="paragraph" w:styleId="22">
    <w:name w:val="header"/>
    <w:basedOn w:val="1"/>
    <w:link w:val="43"/>
    <w:qFormat/>
    <w:uiPriority w:val="99"/>
    <w:pPr>
      <w:pBdr>
        <w:bottom w:val="single" w:color="auto" w:sz="6" w:space="1"/>
      </w:pBdr>
      <w:tabs>
        <w:tab w:val="center" w:pos="4153"/>
        <w:tab w:val="right" w:pos="8306"/>
      </w:tabs>
      <w:jc w:val="center"/>
    </w:pPr>
    <w:rPr>
      <w:sz w:val="18"/>
      <w:szCs w:val="18"/>
    </w:rPr>
  </w:style>
  <w:style w:type="paragraph" w:styleId="23">
    <w:name w:val="toc 1"/>
    <w:basedOn w:val="1"/>
    <w:next w:val="1"/>
    <w:unhideWhenUsed/>
    <w:qFormat/>
    <w:uiPriority w:val="39"/>
    <w:pPr>
      <w:spacing w:before="120" w:after="120"/>
      <w:jc w:val="left"/>
    </w:pPr>
    <w:rPr>
      <w:rFonts w:ascii="Calibri" w:hAnsi="Calibri" w:cs="Calibri"/>
      <w:b/>
      <w:bCs/>
      <w:caps/>
      <w:sz w:val="20"/>
      <w:szCs w:val="20"/>
    </w:rPr>
  </w:style>
  <w:style w:type="paragraph" w:styleId="24">
    <w:name w:val="toc 4"/>
    <w:basedOn w:val="1"/>
    <w:next w:val="1"/>
    <w:qFormat/>
    <w:uiPriority w:val="0"/>
    <w:pPr>
      <w:ind w:left="900"/>
      <w:jc w:val="left"/>
    </w:pPr>
    <w:rPr>
      <w:rFonts w:ascii="Calibri" w:hAnsi="Calibri" w:cs="Calibri"/>
      <w:sz w:val="18"/>
      <w:szCs w:val="18"/>
    </w:rPr>
  </w:style>
  <w:style w:type="paragraph" w:styleId="25">
    <w:name w:val="footnote text"/>
    <w:basedOn w:val="1"/>
    <w:link w:val="44"/>
    <w:qFormat/>
    <w:uiPriority w:val="0"/>
    <w:pPr>
      <w:jc w:val="left"/>
    </w:pPr>
    <w:rPr>
      <w:rFonts w:ascii="Calibri" w:hAnsi="Calibri" w:eastAsia="宋体"/>
      <w:kern w:val="0"/>
      <w:sz w:val="18"/>
      <w:szCs w:val="20"/>
    </w:rPr>
  </w:style>
  <w:style w:type="paragraph" w:styleId="26">
    <w:name w:val="toc 6"/>
    <w:basedOn w:val="1"/>
    <w:next w:val="1"/>
    <w:qFormat/>
    <w:uiPriority w:val="0"/>
    <w:pPr>
      <w:ind w:left="1500"/>
      <w:jc w:val="left"/>
    </w:pPr>
    <w:rPr>
      <w:rFonts w:ascii="Calibri" w:hAnsi="Calibri" w:cs="Calibri"/>
      <w:sz w:val="18"/>
      <w:szCs w:val="18"/>
    </w:rPr>
  </w:style>
  <w:style w:type="paragraph" w:styleId="27">
    <w:name w:val="Body Text Indent 3"/>
    <w:basedOn w:val="1"/>
    <w:qFormat/>
    <w:uiPriority w:val="0"/>
    <w:pPr>
      <w:spacing w:after="120"/>
      <w:ind w:left="420" w:leftChars="200"/>
    </w:pPr>
    <w:rPr>
      <w:sz w:val="16"/>
      <w:szCs w:val="16"/>
    </w:rPr>
  </w:style>
  <w:style w:type="paragraph" w:styleId="28">
    <w:name w:val="toc 2"/>
    <w:basedOn w:val="1"/>
    <w:next w:val="1"/>
    <w:qFormat/>
    <w:uiPriority w:val="39"/>
    <w:pPr>
      <w:ind w:left="300"/>
      <w:jc w:val="left"/>
    </w:pPr>
    <w:rPr>
      <w:rFonts w:ascii="Calibri" w:hAnsi="Calibri" w:cs="Calibri"/>
      <w:smallCaps/>
      <w:sz w:val="20"/>
      <w:szCs w:val="20"/>
    </w:rPr>
  </w:style>
  <w:style w:type="paragraph" w:styleId="29">
    <w:name w:val="toc 9"/>
    <w:basedOn w:val="1"/>
    <w:next w:val="1"/>
    <w:qFormat/>
    <w:uiPriority w:val="0"/>
    <w:pPr>
      <w:ind w:left="2400"/>
      <w:jc w:val="left"/>
    </w:pPr>
    <w:rPr>
      <w:rFonts w:ascii="Calibri" w:hAnsi="Calibri" w:cs="Calibri"/>
      <w:sz w:val="18"/>
      <w:szCs w:val="18"/>
    </w:rPr>
  </w:style>
  <w:style w:type="paragraph" w:styleId="30">
    <w:name w:val="Normal (Web)"/>
    <w:basedOn w:val="1"/>
    <w:qFormat/>
    <w:uiPriority w:val="0"/>
    <w:pPr>
      <w:ind w:firstLine="640"/>
    </w:pPr>
    <w:rPr>
      <w:rFonts w:ascii="仿宋_GB2312"/>
      <w:szCs w:val="32"/>
    </w:rPr>
  </w:style>
  <w:style w:type="paragraph" w:styleId="31">
    <w:name w:val="annotation subject"/>
    <w:basedOn w:val="13"/>
    <w:next w:val="13"/>
    <w:semiHidden/>
    <w:qFormat/>
    <w:uiPriority w:val="0"/>
    <w:rPr>
      <w:b/>
      <w:bCs/>
    </w:rPr>
  </w:style>
  <w:style w:type="table" w:styleId="33">
    <w:name w:val="Table Grid"/>
    <w:basedOn w:val="3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Table Theme"/>
    <w:basedOn w:val="3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6">
    <w:name w:val="Hyperlink"/>
    <w:qFormat/>
    <w:uiPriority w:val="99"/>
    <w:rPr>
      <w:color w:val="0000FF"/>
      <w:u w:val="single"/>
    </w:rPr>
  </w:style>
  <w:style w:type="character" w:styleId="37">
    <w:name w:val="annotation reference"/>
    <w:semiHidden/>
    <w:qFormat/>
    <w:uiPriority w:val="0"/>
    <w:rPr>
      <w:sz w:val="21"/>
      <w:szCs w:val="21"/>
    </w:rPr>
  </w:style>
  <w:style w:type="character" w:styleId="38">
    <w:name w:val="footnote reference"/>
    <w:qFormat/>
    <w:uiPriority w:val="0"/>
    <w:rPr>
      <w:rFonts w:cs="Times New Roman"/>
      <w:vertAlign w:val="superscript"/>
    </w:rPr>
  </w:style>
  <w:style w:type="character" w:customStyle="1" w:styleId="39">
    <w:name w:val="标题 1 Char"/>
    <w:link w:val="2"/>
    <w:qFormat/>
    <w:uiPriority w:val="0"/>
    <w:rPr>
      <w:rFonts w:eastAsia="仿宋_GB2312"/>
      <w:b/>
      <w:bCs/>
      <w:kern w:val="44"/>
      <w:sz w:val="44"/>
      <w:szCs w:val="44"/>
    </w:rPr>
  </w:style>
  <w:style w:type="character" w:customStyle="1" w:styleId="40">
    <w:name w:val="批注文字 Char1"/>
    <w:link w:val="13"/>
    <w:qFormat/>
    <w:uiPriority w:val="0"/>
    <w:rPr>
      <w:rFonts w:eastAsia="仿宋_GB2312"/>
      <w:kern w:val="2"/>
      <w:sz w:val="30"/>
      <w:szCs w:val="24"/>
    </w:rPr>
  </w:style>
  <w:style w:type="character" w:customStyle="1" w:styleId="41">
    <w:name w:val="正文文本缩进 2 Char1"/>
    <w:link w:val="19"/>
    <w:qFormat/>
    <w:uiPriority w:val="0"/>
    <w:rPr>
      <w:rFonts w:eastAsia="宋体"/>
      <w:kern w:val="2"/>
      <w:sz w:val="21"/>
      <w:szCs w:val="24"/>
      <w:lang w:val="en-US" w:eastAsia="zh-CN" w:bidi="ar-SA"/>
    </w:rPr>
  </w:style>
  <w:style w:type="character" w:customStyle="1" w:styleId="42">
    <w:name w:val="页脚 Char1"/>
    <w:link w:val="21"/>
    <w:qFormat/>
    <w:uiPriority w:val="99"/>
    <w:rPr>
      <w:rFonts w:eastAsia="宋体"/>
      <w:sz w:val="18"/>
      <w:szCs w:val="18"/>
      <w:lang w:bidi="ar-SA"/>
    </w:rPr>
  </w:style>
  <w:style w:type="character" w:customStyle="1" w:styleId="43">
    <w:name w:val="页眉 Char1"/>
    <w:link w:val="22"/>
    <w:qFormat/>
    <w:uiPriority w:val="99"/>
    <w:rPr>
      <w:rFonts w:eastAsia="仿宋_GB2312"/>
      <w:kern w:val="2"/>
      <w:sz w:val="18"/>
      <w:szCs w:val="18"/>
    </w:rPr>
  </w:style>
  <w:style w:type="character" w:customStyle="1" w:styleId="44">
    <w:name w:val="脚注文本 Char"/>
    <w:link w:val="25"/>
    <w:qFormat/>
    <w:uiPriority w:val="0"/>
    <w:rPr>
      <w:rFonts w:ascii="Calibri" w:hAnsi="Calibri"/>
      <w:sz w:val="18"/>
    </w:rPr>
  </w:style>
  <w:style w:type="paragraph" w:customStyle="1" w:styleId="45">
    <w:name w:val="Char2"/>
    <w:basedOn w:val="1"/>
    <w:qFormat/>
    <w:uiPriority w:val="0"/>
    <w:pPr>
      <w:widowControl/>
      <w:spacing w:after="160" w:line="240" w:lineRule="exact"/>
      <w:jc w:val="left"/>
    </w:pPr>
    <w:rPr>
      <w:rFonts w:ascii="Verdana" w:hAnsi="Verdana"/>
      <w:kern w:val="0"/>
      <w:sz w:val="24"/>
      <w:szCs w:val="20"/>
      <w:lang w:eastAsia="en-US"/>
    </w:rPr>
  </w:style>
  <w:style w:type="paragraph" w:customStyle="1" w:styleId="46">
    <w:name w:val="Char1 Char Char Char"/>
    <w:basedOn w:val="1"/>
    <w:qFormat/>
    <w:uiPriority w:val="0"/>
    <w:pPr>
      <w:widowControl/>
      <w:spacing w:after="160" w:line="240" w:lineRule="exact"/>
      <w:jc w:val="left"/>
    </w:pPr>
    <w:rPr>
      <w:rFonts w:ascii="Verdana" w:hAnsi="Verdana"/>
      <w:kern w:val="0"/>
      <w:szCs w:val="30"/>
      <w:lang w:eastAsia="en-US"/>
    </w:rPr>
  </w:style>
  <w:style w:type="paragraph" w:customStyle="1" w:styleId="47">
    <w:name w:val="Char Char Char Char"/>
    <w:basedOn w:val="1"/>
    <w:qFormat/>
    <w:uiPriority w:val="0"/>
    <w:pPr>
      <w:numPr>
        <w:ilvl w:val="0"/>
        <w:numId w:val="2"/>
      </w:numPr>
    </w:pPr>
    <w:rPr>
      <w:rFonts w:eastAsia="宋体"/>
      <w:sz w:val="24"/>
    </w:rPr>
  </w:style>
  <w:style w:type="paragraph" w:customStyle="1" w:styleId="48">
    <w:name w:val="Char1"/>
    <w:basedOn w:val="1"/>
    <w:qFormat/>
    <w:uiPriority w:val="0"/>
    <w:rPr>
      <w:rFonts w:ascii="宋体" w:hAnsi="宋体" w:eastAsia="宋体" w:cs="Courier New"/>
      <w:szCs w:val="32"/>
    </w:rPr>
  </w:style>
  <w:style w:type="paragraph" w:customStyle="1" w:styleId="49">
    <w:name w:val="Char Char Char Char Char Char Char Char Char Char Char Char"/>
    <w:basedOn w:val="1"/>
    <w:qFormat/>
    <w:uiPriority w:val="0"/>
    <w:rPr>
      <w:rFonts w:ascii="宋体" w:hAnsi="宋体" w:eastAsia="宋体" w:cs="Courier New"/>
      <w:szCs w:val="32"/>
    </w:rPr>
  </w:style>
  <w:style w:type="paragraph" w:customStyle="1" w:styleId="50">
    <w:name w:val="Char Char Char1 Char Char Char Char"/>
    <w:basedOn w:val="1"/>
    <w:qFormat/>
    <w:uiPriority w:val="0"/>
    <w:rPr>
      <w:rFonts w:ascii="Tahoma" w:hAnsi="Tahoma" w:eastAsia="宋体"/>
      <w:sz w:val="24"/>
      <w:szCs w:val="20"/>
    </w:rPr>
  </w:style>
  <w:style w:type="paragraph" w:customStyle="1" w:styleId="51">
    <w:name w:val="Char1 Char Char"/>
    <w:basedOn w:val="1"/>
    <w:qFormat/>
    <w:uiPriority w:val="0"/>
    <w:pPr>
      <w:widowControl/>
      <w:spacing w:after="160" w:line="240" w:lineRule="exact"/>
      <w:jc w:val="left"/>
    </w:pPr>
    <w:rPr>
      <w:rFonts w:ascii="Verdana" w:hAnsi="Verdana"/>
      <w:kern w:val="0"/>
      <w:sz w:val="24"/>
      <w:szCs w:val="20"/>
      <w:lang w:eastAsia="en-US"/>
    </w:rPr>
  </w:style>
  <w:style w:type="paragraph" w:styleId="52">
    <w:name w:val="List Paragraph"/>
    <w:basedOn w:val="1"/>
    <w:qFormat/>
    <w:uiPriority w:val="34"/>
    <w:pPr>
      <w:ind w:firstLine="420"/>
    </w:pPr>
  </w:style>
  <w:style w:type="paragraph" w:customStyle="1" w:styleId="53">
    <w:name w:val="修订1"/>
    <w:semiHidden/>
    <w:qFormat/>
    <w:uiPriority w:val="99"/>
    <w:rPr>
      <w:rFonts w:ascii="Times New Roman" w:hAnsi="Times New Roman" w:eastAsia="仿宋_GB2312" w:cs="Times New Roman"/>
      <w:kern w:val="2"/>
      <w:sz w:val="30"/>
      <w:szCs w:val="24"/>
      <w:lang w:val="en-US" w:eastAsia="zh-CN" w:bidi="ar-SA"/>
    </w:rPr>
  </w:style>
  <w:style w:type="character" w:customStyle="1" w:styleId="54">
    <w:name w:val="正文1 Char"/>
    <w:link w:val="55"/>
    <w:qFormat/>
    <w:locked/>
    <w:uiPriority w:val="0"/>
    <w:rPr>
      <w:rFonts w:ascii="宋体" w:hAnsi="宋体" w:eastAsia="仿宋_GB2312"/>
      <w:spacing w:val="6"/>
      <w:sz w:val="24"/>
    </w:rPr>
  </w:style>
  <w:style w:type="paragraph" w:customStyle="1" w:styleId="55">
    <w:name w:val="正文1"/>
    <w:basedOn w:val="1"/>
    <w:link w:val="54"/>
    <w:qFormat/>
    <w:uiPriority w:val="0"/>
    <w:pPr>
      <w:autoSpaceDE w:val="0"/>
      <w:autoSpaceDN w:val="0"/>
      <w:spacing w:line="600" w:lineRule="exact"/>
      <w:ind w:firstLine="624"/>
    </w:pPr>
    <w:rPr>
      <w:rFonts w:ascii="宋体" w:hAnsi="宋体"/>
      <w:spacing w:val="6"/>
      <w:kern w:val="0"/>
      <w:sz w:val="24"/>
      <w:szCs w:val="20"/>
    </w:rPr>
  </w:style>
  <w:style w:type="paragraph" w:customStyle="1" w:styleId="56">
    <w:name w:val="TOC 标题1"/>
    <w:basedOn w:val="2"/>
    <w:next w:val="1"/>
    <w:qFormat/>
    <w:uiPriority w:val="39"/>
    <w:pPr>
      <w:widowControl/>
      <w:spacing w:before="480" w:after="0" w:line="276" w:lineRule="auto"/>
      <w:jc w:val="left"/>
      <w:outlineLvl w:val="9"/>
    </w:pPr>
    <w:rPr>
      <w:rFonts w:ascii="Cambria" w:hAnsi="Cambria" w:eastAsia="宋体"/>
      <w:color w:val="365F91"/>
      <w:kern w:val="0"/>
      <w:sz w:val="28"/>
      <w:szCs w:val="28"/>
    </w:rPr>
  </w:style>
  <w:style w:type="character" w:customStyle="1" w:styleId="57">
    <w:name w:val="正文文本缩进 2 Char"/>
    <w:qFormat/>
    <w:uiPriority w:val="0"/>
    <w:rPr>
      <w:rFonts w:eastAsia="宋体"/>
      <w:kern w:val="2"/>
      <w:sz w:val="21"/>
      <w:szCs w:val="24"/>
      <w:lang w:val="en-US" w:eastAsia="zh-CN" w:bidi="ar-SA"/>
    </w:rPr>
  </w:style>
  <w:style w:type="character" w:customStyle="1" w:styleId="58">
    <w:name w:val="页脚 Char"/>
    <w:qFormat/>
    <w:uiPriority w:val="99"/>
    <w:rPr>
      <w:rFonts w:eastAsia="宋体"/>
      <w:sz w:val="18"/>
      <w:szCs w:val="18"/>
      <w:lang w:val="zh-CN" w:eastAsia="zh-CN" w:bidi="ar-SA"/>
    </w:rPr>
  </w:style>
  <w:style w:type="character" w:customStyle="1" w:styleId="59">
    <w:name w:val="页眉 Char"/>
    <w:qFormat/>
    <w:uiPriority w:val="99"/>
    <w:rPr>
      <w:rFonts w:eastAsia="仿宋_GB2312"/>
      <w:kern w:val="2"/>
      <w:sz w:val="18"/>
      <w:szCs w:val="18"/>
    </w:rPr>
  </w:style>
  <w:style w:type="character" w:customStyle="1" w:styleId="60">
    <w:name w:val="批注文字 Char"/>
    <w:qFormat/>
    <w:uiPriority w:val="0"/>
    <w:rPr>
      <w:rFonts w:eastAsia="仿宋_GB2312"/>
      <w:kern w:val="2"/>
      <w:sz w:val="30"/>
      <w:szCs w:val="24"/>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1768</Words>
  <Characters>10083</Characters>
  <Lines>84</Lines>
  <Paragraphs>23</Paragraphs>
  <TotalTime>28</TotalTime>
  <ScaleCrop>false</ScaleCrop>
  <LinksUpToDate>false</LinksUpToDate>
  <CharactersWithSpaces>11828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2023-05-29T23:23:00Z</dcterms:created>
  <dc:creator>lhn</dc:creator>
  <cp:lastModifiedBy>admin</cp:lastModifiedBy>
  <cp:lastPrinted>2023-05-29T23:23:00Z</cp:lastPrinted>
  <dcterms:modified xsi:type="dcterms:W3CDTF">2025-08-27T03:32:33Z</dcterms:modified>
  <dc:title>财政支出绩效评价报告</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3FE1A083410748449D150B752531FA65</vt:lpwstr>
  </property>
  <property fmtid="{D5CDD505-2E9C-101B-9397-08002B2CF9AE}" pid="4" name="KSOTemplateDocerSaveRecord">
    <vt:lpwstr>eyJoZGlkIjoiMzQwYWQwOWJjOGU5YTI1M2FmMTUzN2RmMTdiZjU4MmQiLCJ1c2VySWQiOiIxNDY5MTk2MjE4In0=</vt:lpwstr>
  </property>
</Properties>
</file>