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atLeast"/>
        <w:ind w:firstLine="0" w:firstLineChars="0"/>
        <w:jc w:val="center"/>
        <w:rPr>
          <w:b/>
          <w:bCs/>
          <w:sz w:val="52"/>
          <w:szCs w:val="52"/>
        </w:rPr>
      </w:pPr>
      <w:bookmarkStart w:id="0" w:name="_Toc14173"/>
      <w:bookmarkStart w:id="1" w:name="_Toc13506"/>
      <w:bookmarkStart w:id="2" w:name="_Toc410210433"/>
    </w:p>
    <w:p>
      <w:pPr>
        <w:pStyle w:val="7"/>
        <w:ind w:firstLine="720"/>
      </w:pPr>
    </w:p>
    <w:p>
      <w:pPr>
        <w:spacing w:line="400" w:lineRule="atLeast"/>
        <w:ind w:firstLine="0" w:firstLineChars="0"/>
        <w:jc w:val="center"/>
        <w:rPr>
          <w:rFonts w:eastAsia="方正小标宋_GBK"/>
          <w:b/>
          <w:bCs/>
          <w:sz w:val="44"/>
          <w:szCs w:val="44"/>
        </w:rPr>
      </w:pPr>
    </w:p>
    <w:p>
      <w:pPr>
        <w:spacing w:line="400" w:lineRule="atLeast"/>
        <w:ind w:firstLine="0" w:firstLineChars="0"/>
        <w:jc w:val="center"/>
        <w:rPr>
          <w:rFonts w:eastAsia="方正小标宋简体"/>
          <w:sz w:val="44"/>
          <w:szCs w:val="44"/>
        </w:rPr>
      </w:pPr>
      <w:r>
        <w:rPr>
          <w:rFonts w:eastAsia="方正小标宋简体"/>
          <w:sz w:val="44"/>
          <w:szCs w:val="44"/>
        </w:rPr>
        <w:t>北京市项目支出绩效评价报告</w:t>
      </w:r>
    </w:p>
    <w:p>
      <w:pPr>
        <w:spacing w:line="400" w:lineRule="atLeast"/>
        <w:ind w:firstLine="640"/>
        <w:rPr>
          <w:rFonts w:eastAsia="仿宋_GB2312"/>
          <w:sz w:val="32"/>
          <w:szCs w:val="32"/>
          <w:highlight w:val="yellow"/>
        </w:rPr>
      </w:pPr>
    </w:p>
    <w:p>
      <w:pPr>
        <w:spacing w:line="400" w:lineRule="atLeast"/>
        <w:ind w:firstLine="0" w:firstLineChars="0"/>
        <w:rPr>
          <w:rFonts w:eastAsia="仿宋_GB2312"/>
          <w:sz w:val="32"/>
          <w:szCs w:val="32"/>
          <w:highlight w:val="yellow"/>
        </w:rPr>
      </w:pPr>
    </w:p>
    <w:p>
      <w:pPr>
        <w:spacing w:line="400" w:lineRule="atLeast"/>
        <w:ind w:firstLine="640"/>
        <w:rPr>
          <w:rFonts w:eastAsia="仿宋_GB2312"/>
          <w:sz w:val="32"/>
          <w:szCs w:val="32"/>
          <w:highlight w:val="yellow"/>
        </w:rPr>
      </w:pPr>
    </w:p>
    <w:p>
      <w:pPr>
        <w:pStyle w:val="3"/>
        <w:ind w:firstLine="0" w:firstLineChars="0"/>
      </w:pPr>
    </w:p>
    <w:p>
      <w:pPr>
        <w:spacing w:line="400" w:lineRule="atLeast"/>
        <w:ind w:firstLine="640"/>
        <w:rPr>
          <w:rFonts w:eastAsia="仿宋_GB2312"/>
          <w:sz w:val="32"/>
          <w:szCs w:val="32"/>
          <w:highlight w:val="yellow"/>
        </w:rPr>
      </w:pPr>
    </w:p>
    <w:p>
      <w:pPr>
        <w:spacing w:line="600" w:lineRule="auto"/>
        <w:ind w:firstLine="706" w:firstLineChars="220"/>
        <w:rPr>
          <w:rFonts w:eastAsia="仿宋_GB2312"/>
          <w:b/>
          <w:sz w:val="32"/>
          <w:szCs w:val="32"/>
        </w:rPr>
      </w:pPr>
      <w:r>
        <w:rPr>
          <w:rFonts w:eastAsia="仿宋_GB2312"/>
          <w:b/>
          <w:sz w:val="32"/>
          <w:szCs w:val="32"/>
        </w:rPr>
        <w:t>主管部门：</w:t>
      </w:r>
      <w:r>
        <w:rPr>
          <w:rFonts w:eastAsia="仿宋_GB2312"/>
          <w:bCs/>
          <w:sz w:val="32"/>
          <w:szCs w:val="32"/>
          <w:u w:val="single"/>
        </w:rPr>
        <w:t xml:space="preserve">     </w:t>
      </w:r>
      <w:r>
        <w:rPr>
          <w:rFonts w:eastAsia="仿宋_GB2312"/>
          <w:sz w:val="32"/>
          <w:szCs w:val="32"/>
          <w:u w:val="single"/>
        </w:rPr>
        <w:t xml:space="preserve">北京市人力资源和社会保障局    </w:t>
      </w:r>
    </w:p>
    <w:p>
      <w:pPr>
        <w:spacing w:line="600" w:lineRule="auto"/>
        <w:ind w:firstLine="706" w:firstLineChars="220"/>
        <w:rPr>
          <w:rFonts w:eastAsia="仿宋_GB2312"/>
          <w:sz w:val="32"/>
          <w:szCs w:val="32"/>
        </w:rPr>
      </w:pPr>
      <w:r>
        <w:rPr>
          <w:rFonts w:eastAsia="仿宋_GB2312"/>
          <w:b/>
          <w:sz w:val="32"/>
          <w:szCs w:val="32"/>
        </w:rPr>
        <w:t>项目单位：</w:t>
      </w:r>
      <w:r>
        <w:rPr>
          <w:rFonts w:eastAsia="仿宋_GB2312"/>
          <w:bCs/>
          <w:sz w:val="32"/>
          <w:szCs w:val="32"/>
          <w:u w:val="single"/>
        </w:rPr>
        <w:t xml:space="preserve">     </w:t>
      </w:r>
      <w:r>
        <w:rPr>
          <w:rFonts w:eastAsia="仿宋_GB2312"/>
          <w:sz w:val="32"/>
          <w:szCs w:val="32"/>
          <w:u w:val="single"/>
        </w:rPr>
        <w:t xml:space="preserve">北京市人力资源和社会保障局    </w:t>
      </w:r>
    </w:p>
    <w:p>
      <w:pPr>
        <w:spacing w:line="600" w:lineRule="auto"/>
        <w:ind w:left="1362" w:leftChars="300" w:right="564" w:rightChars="235" w:hanging="642" w:hangingChars="200"/>
        <w:jc w:val="left"/>
        <w:rPr>
          <w:rFonts w:eastAsia="仿宋_GB2312"/>
          <w:bCs/>
          <w:sz w:val="32"/>
          <w:szCs w:val="32"/>
          <w:u w:val="single"/>
        </w:rPr>
      </w:pPr>
      <w:r>
        <w:rPr>
          <w:rFonts w:eastAsia="仿宋_GB2312"/>
          <w:b/>
          <w:sz w:val="32"/>
          <w:szCs w:val="32"/>
        </w:rPr>
        <w:t>项目名称：</w:t>
      </w:r>
      <w:r>
        <w:rPr>
          <w:rFonts w:eastAsia="仿宋_GB2312"/>
          <w:bCs/>
          <w:sz w:val="32"/>
          <w:szCs w:val="32"/>
          <w:u w:val="single"/>
        </w:rPr>
        <w:t xml:space="preserve">     </w:t>
      </w:r>
      <w:r>
        <w:rPr>
          <w:rFonts w:hint="eastAsia" w:eastAsia="仿宋_GB2312"/>
          <w:bCs/>
          <w:sz w:val="32"/>
          <w:szCs w:val="32"/>
          <w:u w:val="single"/>
        </w:rPr>
        <w:t>专业技术人才知识更新工程</w:t>
      </w:r>
      <w:r>
        <w:rPr>
          <w:rFonts w:eastAsia="仿宋_GB2312"/>
          <w:bCs/>
          <w:sz w:val="32"/>
          <w:szCs w:val="32"/>
          <w:u w:val="single"/>
        </w:rPr>
        <w:t xml:space="preserve">        </w:t>
      </w:r>
    </w:p>
    <w:p>
      <w:pPr>
        <w:spacing w:line="600" w:lineRule="auto"/>
        <w:ind w:firstLine="706" w:firstLineChars="220"/>
        <w:rPr>
          <w:rFonts w:eastAsia="仿宋_GB2312"/>
          <w:b/>
          <w:sz w:val="32"/>
          <w:szCs w:val="32"/>
        </w:rPr>
      </w:pPr>
      <w:r>
        <w:rPr>
          <w:rFonts w:eastAsia="仿宋_GB2312"/>
          <w:b/>
          <w:sz w:val="32"/>
          <w:szCs w:val="32"/>
        </w:rPr>
        <w:t>评价机构：</w:t>
      </w:r>
      <w:r>
        <w:rPr>
          <w:rFonts w:eastAsia="仿宋_GB2312"/>
          <w:bCs/>
          <w:sz w:val="32"/>
          <w:szCs w:val="32"/>
          <w:u w:val="single"/>
        </w:rPr>
        <w:t xml:space="preserve">  </w:t>
      </w:r>
      <w:r>
        <w:rPr>
          <w:rFonts w:eastAsia="仿宋_GB2312"/>
          <w:sz w:val="32"/>
          <w:szCs w:val="32"/>
          <w:u w:val="single"/>
        </w:rPr>
        <w:t xml:space="preserve">北京和兴会计师事务所有限责任公司 </w:t>
      </w:r>
    </w:p>
    <w:p>
      <w:pPr>
        <w:spacing w:line="500" w:lineRule="exact"/>
        <w:ind w:firstLine="0" w:firstLineChars="0"/>
        <w:jc w:val="left"/>
        <w:rPr>
          <w:rFonts w:eastAsia="仿宋_GB2312"/>
          <w:sz w:val="32"/>
          <w:szCs w:val="32"/>
          <w:highlight w:val="yellow"/>
          <w:u w:val="single"/>
        </w:rPr>
      </w:pPr>
    </w:p>
    <w:p>
      <w:pPr>
        <w:snapToGrid w:val="0"/>
        <w:spacing w:line="360" w:lineRule="auto"/>
        <w:ind w:firstLine="0" w:firstLineChars="0"/>
        <w:jc w:val="center"/>
        <w:rPr>
          <w:rFonts w:eastAsia="黑体"/>
          <w:b/>
          <w:sz w:val="32"/>
          <w:szCs w:val="32"/>
        </w:rPr>
      </w:pPr>
      <w:bookmarkStart w:id="3" w:name="_Hlk71569008"/>
    </w:p>
    <w:p>
      <w:pPr>
        <w:snapToGrid w:val="0"/>
        <w:spacing w:line="360" w:lineRule="auto"/>
        <w:ind w:firstLine="0" w:firstLineChars="0"/>
        <w:jc w:val="center"/>
        <w:rPr>
          <w:rFonts w:eastAsia="黑体"/>
          <w:b/>
          <w:sz w:val="32"/>
          <w:szCs w:val="32"/>
        </w:rPr>
      </w:pPr>
    </w:p>
    <w:bookmarkEnd w:id="3"/>
    <w:p>
      <w:pPr>
        <w:snapToGrid w:val="0"/>
        <w:spacing w:line="360" w:lineRule="auto"/>
        <w:ind w:firstLine="0" w:firstLineChars="0"/>
        <w:jc w:val="center"/>
        <w:rPr>
          <w:rFonts w:eastAsia="黑体"/>
          <w:bCs/>
          <w:sz w:val="32"/>
          <w:szCs w:val="32"/>
        </w:rPr>
      </w:pPr>
      <w:r>
        <w:rPr>
          <w:rFonts w:eastAsia="黑体"/>
          <w:bCs/>
          <w:sz w:val="32"/>
          <w:szCs w:val="32"/>
        </w:rPr>
        <w:t>202</w:t>
      </w:r>
      <w:r>
        <w:rPr>
          <w:rFonts w:hint="eastAsia" w:eastAsia="黑体"/>
          <w:bCs/>
          <w:sz w:val="32"/>
          <w:szCs w:val="32"/>
        </w:rPr>
        <w:t>5</w:t>
      </w:r>
      <w:r>
        <w:rPr>
          <w:rFonts w:eastAsia="黑体"/>
          <w:bCs/>
          <w:sz w:val="32"/>
          <w:szCs w:val="32"/>
        </w:rPr>
        <w:t>年5月</w:t>
      </w:r>
      <w:bookmarkEnd w:id="0"/>
      <w:bookmarkEnd w:id="1"/>
      <w:bookmarkEnd w:id="2"/>
      <w:bookmarkStart w:id="4" w:name="_Hlk68002075"/>
      <w:bookmarkStart w:id="5" w:name="_Hlk67994668"/>
    </w:p>
    <w:bookmarkEnd w:id="4"/>
    <w:p>
      <w:pPr>
        <w:snapToGrid w:val="0"/>
        <w:spacing w:line="360" w:lineRule="auto"/>
        <w:ind w:firstLine="0" w:firstLineChars="0"/>
        <w:jc w:val="center"/>
        <w:rPr>
          <w:rFonts w:eastAsia="方正小标宋_GBK"/>
          <w:bCs/>
          <w:sz w:val="36"/>
          <w:szCs w:val="36"/>
        </w:rPr>
        <w:sectPr>
          <w:headerReference r:id="rId7" w:type="first"/>
          <w:footerReference r:id="rId10" w:type="first"/>
          <w:headerReference r:id="rId5" w:type="default"/>
          <w:footerReference r:id="rId8" w:type="default"/>
          <w:headerReference r:id="rId6" w:type="even"/>
          <w:footerReference r:id="rId9" w:type="even"/>
          <w:pgSz w:w="11906" w:h="16838"/>
          <w:pgMar w:top="1701" w:right="1701" w:bottom="1701" w:left="1701" w:header="851" w:footer="992" w:gutter="0"/>
          <w:pgNumType w:start="1"/>
          <w:cols w:space="720" w:num="1"/>
          <w:docGrid w:type="lines" w:linePitch="327" w:charSpace="0"/>
        </w:sectPr>
      </w:pPr>
    </w:p>
    <w:bookmarkEnd w:id="5"/>
    <w:p>
      <w:pPr>
        <w:spacing w:line="480" w:lineRule="auto"/>
        <w:ind w:firstLine="0" w:firstLineChars="0"/>
        <w:jc w:val="center"/>
        <w:rPr>
          <w:b/>
          <w:bCs/>
          <w:sz w:val="36"/>
          <w:szCs w:val="36"/>
        </w:rPr>
      </w:pPr>
      <w:r>
        <w:rPr>
          <w:b/>
          <w:bCs/>
          <w:sz w:val="36"/>
          <w:szCs w:val="36"/>
        </w:rPr>
        <w:t xml:space="preserve">目 </w:t>
      </w:r>
      <w:r>
        <w:rPr>
          <w:rFonts w:hint="eastAsia"/>
          <w:b/>
          <w:bCs/>
          <w:sz w:val="36"/>
          <w:szCs w:val="36"/>
        </w:rPr>
        <w:t xml:space="preserve">  </w:t>
      </w:r>
      <w:r>
        <w:rPr>
          <w:b/>
          <w:bCs/>
          <w:sz w:val="36"/>
          <w:szCs w:val="36"/>
        </w:rPr>
        <w:t>录</w:t>
      </w:r>
    </w:p>
    <w:p>
      <w:pPr>
        <w:spacing w:line="480" w:lineRule="auto"/>
        <w:ind w:firstLine="0" w:firstLineChars="0"/>
        <w:jc w:val="center"/>
        <w:rPr>
          <w:b/>
          <w:bCs/>
          <w:sz w:val="36"/>
          <w:szCs w:val="36"/>
        </w:rPr>
      </w:pPr>
    </w:p>
    <w:p>
      <w:pPr>
        <w:pStyle w:val="13"/>
        <w:tabs>
          <w:tab w:val="right" w:leader="dot" w:pos="8504"/>
        </w:tabs>
        <w:spacing w:line="480" w:lineRule="auto"/>
        <w:ind w:firstLine="560"/>
        <w:rPr>
          <w:sz w:val="28"/>
          <w:szCs w:val="28"/>
        </w:rPr>
      </w:pPr>
      <w:r>
        <w:rPr>
          <w:sz w:val="28"/>
          <w:szCs w:val="28"/>
        </w:rPr>
        <w:fldChar w:fldCharType="begin"/>
      </w:r>
      <w:r>
        <w:rPr>
          <w:sz w:val="28"/>
          <w:szCs w:val="28"/>
        </w:rPr>
        <w:instrText xml:space="preserve">TOC \o "1-2" \h \u </w:instrText>
      </w:r>
      <w:r>
        <w:rPr>
          <w:sz w:val="28"/>
          <w:szCs w:val="28"/>
        </w:rPr>
        <w:fldChar w:fldCharType="separate"/>
      </w:r>
      <w:r>
        <w:fldChar w:fldCharType="begin"/>
      </w:r>
      <w:r>
        <w:instrText xml:space="preserve"> HYPERLINK \l "_Toc13497" </w:instrText>
      </w:r>
      <w:r>
        <w:fldChar w:fldCharType="separate"/>
      </w:r>
      <w:r>
        <w:rPr>
          <w:rFonts w:eastAsia="黑体"/>
          <w:sz w:val="28"/>
          <w:szCs w:val="28"/>
          <w:lang w:eastAsia="zh-Hans"/>
        </w:rPr>
        <w:t>一、</w:t>
      </w:r>
      <w:r>
        <w:rPr>
          <w:rFonts w:eastAsia="黑体"/>
          <w:sz w:val="28"/>
          <w:szCs w:val="28"/>
        </w:rPr>
        <w:t>基本情况</w:t>
      </w:r>
      <w:r>
        <w:rPr>
          <w:sz w:val="28"/>
          <w:szCs w:val="28"/>
        </w:rPr>
        <w:tab/>
      </w:r>
      <w:r>
        <w:rPr>
          <w:sz w:val="28"/>
          <w:szCs w:val="28"/>
        </w:rPr>
        <w:fldChar w:fldCharType="begin"/>
      </w:r>
      <w:r>
        <w:rPr>
          <w:sz w:val="28"/>
          <w:szCs w:val="28"/>
        </w:rPr>
        <w:instrText xml:space="preserve"> PAGEREF _Toc13497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16"/>
        <w:tabs>
          <w:tab w:val="right" w:leader="dot" w:pos="8504"/>
        </w:tabs>
        <w:spacing w:line="480" w:lineRule="auto"/>
        <w:ind w:left="480" w:firstLine="480"/>
        <w:rPr>
          <w:sz w:val="28"/>
          <w:szCs w:val="28"/>
        </w:rPr>
      </w:pPr>
      <w:r>
        <w:fldChar w:fldCharType="begin"/>
      </w:r>
      <w:r>
        <w:instrText xml:space="preserve"> HYPERLINK \l "_Toc13134" </w:instrText>
      </w:r>
      <w:r>
        <w:fldChar w:fldCharType="separate"/>
      </w:r>
      <w:r>
        <w:rPr>
          <w:rFonts w:hint="eastAsia" w:ascii="楷体_GB2312" w:eastAsia="楷体_GB2312"/>
          <w:sz w:val="28"/>
          <w:szCs w:val="28"/>
        </w:rPr>
        <w:t>（一）项目概况</w:t>
      </w:r>
      <w:r>
        <w:rPr>
          <w:sz w:val="28"/>
          <w:szCs w:val="28"/>
        </w:rPr>
        <w:tab/>
      </w:r>
      <w:r>
        <w:rPr>
          <w:sz w:val="28"/>
          <w:szCs w:val="28"/>
        </w:rPr>
        <w:fldChar w:fldCharType="begin"/>
      </w:r>
      <w:r>
        <w:rPr>
          <w:sz w:val="28"/>
          <w:szCs w:val="28"/>
        </w:rPr>
        <w:instrText xml:space="preserve"> PAGEREF _Toc13134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16"/>
        <w:tabs>
          <w:tab w:val="right" w:leader="dot" w:pos="8504"/>
        </w:tabs>
        <w:spacing w:line="480" w:lineRule="auto"/>
        <w:ind w:left="480" w:firstLine="480"/>
        <w:rPr>
          <w:sz w:val="28"/>
          <w:szCs w:val="28"/>
        </w:rPr>
      </w:pPr>
      <w:r>
        <w:fldChar w:fldCharType="begin"/>
      </w:r>
      <w:r>
        <w:instrText xml:space="preserve"> HYPERLINK \l "_Toc28797" </w:instrText>
      </w:r>
      <w:r>
        <w:fldChar w:fldCharType="separate"/>
      </w:r>
      <w:r>
        <w:rPr>
          <w:rFonts w:eastAsia="楷体_GB2312"/>
          <w:sz w:val="28"/>
          <w:szCs w:val="28"/>
        </w:rPr>
        <w:t>（</w:t>
      </w:r>
      <w:r>
        <w:rPr>
          <w:rFonts w:hint="eastAsia" w:eastAsia="楷体_GB2312"/>
          <w:sz w:val="28"/>
          <w:szCs w:val="28"/>
        </w:rPr>
        <w:t>二</w:t>
      </w:r>
      <w:r>
        <w:rPr>
          <w:rFonts w:eastAsia="楷体_GB2312"/>
          <w:sz w:val="28"/>
          <w:szCs w:val="28"/>
        </w:rPr>
        <w:t>）项目绩效目标</w:t>
      </w:r>
      <w:r>
        <w:rPr>
          <w:sz w:val="28"/>
          <w:szCs w:val="28"/>
        </w:rPr>
        <w:tab/>
      </w:r>
      <w:r>
        <w:rPr>
          <w:sz w:val="28"/>
          <w:szCs w:val="28"/>
        </w:rPr>
        <w:fldChar w:fldCharType="begin"/>
      </w:r>
      <w:r>
        <w:rPr>
          <w:sz w:val="28"/>
          <w:szCs w:val="28"/>
        </w:rPr>
        <w:instrText xml:space="preserve"> PAGEREF _Toc28797 \h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13"/>
        <w:tabs>
          <w:tab w:val="right" w:leader="dot" w:pos="8504"/>
        </w:tabs>
        <w:spacing w:line="480" w:lineRule="auto"/>
        <w:ind w:firstLine="480"/>
        <w:rPr>
          <w:sz w:val="28"/>
          <w:szCs w:val="28"/>
        </w:rPr>
      </w:pPr>
      <w:r>
        <w:fldChar w:fldCharType="begin"/>
      </w:r>
      <w:r>
        <w:instrText xml:space="preserve"> HYPERLINK \l "_Toc14615" </w:instrText>
      </w:r>
      <w:r>
        <w:fldChar w:fldCharType="separate"/>
      </w:r>
      <w:r>
        <w:rPr>
          <w:rFonts w:eastAsia="黑体"/>
          <w:sz w:val="28"/>
          <w:szCs w:val="28"/>
        </w:rPr>
        <w:t>二、绩效评价工作开展情况</w:t>
      </w:r>
      <w:r>
        <w:rPr>
          <w:sz w:val="28"/>
          <w:szCs w:val="28"/>
        </w:rPr>
        <w:tab/>
      </w:r>
      <w:r>
        <w:rPr>
          <w:sz w:val="28"/>
          <w:szCs w:val="28"/>
        </w:rPr>
        <w:fldChar w:fldCharType="begin"/>
      </w:r>
      <w:r>
        <w:rPr>
          <w:sz w:val="28"/>
          <w:szCs w:val="28"/>
        </w:rPr>
        <w:instrText xml:space="preserve"> PAGEREF _Toc14615 \h </w:instrText>
      </w:r>
      <w:r>
        <w:rPr>
          <w:sz w:val="28"/>
          <w:szCs w:val="28"/>
        </w:rPr>
        <w:fldChar w:fldCharType="separate"/>
      </w:r>
      <w:r>
        <w:rPr>
          <w:sz w:val="28"/>
          <w:szCs w:val="28"/>
        </w:rPr>
        <w:t>6</w:t>
      </w:r>
      <w:r>
        <w:rPr>
          <w:sz w:val="28"/>
          <w:szCs w:val="28"/>
        </w:rPr>
        <w:fldChar w:fldCharType="end"/>
      </w:r>
      <w:r>
        <w:rPr>
          <w:sz w:val="28"/>
          <w:szCs w:val="28"/>
        </w:rPr>
        <w:fldChar w:fldCharType="end"/>
      </w:r>
    </w:p>
    <w:p>
      <w:pPr>
        <w:pStyle w:val="16"/>
        <w:tabs>
          <w:tab w:val="right" w:leader="dot" w:pos="8504"/>
        </w:tabs>
        <w:spacing w:line="480" w:lineRule="auto"/>
        <w:ind w:left="480" w:firstLine="480"/>
        <w:rPr>
          <w:sz w:val="28"/>
          <w:szCs w:val="28"/>
        </w:rPr>
      </w:pPr>
      <w:r>
        <w:fldChar w:fldCharType="begin"/>
      </w:r>
      <w:r>
        <w:instrText xml:space="preserve"> HYPERLINK \l "_Toc7688" </w:instrText>
      </w:r>
      <w:r>
        <w:fldChar w:fldCharType="separate"/>
      </w:r>
      <w:r>
        <w:rPr>
          <w:rFonts w:eastAsia="楷体_GB2312"/>
          <w:sz w:val="28"/>
          <w:szCs w:val="28"/>
        </w:rPr>
        <w:t>（一）绩效评价目的、对象和范围</w:t>
      </w:r>
      <w:r>
        <w:rPr>
          <w:sz w:val="28"/>
          <w:szCs w:val="28"/>
        </w:rPr>
        <w:tab/>
      </w:r>
      <w:r>
        <w:rPr>
          <w:sz w:val="28"/>
          <w:szCs w:val="28"/>
        </w:rPr>
        <w:fldChar w:fldCharType="begin"/>
      </w:r>
      <w:r>
        <w:rPr>
          <w:sz w:val="28"/>
          <w:szCs w:val="28"/>
        </w:rPr>
        <w:instrText xml:space="preserve"> PAGEREF _Toc7688 \h </w:instrText>
      </w:r>
      <w:r>
        <w:rPr>
          <w:sz w:val="28"/>
          <w:szCs w:val="28"/>
        </w:rPr>
        <w:fldChar w:fldCharType="separate"/>
      </w:r>
      <w:r>
        <w:rPr>
          <w:sz w:val="28"/>
          <w:szCs w:val="28"/>
        </w:rPr>
        <w:t>6</w:t>
      </w:r>
      <w:r>
        <w:rPr>
          <w:sz w:val="28"/>
          <w:szCs w:val="28"/>
        </w:rPr>
        <w:fldChar w:fldCharType="end"/>
      </w:r>
      <w:r>
        <w:rPr>
          <w:sz w:val="28"/>
          <w:szCs w:val="28"/>
        </w:rPr>
        <w:fldChar w:fldCharType="end"/>
      </w:r>
    </w:p>
    <w:p>
      <w:pPr>
        <w:pStyle w:val="16"/>
        <w:tabs>
          <w:tab w:val="right" w:leader="dot" w:pos="8504"/>
        </w:tabs>
        <w:spacing w:line="480" w:lineRule="auto"/>
        <w:ind w:left="480" w:firstLine="480"/>
        <w:rPr>
          <w:sz w:val="28"/>
          <w:szCs w:val="28"/>
        </w:rPr>
      </w:pPr>
      <w:r>
        <w:fldChar w:fldCharType="begin"/>
      </w:r>
      <w:r>
        <w:instrText xml:space="preserve"> HYPERLINK \l "_Toc13674" </w:instrText>
      </w:r>
      <w:r>
        <w:fldChar w:fldCharType="separate"/>
      </w:r>
      <w:r>
        <w:rPr>
          <w:rFonts w:eastAsia="楷体_GB2312"/>
          <w:sz w:val="28"/>
          <w:szCs w:val="28"/>
        </w:rPr>
        <w:t>（二）</w:t>
      </w:r>
      <w:r>
        <w:rPr>
          <w:rFonts w:eastAsia="楷体_GB2312"/>
          <w:spacing w:val="-6"/>
          <w:sz w:val="28"/>
          <w:szCs w:val="28"/>
        </w:rPr>
        <w:t>绩效评价原则、评价指标体系、评价方法和评价标准</w:t>
      </w:r>
      <w:r>
        <w:rPr>
          <w:sz w:val="28"/>
          <w:szCs w:val="28"/>
        </w:rPr>
        <w:tab/>
      </w:r>
      <w:r>
        <w:rPr>
          <w:sz w:val="28"/>
          <w:szCs w:val="28"/>
        </w:rPr>
        <w:fldChar w:fldCharType="begin"/>
      </w:r>
      <w:r>
        <w:rPr>
          <w:sz w:val="28"/>
          <w:szCs w:val="28"/>
        </w:rPr>
        <w:instrText xml:space="preserve"> PAGEREF _Toc13674 \h </w:instrText>
      </w:r>
      <w:r>
        <w:rPr>
          <w:sz w:val="28"/>
          <w:szCs w:val="28"/>
        </w:rPr>
        <w:fldChar w:fldCharType="separate"/>
      </w:r>
      <w:r>
        <w:rPr>
          <w:sz w:val="28"/>
          <w:szCs w:val="28"/>
        </w:rPr>
        <w:t>7</w:t>
      </w:r>
      <w:r>
        <w:rPr>
          <w:sz w:val="28"/>
          <w:szCs w:val="28"/>
        </w:rPr>
        <w:fldChar w:fldCharType="end"/>
      </w:r>
      <w:r>
        <w:rPr>
          <w:sz w:val="28"/>
          <w:szCs w:val="28"/>
        </w:rPr>
        <w:fldChar w:fldCharType="end"/>
      </w:r>
    </w:p>
    <w:p>
      <w:pPr>
        <w:pStyle w:val="16"/>
        <w:tabs>
          <w:tab w:val="right" w:leader="dot" w:pos="8504"/>
        </w:tabs>
        <w:spacing w:line="480" w:lineRule="auto"/>
        <w:ind w:left="480" w:firstLine="480"/>
        <w:rPr>
          <w:sz w:val="28"/>
          <w:szCs w:val="28"/>
        </w:rPr>
      </w:pPr>
      <w:r>
        <w:fldChar w:fldCharType="begin"/>
      </w:r>
      <w:r>
        <w:instrText xml:space="preserve"> HYPERLINK \l "_Toc21840" </w:instrText>
      </w:r>
      <w:r>
        <w:fldChar w:fldCharType="separate"/>
      </w:r>
      <w:r>
        <w:rPr>
          <w:rFonts w:eastAsia="楷体_GB2312"/>
          <w:sz w:val="28"/>
          <w:szCs w:val="28"/>
        </w:rPr>
        <w:t>（三）绩效评价工作过程</w:t>
      </w:r>
      <w:r>
        <w:rPr>
          <w:sz w:val="28"/>
          <w:szCs w:val="28"/>
        </w:rPr>
        <w:tab/>
      </w:r>
      <w:r>
        <w:rPr>
          <w:sz w:val="28"/>
          <w:szCs w:val="28"/>
        </w:rPr>
        <w:fldChar w:fldCharType="begin"/>
      </w:r>
      <w:r>
        <w:rPr>
          <w:sz w:val="28"/>
          <w:szCs w:val="28"/>
        </w:rPr>
        <w:instrText xml:space="preserve"> PAGEREF _Toc21840 \h </w:instrText>
      </w:r>
      <w:r>
        <w:rPr>
          <w:sz w:val="28"/>
          <w:szCs w:val="28"/>
        </w:rPr>
        <w:fldChar w:fldCharType="separate"/>
      </w:r>
      <w:r>
        <w:rPr>
          <w:sz w:val="28"/>
          <w:szCs w:val="28"/>
        </w:rPr>
        <w:t>8</w:t>
      </w:r>
      <w:r>
        <w:rPr>
          <w:sz w:val="28"/>
          <w:szCs w:val="28"/>
        </w:rPr>
        <w:fldChar w:fldCharType="end"/>
      </w:r>
      <w:r>
        <w:rPr>
          <w:sz w:val="28"/>
          <w:szCs w:val="28"/>
        </w:rPr>
        <w:fldChar w:fldCharType="end"/>
      </w:r>
    </w:p>
    <w:p>
      <w:pPr>
        <w:pStyle w:val="13"/>
        <w:tabs>
          <w:tab w:val="right" w:leader="dot" w:pos="8504"/>
        </w:tabs>
        <w:spacing w:line="480" w:lineRule="auto"/>
        <w:ind w:firstLine="480"/>
        <w:rPr>
          <w:sz w:val="28"/>
          <w:szCs w:val="28"/>
        </w:rPr>
      </w:pPr>
      <w:r>
        <w:fldChar w:fldCharType="begin"/>
      </w:r>
      <w:r>
        <w:instrText xml:space="preserve"> HYPERLINK \l "_Toc22888" </w:instrText>
      </w:r>
      <w:r>
        <w:fldChar w:fldCharType="separate"/>
      </w:r>
      <w:r>
        <w:rPr>
          <w:rFonts w:eastAsia="黑体"/>
          <w:bCs/>
          <w:sz w:val="28"/>
          <w:szCs w:val="28"/>
        </w:rPr>
        <w:t>三、综合评价情况及评价结论</w:t>
      </w:r>
      <w:r>
        <w:rPr>
          <w:sz w:val="28"/>
          <w:szCs w:val="28"/>
        </w:rPr>
        <w:tab/>
      </w:r>
      <w:r>
        <w:rPr>
          <w:sz w:val="28"/>
          <w:szCs w:val="28"/>
        </w:rPr>
        <w:fldChar w:fldCharType="begin"/>
      </w:r>
      <w:r>
        <w:rPr>
          <w:sz w:val="28"/>
          <w:szCs w:val="28"/>
        </w:rPr>
        <w:instrText xml:space="preserve"> PAGEREF _Toc22888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13"/>
        <w:tabs>
          <w:tab w:val="right" w:leader="dot" w:pos="8504"/>
        </w:tabs>
        <w:spacing w:line="480" w:lineRule="auto"/>
        <w:ind w:firstLine="480"/>
        <w:rPr>
          <w:sz w:val="28"/>
          <w:szCs w:val="28"/>
        </w:rPr>
      </w:pPr>
      <w:r>
        <w:fldChar w:fldCharType="begin"/>
      </w:r>
      <w:r>
        <w:instrText xml:space="preserve"> HYPERLINK \l "_Toc8179" </w:instrText>
      </w:r>
      <w:r>
        <w:fldChar w:fldCharType="separate"/>
      </w:r>
      <w:r>
        <w:rPr>
          <w:rFonts w:eastAsia="黑体"/>
          <w:sz w:val="28"/>
          <w:szCs w:val="28"/>
        </w:rPr>
        <w:t>四、绩效评价指标分析</w:t>
      </w:r>
      <w:r>
        <w:rPr>
          <w:sz w:val="28"/>
          <w:szCs w:val="28"/>
        </w:rPr>
        <w:tab/>
      </w:r>
      <w:r>
        <w:rPr>
          <w:sz w:val="28"/>
          <w:szCs w:val="28"/>
        </w:rPr>
        <w:fldChar w:fldCharType="begin"/>
      </w:r>
      <w:r>
        <w:rPr>
          <w:sz w:val="28"/>
          <w:szCs w:val="28"/>
        </w:rPr>
        <w:instrText xml:space="preserve"> PAGEREF _Toc8179 \h </w:instrText>
      </w:r>
      <w:r>
        <w:rPr>
          <w:sz w:val="28"/>
          <w:szCs w:val="28"/>
        </w:rPr>
        <w:fldChar w:fldCharType="separate"/>
      </w:r>
      <w:r>
        <w:rPr>
          <w:sz w:val="28"/>
          <w:szCs w:val="28"/>
        </w:rPr>
        <w:t>11</w:t>
      </w:r>
      <w:r>
        <w:rPr>
          <w:sz w:val="28"/>
          <w:szCs w:val="28"/>
        </w:rPr>
        <w:fldChar w:fldCharType="end"/>
      </w:r>
      <w:r>
        <w:rPr>
          <w:sz w:val="28"/>
          <w:szCs w:val="28"/>
        </w:rPr>
        <w:fldChar w:fldCharType="end"/>
      </w:r>
    </w:p>
    <w:p>
      <w:pPr>
        <w:pStyle w:val="16"/>
        <w:tabs>
          <w:tab w:val="right" w:leader="dot" w:pos="8504"/>
        </w:tabs>
        <w:spacing w:line="480" w:lineRule="auto"/>
        <w:ind w:left="480" w:firstLine="480"/>
        <w:rPr>
          <w:sz w:val="28"/>
          <w:szCs w:val="28"/>
        </w:rPr>
      </w:pPr>
      <w:r>
        <w:fldChar w:fldCharType="begin"/>
      </w:r>
      <w:r>
        <w:instrText xml:space="preserve"> HYPERLINK \l "_Toc6475" </w:instrText>
      </w:r>
      <w:r>
        <w:fldChar w:fldCharType="separate"/>
      </w:r>
      <w:r>
        <w:rPr>
          <w:rFonts w:eastAsia="楷体_GB2312"/>
          <w:sz w:val="28"/>
          <w:szCs w:val="28"/>
        </w:rPr>
        <w:t>（一）项目决策情况</w:t>
      </w:r>
      <w:r>
        <w:rPr>
          <w:sz w:val="28"/>
          <w:szCs w:val="28"/>
        </w:rPr>
        <w:tab/>
      </w:r>
      <w:r>
        <w:rPr>
          <w:sz w:val="28"/>
          <w:szCs w:val="28"/>
        </w:rPr>
        <w:fldChar w:fldCharType="begin"/>
      </w:r>
      <w:r>
        <w:rPr>
          <w:sz w:val="28"/>
          <w:szCs w:val="28"/>
        </w:rPr>
        <w:instrText xml:space="preserve"> PAGEREF _Toc6475 \h </w:instrText>
      </w:r>
      <w:r>
        <w:rPr>
          <w:sz w:val="28"/>
          <w:szCs w:val="28"/>
        </w:rPr>
        <w:fldChar w:fldCharType="separate"/>
      </w:r>
      <w:r>
        <w:rPr>
          <w:sz w:val="28"/>
          <w:szCs w:val="28"/>
        </w:rPr>
        <w:t>11</w:t>
      </w:r>
      <w:r>
        <w:rPr>
          <w:sz w:val="28"/>
          <w:szCs w:val="28"/>
        </w:rPr>
        <w:fldChar w:fldCharType="end"/>
      </w:r>
      <w:r>
        <w:rPr>
          <w:sz w:val="28"/>
          <w:szCs w:val="28"/>
        </w:rPr>
        <w:fldChar w:fldCharType="end"/>
      </w:r>
    </w:p>
    <w:p>
      <w:pPr>
        <w:pStyle w:val="16"/>
        <w:tabs>
          <w:tab w:val="right" w:leader="dot" w:pos="8504"/>
        </w:tabs>
        <w:spacing w:line="480" w:lineRule="auto"/>
        <w:ind w:left="480" w:firstLine="480"/>
        <w:rPr>
          <w:sz w:val="28"/>
          <w:szCs w:val="28"/>
        </w:rPr>
      </w:pPr>
      <w:r>
        <w:fldChar w:fldCharType="begin"/>
      </w:r>
      <w:r>
        <w:instrText xml:space="preserve"> HYPERLINK \l "_Toc13834" </w:instrText>
      </w:r>
      <w:r>
        <w:fldChar w:fldCharType="separate"/>
      </w:r>
      <w:r>
        <w:rPr>
          <w:rFonts w:eastAsia="楷体_GB2312"/>
          <w:sz w:val="28"/>
          <w:szCs w:val="28"/>
        </w:rPr>
        <w:t>（二）项目过程情况</w:t>
      </w:r>
      <w:r>
        <w:rPr>
          <w:sz w:val="28"/>
          <w:szCs w:val="28"/>
        </w:rPr>
        <w:tab/>
      </w:r>
      <w:r>
        <w:rPr>
          <w:sz w:val="28"/>
          <w:szCs w:val="28"/>
        </w:rPr>
        <w:fldChar w:fldCharType="begin"/>
      </w:r>
      <w:r>
        <w:rPr>
          <w:sz w:val="28"/>
          <w:szCs w:val="28"/>
        </w:rPr>
        <w:instrText xml:space="preserve"> PAGEREF _Toc13834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16"/>
        <w:tabs>
          <w:tab w:val="right" w:leader="dot" w:pos="8504"/>
        </w:tabs>
        <w:spacing w:line="480" w:lineRule="auto"/>
        <w:ind w:left="480" w:firstLine="480"/>
        <w:rPr>
          <w:sz w:val="28"/>
          <w:szCs w:val="28"/>
        </w:rPr>
      </w:pPr>
      <w:r>
        <w:fldChar w:fldCharType="begin"/>
      </w:r>
      <w:r>
        <w:instrText xml:space="preserve"> HYPERLINK \l "_Toc13927" </w:instrText>
      </w:r>
      <w:r>
        <w:fldChar w:fldCharType="separate"/>
      </w:r>
      <w:r>
        <w:rPr>
          <w:rFonts w:eastAsia="楷体_GB2312"/>
          <w:sz w:val="28"/>
          <w:szCs w:val="28"/>
        </w:rPr>
        <w:t>（三）项目产出情况</w:t>
      </w:r>
      <w:r>
        <w:rPr>
          <w:sz w:val="28"/>
          <w:szCs w:val="28"/>
        </w:rPr>
        <w:tab/>
      </w:r>
      <w:r>
        <w:rPr>
          <w:sz w:val="28"/>
          <w:szCs w:val="28"/>
        </w:rPr>
        <w:fldChar w:fldCharType="begin"/>
      </w:r>
      <w:r>
        <w:rPr>
          <w:sz w:val="28"/>
          <w:szCs w:val="28"/>
        </w:rPr>
        <w:instrText xml:space="preserve"> PAGEREF _Toc13927 \h </w:instrText>
      </w:r>
      <w:r>
        <w:rPr>
          <w:sz w:val="28"/>
          <w:szCs w:val="28"/>
        </w:rPr>
        <w:fldChar w:fldCharType="separate"/>
      </w:r>
      <w:r>
        <w:rPr>
          <w:sz w:val="28"/>
          <w:szCs w:val="28"/>
        </w:rPr>
        <w:t>21</w:t>
      </w:r>
      <w:r>
        <w:rPr>
          <w:sz w:val="28"/>
          <w:szCs w:val="28"/>
        </w:rPr>
        <w:fldChar w:fldCharType="end"/>
      </w:r>
      <w:r>
        <w:rPr>
          <w:sz w:val="28"/>
          <w:szCs w:val="28"/>
        </w:rPr>
        <w:fldChar w:fldCharType="end"/>
      </w:r>
    </w:p>
    <w:p>
      <w:pPr>
        <w:pStyle w:val="16"/>
        <w:tabs>
          <w:tab w:val="right" w:leader="dot" w:pos="8504"/>
        </w:tabs>
        <w:spacing w:line="480" w:lineRule="auto"/>
        <w:ind w:left="480" w:firstLine="480"/>
        <w:rPr>
          <w:sz w:val="28"/>
          <w:szCs w:val="28"/>
        </w:rPr>
      </w:pPr>
      <w:r>
        <w:fldChar w:fldCharType="begin"/>
      </w:r>
      <w:r>
        <w:instrText xml:space="preserve"> HYPERLINK \l "_Toc7860" </w:instrText>
      </w:r>
      <w:r>
        <w:fldChar w:fldCharType="separate"/>
      </w:r>
      <w:r>
        <w:rPr>
          <w:rFonts w:eastAsia="楷体_GB2312"/>
          <w:sz w:val="28"/>
          <w:szCs w:val="28"/>
        </w:rPr>
        <w:t>（四）项目效益情况</w:t>
      </w:r>
      <w:r>
        <w:rPr>
          <w:sz w:val="28"/>
          <w:szCs w:val="28"/>
        </w:rPr>
        <w:tab/>
      </w:r>
      <w:r>
        <w:rPr>
          <w:sz w:val="28"/>
          <w:szCs w:val="28"/>
        </w:rPr>
        <w:fldChar w:fldCharType="begin"/>
      </w:r>
      <w:r>
        <w:rPr>
          <w:sz w:val="28"/>
          <w:szCs w:val="28"/>
        </w:rPr>
        <w:instrText xml:space="preserve"> PAGEREF _Toc7860 \h </w:instrText>
      </w:r>
      <w:r>
        <w:rPr>
          <w:sz w:val="28"/>
          <w:szCs w:val="28"/>
        </w:rPr>
        <w:fldChar w:fldCharType="separate"/>
      </w:r>
      <w:r>
        <w:rPr>
          <w:sz w:val="28"/>
          <w:szCs w:val="28"/>
        </w:rPr>
        <w:t>24</w:t>
      </w:r>
      <w:r>
        <w:rPr>
          <w:sz w:val="28"/>
          <w:szCs w:val="28"/>
        </w:rPr>
        <w:fldChar w:fldCharType="end"/>
      </w:r>
      <w:r>
        <w:rPr>
          <w:sz w:val="28"/>
          <w:szCs w:val="28"/>
        </w:rPr>
        <w:fldChar w:fldCharType="end"/>
      </w:r>
    </w:p>
    <w:p>
      <w:pPr>
        <w:pStyle w:val="13"/>
        <w:tabs>
          <w:tab w:val="right" w:leader="dot" w:pos="8504"/>
        </w:tabs>
        <w:spacing w:line="480" w:lineRule="auto"/>
        <w:ind w:firstLine="480"/>
        <w:rPr>
          <w:sz w:val="28"/>
          <w:szCs w:val="28"/>
        </w:rPr>
      </w:pPr>
      <w:r>
        <w:fldChar w:fldCharType="begin"/>
      </w:r>
      <w:r>
        <w:instrText xml:space="preserve"> HYPERLINK \l "_Toc8724" </w:instrText>
      </w:r>
      <w:r>
        <w:fldChar w:fldCharType="separate"/>
      </w:r>
      <w:r>
        <w:rPr>
          <w:rFonts w:eastAsia="黑体"/>
          <w:bCs/>
          <w:sz w:val="28"/>
          <w:szCs w:val="28"/>
        </w:rPr>
        <w:t>五、主要经验及做法、存在的问题及原因分析</w:t>
      </w:r>
      <w:r>
        <w:rPr>
          <w:sz w:val="28"/>
          <w:szCs w:val="28"/>
        </w:rPr>
        <w:tab/>
      </w:r>
      <w:r>
        <w:rPr>
          <w:sz w:val="28"/>
          <w:szCs w:val="28"/>
        </w:rPr>
        <w:fldChar w:fldCharType="begin"/>
      </w:r>
      <w:r>
        <w:rPr>
          <w:sz w:val="28"/>
          <w:szCs w:val="28"/>
        </w:rPr>
        <w:instrText xml:space="preserve"> PAGEREF _Toc8724 \h </w:instrText>
      </w:r>
      <w:r>
        <w:rPr>
          <w:sz w:val="28"/>
          <w:szCs w:val="28"/>
        </w:rPr>
        <w:fldChar w:fldCharType="separate"/>
      </w:r>
      <w:r>
        <w:rPr>
          <w:sz w:val="28"/>
          <w:szCs w:val="28"/>
        </w:rPr>
        <w:t>25</w:t>
      </w:r>
      <w:r>
        <w:rPr>
          <w:sz w:val="28"/>
          <w:szCs w:val="28"/>
        </w:rPr>
        <w:fldChar w:fldCharType="end"/>
      </w:r>
      <w:r>
        <w:rPr>
          <w:sz w:val="28"/>
          <w:szCs w:val="28"/>
        </w:rPr>
        <w:fldChar w:fldCharType="end"/>
      </w:r>
    </w:p>
    <w:p>
      <w:pPr>
        <w:pStyle w:val="16"/>
        <w:tabs>
          <w:tab w:val="right" w:leader="dot" w:pos="8504"/>
        </w:tabs>
        <w:spacing w:line="480" w:lineRule="auto"/>
        <w:ind w:left="480" w:firstLine="480"/>
        <w:rPr>
          <w:sz w:val="28"/>
          <w:szCs w:val="28"/>
        </w:rPr>
      </w:pPr>
      <w:r>
        <w:fldChar w:fldCharType="begin"/>
      </w:r>
      <w:r>
        <w:instrText xml:space="preserve"> HYPERLINK \l "_Toc14802" </w:instrText>
      </w:r>
      <w:r>
        <w:fldChar w:fldCharType="separate"/>
      </w:r>
      <w:r>
        <w:rPr>
          <w:rFonts w:eastAsia="楷体_GB2312"/>
          <w:bCs/>
          <w:kern w:val="0"/>
          <w:sz w:val="28"/>
          <w:szCs w:val="28"/>
        </w:rPr>
        <w:t>（一）主要经验及做法</w:t>
      </w:r>
      <w:r>
        <w:rPr>
          <w:sz w:val="28"/>
          <w:szCs w:val="28"/>
        </w:rPr>
        <w:tab/>
      </w:r>
      <w:r>
        <w:rPr>
          <w:sz w:val="28"/>
          <w:szCs w:val="28"/>
        </w:rPr>
        <w:fldChar w:fldCharType="begin"/>
      </w:r>
      <w:r>
        <w:rPr>
          <w:sz w:val="28"/>
          <w:szCs w:val="28"/>
        </w:rPr>
        <w:instrText xml:space="preserve"> PAGEREF _Toc14802 \h </w:instrText>
      </w:r>
      <w:r>
        <w:rPr>
          <w:sz w:val="28"/>
          <w:szCs w:val="28"/>
        </w:rPr>
        <w:fldChar w:fldCharType="separate"/>
      </w:r>
      <w:r>
        <w:rPr>
          <w:sz w:val="28"/>
          <w:szCs w:val="28"/>
        </w:rPr>
        <w:t>25</w:t>
      </w:r>
      <w:r>
        <w:rPr>
          <w:sz w:val="28"/>
          <w:szCs w:val="28"/>
        </w:rPr>
        <w:fldChar w:fldCharType="end"/>
      </w:r>
      <w:r>
        <w:rPr>
          <w:sz w:val="28"/>
          <w:szCs w:val="28"/>
        </w:rPr>
        <w:fldChar w:fldCharType="end"/>
      </w:r>
    </w:p>
    <w:p>
      <w:pPr>
        <w:pStyle w:val="16"/>
        <w:tabs>
          <w:tab w:val="right" w:leader="dot" w:pos="8504"/>
        </w:tabs>
        <w:spacing w:line="480" w:lineRule="auto"/>
        <w:ind w:left="480" w:firstLine="480"/>
        <w:rPr>
          <w:sz w:val="28"/>
          <w:szCs w:val="28"/>
        </w:rPr>
      </w:pPr>
      <w:r>
        <w:fldChar w:fldCharType="begin"/>
      </w:r>
      <w:r>
        <w:instrText xml:space="preserve"> HYPERLINK \l "_Toc18669" </w:instrText>
      </w:r>
      <w:r>
        <w:fldChar w:fldCharType="separate"/>
      </w:r>
      <w:r>
        <w:rPr>
          <w:rFonts w:eastAsia="楷体_GB2312"/>
          <w:bCs/>
          <w:kern w:val="0"/>
          <w:sz w:val="28"/>
          <w:szCs w:val="28"/>
        </w:rPr>
        <w:t>（二）存在的问题及原因分析</w:t>
      </w:r>
      <w:r>
        <w:rPr>
          <w:sz w:val="28"/>
          <w:szCs w:val="28"/>
        </w:rPr>
        <w:tab/>
      </w:r>
      <w:r>
        <w:rPr>
          <w:sz w:val="28"/>
          <w:szCs w:val="28"/>
        </w:rPr>
        <w:fldChar w:fldCharType="begin"/>
      </w:r>
      <w:r>
        <w:rPr>
          <w:sz w:val="28"/>
          <w:szCs w:val="28"/>
        </w:rPr>
        <w:instrText xml:space="preserve"> PAGEREF _Toc18669 \h </w:instrText>
      </w:r>
      <w:r>
        <w:rPr>
          <w:sz w:val="28"/>
          <w:szCs w:val="28"/>
        </w:rPr>
        <w:fldChar w:fldCharType="separate"/>
      </w:r>
      <w:r>
        <w:rPr>
          <w:sz w:val="28"/>
          <w:szCs w:val="28"/>
        </w:rPr>
        <w:t>26</w:t>
      </w:r>
      <w:r>
        <w:rPr>
          <w:sz w:val="28"/>
          <w:szCs w:val="28"/>
        </w:rPr>
        <w:fldChar w:fldCharType="end"/>
      </w:r>
      <w:r>
        <w:rPr>
          <w:sz w:val="28"/>
          <w:szCs w:val="28"/>
        </w:rPr>
        <w:fldChar w:fldCharType="end"/>
      </w:r>
    </w:p>
    <w:p>
      <w:pPr>
        <w:pStyle w:val="13"/>
        <w:tabs>
          <w:tab w:val="right" w:leader="dot" w:pos="8504"/>
        </w:tabs>
        <w:spacing w:line="480" w:lineRule="auto"/>
        <w:ind w:firstLine="480"/>
        <w:rPr>
          <w:sz w:val="28"/>
          <w:szCs w:val="28"/>
        </w:rPr>
      </w:pPr>
      <w:r>
        <w:fldChar w:fldCharType="begin"/>
      </w:r>
      <w:r>
        <w:instrText xml:space="preserve"> HYPERLINK \l "_Toc9420" </w:instrText>
      </w:r>
      <w:r>
        <w:fldChar w:fldCharType="separate"/>
      </w:r>
      <w:r>
        <w:rPr>
          <w:rFonts w:eastAsia="黑体"/>
          <w:bCs/>
          <w:sz w:val="28"/>
          <w:szCs w:val="28"/>
        </w:rPr>
        <w:t>六、有关建议</w:t>
      </w:r>
      <w:r>
        <w:rPr>
          <w:sz w:val="28"/>
          <w:szCs w:val="28"/>
        </w:rPr>
        <w:tab/>
      </w:r>
      <w:r>
        <w:rPr>
          <w:sz w:val="28"/>
          <w:szCs w:val="28"/>
        </w:rPr>
        <w:fldChar w:fldCharType="begin"/>
      </w:r>
      <w:r>
        <w:rPr>
          <w:sz w:val="28"/>
          <w:szCs w:val="28"/>
        </w:rPr>
        <w:instrText xml:space="preserve"> PAGEREF _Toc9420 \h </w:instrText>
      </w:r>
      <w:r>
        <w:rPr>
          <w:sz w:val="28"/>
          <w:szCs w:val="28"/>
        </w:rPr>
        <w:fldChar w:fldCharType="separate"/>
      </w:r>
      <w:r>
        <w:rPr>
          <w:sz w:val="28"/>
          <w:szCs w:val="28"/>
        </w:rPr>
        <w:t>28</w:t>
      </w:r>
      <w:r>
        <w:rPr>
          <w:sz w:val="28"/>
          <w:szCs w:val="28"/>
        </w:rPr>
        <w:fldChar w:fldCharType="end"/>
      </w:r>
      <w:r>
        <w:rPr>
          <w:sz w:val="28"/>
          <w:szCs w:val="28"/>
        </w:rPr>
        <w:fldChar w:fldCharType="end"/>
      </w:r>
    </w:p>
    <w:p>
      <w:pPr>
        <w:spacing w:line="480" w:lineRule="auto"/>
        <w:ind w:firstLine="560"/>
        <w:rPr>
          <w:rFonts w:eastAsia="方正小标宋_GBK"/>
          <w:bCs/>
          <w:sz w:val="44"/>
          <w:szCs w:val="44"/>
        </w:rPr>
        <w:sectPr>
          <w:footerReference r:id="rId11" w:type="default"/>
          <w:pgSz w:w="11906" w:h="16838"/>
          <w:pgMar w:top="1701" w:right="1701" w:bottom="1701" w:left="1701" w:header="851" w:footer="992" w:gutter="0"/>
          <w:pgNumType w:start="1"/>
          <w:cols w:space="720" w:num="1"/>
          <w:docGrid w:type="lines" w:linePitch="327" w:charSpace="0"/>
        </w:sectPr>
      </w:pPr>
      <w:r>
        <w:rPr>
          <w:sz w:val="28"/>
          <w:szCs w:val="28"/>
        </w:rPr>
        <w:fldChar w:fldCharType="end"/>
      </w:r>
      <w:bookmarkStart w:id="6" w:name="_Toc1963367433_WPSOffice_Level1"/>
      <w:bookmarkStart w:id="7" w:name="_Toc683093632_WPSOffice_Level1"/>
      <w:bookmarkStart w:id="8" w:name="_Toc15160"/>
      <w:bookmarkStart w:id="9" w:name="_Toc14782"/>
      <w:bookmarkStart w:id="10" w:name="_Toc27012"/>
      <w:bookmarkStart w:id="11" w:name="_Toc12982"/>
    </w:p>
    <w:p>
      <w:pPr>
        <w:pStyle w:val="13"/>
        <w:tabs>
          <w:tab w:val="right" w:leader="dot" w:pos="8306"/>
        </w:tabs>
        <w:spacing w:line="640" w:lineRule="exact"/>
        <w:ind w:firstLine="0" w:firstLineChars="0"/>
        <w:jc w:val="center"/>
        <w:rPr>
          <w:rFonts w:hint="eastAsia" w:ascii="方正小标宋简体" w:hAnsi="方正小标宋简体" w:eastAsia="方正小标宋简体" w:cs="方正小标宋简体"/>
          <w:bCs/>
          <w:sz w:val="44"/>
          <w:szCs w:val="44"/>
        </w:rPr>
      </w:pPr>
    </w:p>
    <w:p>
      <w:pPr>
        <w:pStyle w:val="13"/>
        <w:tabs>
          <w:tab w:val="right" w:leader="dot" w:pos="8306"/>
        </w:tabs>
        <w:spacing w:line="640" w:lineRule="exact"/>
        <w:ind w:firstLine="0" w:firstLineChars="0"/>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专业技术人才知识更新工程项目</w:t>
      </w:r>
      <w:bookmarkEnd w:id="6"/>
      <w:bookmarkEnd w:id="7"/>
      <w:bookmarkStart w:id="12" w:name="_Toc307096162_WPSOffice_Level1"/>
      <w:bookmarkStart w:id="13" w:name="_Toc82726629_WPSOffice_Level1"/>
      <w:r>
        <w:rPr>
          <w:rFonts w:hint="eastAsia" w:ascii="方正小标宋简体" w:hAnsi="方正小标宋简体" w:eastAsia="方正小标宋简体" w:cs="方正小标宋简体"/>
          <w:bCs/>
          <w:sz w:val="44"/>
          <w:szCs w:val="44"/>
        </w:rPr>
        <w:t>支出</w:t>
      </w:r>
    </w:p>
    <w:p>
      <w:pPr>
        <w:pStyle w:val="13"/>
        <w:tabs>
          <w:tab w:val="right" w:leader="dot" w:pos="8306"/>
        </w:tabs>
        <w:spacing w:line="640" w:lineRule="exact"/>
        <w:ind w:firstLine="0" w:firstLineChars="0"/>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绩效评价报告</w:t>
      </w:r>
      <w:bookmarkEnd w:id="8"/>
      <w:bookmarkEnd w:id="9"/>
      <w:bookmarkEnd w:id="10"/>
      <w:bookmarkEnd w:id="11"/>
      <w:bookmarkEnd w:id="12"/>
      <w:bookmarkEnd w:id="13"/>
    </w:p>
    <w:p>
      <w:pPr>
        <w:adjustRightInd w:val="0"/>
        <w:snapToGrid w:val="0"/>
        <w:spacing w:line="560" w:lineRule="exact"/>
        <w:ind w:firstLine="640"/>
        <w:rPr>
          <w:rFonts w:hint="eastAsia" w:ascii="方正小标宋简体" w:hAnsi="方正小标宋简体" w:eastAsia="方正小标宋简体" w:cs="方正小标宋简体"/>
          <w:bCs/>
          <w:kern w:val="44"/>
          <w:sz w:val="32"/>
          <w:szCs w:val="32"/>
        </w:rPr>
      </w:pPr>
      <w:bookmarkStart w:id="14" w:name="_Toc2823"/>
      <w:bookmarkStart w:id="15" w:name="_Toc4184"/>
    </w:p>
    <w:p>
      <w:pPr>
        <w:adjustRightInd w:val="0"/>
        <w:snapToGrid w:val="0"/>
        <w:spacing w:line="580" w:lineRule="exact"/>
        <w:ind w:firstLine="640"/>
        <w:rPr>
          <w:rFonts w:eastAsia="仿宋_GB2312"/>
          <w:bCs/>
          <w:kern w:val="44"/>
          <w:sz w:val="32"/>
          <w:szCs w:val="32"/>
        </w:rPr>
      </w:pPr>
      <w:r>
        <w:rPr>
          <w:rFonts w:eastAsia="仿宋_GB2312"/>
          <w:bCs/>
          <w:kern w:val="44"/>
          <w:sz w:val="32"/>
          <w:szCs w:val="32"/>
        </w:rPr>
        <w:t>为贯彻落实《中共中央 国务院关于全面实施预算绩效管理的意见》（中发〔</w:t>
      </w:r>
      <w:r>
        <w:rPr>
          <w:sz w:val="32"/>
          <w:szCs w:val="32"/>
        </w:rPr>
        <w:t>2018</w:t>
      </w:r>
      <w:r>
        <w:rPr>
          <w:rFonts w:eastAsia="仿宋_GB2312"/>
          <w:bCs/>
          <w:kern w:val="44"/>
          <w:sz w:val="32"/>
          <w:szCs w:val="32"/>
        </w:rPr>
        <w:t>〕</w:t>
      </w:r>
      <w:r>
        <w:rPr>
          <w:sz w:val="32"/>
          <w:szCs w:val="32"/>
        </w:rPr>
        <w:t>34</w:t>
      </w:r>
      <w:r>
        <w:rPr>
          <w:rFonts w:eastAsia="仿宋_GB2312"/>
          <w:bCs/>
          <w:kern w:val="44"/>
          <w:sz w:val="32"/>
          <w:szCs w:val="32"/>
        </w:rPr>
        <w:t>号），强化以结果为导向的预算绩效管理机制，规范财政支出管理，切实增强部门支出责任和效率意识，提高财政资金使用效益，依据《中共北京市委 北京市人民政府关于全面实施预算绩效管理的实施意见》（京发〔</w:t>
      </w:r>
      <w:r>
        <w:rPr>
          <w:sz w:val="32"/>
          <w:szCs w:val="32"/>
        </w:rPr>
        <w:t>2019</w:t>
      </w:r>
      <w:r>
        <w:rPr>
          <w:rFonts w:eastAsia="仿宋_GB2312"/>
          <w:bCs/>
          <w:kern w:val="44"/>
          <w:sz w:val="32"/>
          <w:szCs w:val="32"/>
        </w:rPr>
        <w:t>〕</w:t>
      </w:r>
      <w:r>
        <w:rPr>
          <w:sz w:val="32"/>
          <w:szCs w:val="32"/>
        </w:rPr>
        <w:t>12</w:t>
      </w:r>
      <w:r>
        <w:rPr>
          <w:rFonts w:eastAsia="仿宋_GB2312"/>
          <w:bCs/>
          <w:kern w:val="44"/>
          <w:sz w:val="32"/>
          <w:szCs w:val="32"/>
        </w:rPr>
        <w:t>号）、《北京市预算绩效管理办法》（京财绩效〔</w:t>
      </w:r>
      <w:r>
        <w:rPr>
          <w:sz w:val="32"/>
          <w:szCs w:val="32"/>
        </w:rPr>
        <w:t>2019</w:t>
      </w:r>
      <w:r>
        <w:rPr>
          <w:rFonts w:eastAsia="仿宋_GB2312"/>
          <w:bCs/>
          <w:kern w:val="44"/>
          <w:sz w:val="32"/>
          <w:szCs w:val="32"/>
        </w:rPr>
        <w:t>〕</w:t>
      </w:r>
      <w:r>
        <w:rPr>
          <w:sz w:val="32"/>
          <w:szCs w:val="32"/>
        </w:rPr>
        <w:t>2129</w:t>
      </w:r>
      <w:r>
        <w:rPr>
          <w:rFonts w:eastAsia="仿宋_GB2312"/>
          <w:bCs/>
          <w:kern w:val="44"/>
          <w:sz w:val="32"/>
          <w:szCs w:val="32"/>
        </w:rPr>
        <w:t>号）</w:t>
      </w:r>
      <w:bookmarkStart w:id="16" w:name="_Hlk68003568"/>
      <w:r>
        <w:rPr>
          <w:rFonts w:hint="eastAsia" w:eastAsia="仿宋_GB2312"/>
          <w:bCs/>
          <w:kern w:val="44"/>
          <w:sz w:val="32"/>
          <w:szCs w:val="32"/>
        </w:rPr>
        <w:t>、</w:t>
      </w:r>
      <w:r>
        <w:rPr>
          <w:rFonts w:eastAsia="仿宋_GB2312"/>
          <w:bCs/>
          <w:kern w:val="44"/>
          <w:sz w:val="32"/>
          <w:szCs w:val="32"/>
        </w:rPr>
        <w:t>《北京市项目支出绩效评价管理办法》（京财绩效〔</w:t>
      </w:r>
      <w:r>
        <w:rPr>
          <w:sz w:val="32"/>
          <w:szCs w:val="32"/>
        </w:rPr>
        <w:t>2020</w:t>
      </w:r>
      <w:r>
        <w:rPr>
          <w:rFonts w:eastAsia="仿宋_GB2312"/>
          <w:bCs/>
          <w:kern w:val="44"/>
          <w:sz w:val="32"/>
          <w:szCs w:val="32"/>
        </w:rPr>
        <w:t>〕</w:t>
      </w:r>
      <w:r>
        <w:rPr>
          <w:sz w:val="32"/>
          <w:szCs w:val="32"/>
        </w:rPr>
        <w:t>2146</w:t>
      </w:r>
      <w:r>
        <w:rPr>
          <w:rFonts w:eastAsia="仿宋_GB2312"/>
          <w:bCs/>
          <w:kern w:val="44"/>
          <w:sz w:val="32"/>
          <w:szCs w:val="32"/>
        </w:rPr>
        <w:t>号）</w:t>
      </w:r>
      <w:bookmarkEnd w:id="16"/>
      <w:r>
        <w:rPr>
          <w:rFonts w:eastAsia="仿宋_GB2312"/>
          <w:bCs/>
          <w:kern w:val="44"/>
          <w:sz w:val="32"/>
          <w:szCs w:val="32"/>
        </w:rPr>
        <w:t>和</w:t>
      </w:r>
      <w:r>
        <w:rPr>
          <w:rFonts w:hint="eastAsia" w:eastAsia="仿宋_GB2312"/>
          <w:bCs/>
          <w:kern w:val="44"/>
          <w:sz w:val="32"/>
          <w:szCs w:val="32"/>
        </w:rPr>
        <w:t>《北京市财政局关于2025年预算绩效管理工作的通知》（京财绩效〔2025〕245号）</w:t>
      </w:r>
      <w:r>
        <w:rPr>
          <w:rFonts w:eastAsia="仿宋_GB2312"/>
          <w:bCs/>
          <w:kern w:val="44"/>
          <w:sz w:val="32"/>
          <w:szCs w:val="32"/>
        </w:rPr>
        <w:t>等文件</w:t>
      </w:r>
      <w:r>
        <w:rPr>
          <w:rFonts w:hint="eastAsia" w:eastAsia="仿宋_GB2312"/>
          <w:bCs/>
          <w:kern w:val="44"/>
          <w:sz w:val="32"/>
          <w:szCs w:val="32"/>
        </w:rPr>
        <w:t>要求</w:t>
      </w:r>
      <w:r>
        <w:rPr>
          <w:rFonts w:eastAsia="仿宋_GB2312"/>
          <w:bCs/>
          <w:kern w:val="44"/>
          <w:sz w:val="32"/>
          <w:szCs w:val="32"/>
        </w:rPr>
        <w:t>，北京市人力资源和社会保障局（以下简称市人社局）组建重点项目绩效评价工作组（以下简称评价工作组）对市人社局</w:t>
      </w:r>
      <w:r>
        <w:rPr>
          <w:rFonts w:hint="eastAsia" w:eastAsia="仿宋_GB2312"/>
          <w:bCs/>
          <w:kern w:val="44"/>
          <w:sz w:val="32"/>
          <w:szCs w:val="32"/>
        </w:rPr>
        <w:t>专业技术人员管理处</w:t>
      </w:r>
      <w:r>
        <w:rPr>
          <w:rFonts w:eastAsia="仿宋_GB2312"/>
          <w:bCs/>
          <w:kern w:val="44"/>
          <w:sz w:val="32"/>
          <w:szCs w:val="32"/>
        </w:rPr>
        <w:t>负责实施的“</w:t>
      </w:r>
      <w:r>
        <w:rPr>
          <w:rFonts w:hint="eastAsia" w:eastAsia="仿宋_GB2312"/>
          <w:bCs/>
          <w:kern w:val="44"/>
          <w:sz w:val="32"/>
          <w:szCs w:val="32"/>
        </w:rPr>
        <w:t>专业技术人才知识更新工程</w:t>
      </w:r>
      <w:r>
        <w:rPr>
          <w:rFonts w:eastAsia="仿宋_GB2312"/>
          <w:bCs/>
          <w:kern w:val="44"/>
          <w:sz w:val="32"/>
          <w:szCs w:val="32"/>
        </w:rPr>
        <w:t>”项目（以下简称该项目）的绩效情况实施评价，形成本报告。</w:t>
      </w:r>
    </w:p>
    <w:bookmarkEnd w:id="14"/>
    <w:bookmarkEnd w:id="15"/>
    <w:p>
      <w:pPr>
        <w:adjustRightInd w:val="0"/>
        <w:snapToGrid w:val="0"/>
        <w:spacing w:line="580" w:lineRule="exact"/>
        <w:ind w:firstLine="640"/>
        <w:outlineLvl w:val="0"/>
        <w:rPr>
          <w:rFonts w:eastAsia="黑体"/>
          <w:b/>
          <w:sz w:val="32"/>
        </w:rPr>
      </w:pPr>
      <w:bookmarkStart w:id="17" w:name="_Toc964533994_WPSOffice_Level1"/>
      <w:bookmarkStart w:id="18" w:name="_Toc1783587871"/>
      <w:bookmarkStart w:id="19" w:name="_Toc15517"/>
      <w:bookmarkStart w:id="20" w:name="_Toc16374"/>
      <w:bookmarkStart w:id="21" w:name="_Toc26439"/>
      <w:bookmarkStart w:id="22" w:name="_Toc28952"/>
      <w:bookmarkStart w:id="23" w:name="_Toc13497"/>
      <w:bookmarkStart w:id="24" w:name="_Toc13095"/>
      <w:r>
        <w:rPr>
          <w:rFonts w:eastAsia="黑体"/>
          <w:sz w:val="32"/>
          <w:szCs w:val="32"/>
          <w:lang w:eastAsia="zh-Hans"/>
        </w:rPr>
        <w:t>一、</w:t>
      </w:r>
      <w:r>
        <w:rPr>
          <w:rFonts w:eastAsia="黑体"/>
          <w:sz w:val="32"/>
          <w:szCs w:val="32"/>
        </w:rPr>
        <w:t>基本情况</w:t>
      </w:r>
      <w:bookmarkEnd w:id="17"/>
      <w:bookmarkEnd w:id="18"/>
      <w:bookmarkEnd w:id="19"/>
      <w:bookmarkEnd w:id="20"/>
      <w:bookmarkEnd w:id="21"/>
      <w:bookmarkEnd w:id="22"/>
      <w:bookmarkEnd w:id="23"/>
    </w:p>
    <w:p>
      <w:pPr>
        <w:adjustRightInd w:val="0"/>
        <w:snapToGrid w:val="0"/>
        <w:spacing w:line="580" w:lineRule="exact"/>
        <w:ind w:firstLine="640"/>
        <w:outlineLvl w:val="1"/>
        <w:rPr>
          <w:rFonts w:ascii="楷体_GB2312" w:eastAsia="楷体_GB2312"/>
          <w:b/>
          <w:sz w:val="32"/>
        </w:rPr>
      </w:pPr>
      <w:bookmarkStart w:id="25" w:name="_Toc17092"/>
      <w:bookmarkStart w:id="26" w:name="_Toc23833"/>
      <w:bookmarkStart w:id="27" w:name="_Toc11131"/>
      <w:bookmarkStart w:id="28" w:name="_Toc13134"/>
      <w:bookmarkStart w:id="29" w:name="_Toc16496"/>
      <w:bookmarkStart w:id="30" w:name="_Toc1716269602_WPSOffice_Level2"/>
      <w:bookmarkStart w:id="31" w:name="_Toc37119424"/>
      <w:r>
        <w:rPr>
          <w:rFonts w:hint="eastAsia" w:ascii="楷体_GB2312" w:eastAsia="楷体_GB2312"/>
          <w:b/>
          <w:sz w:val="32"/>
        </w:rPr>
        <w:t>（一）</w:t>
      </w:r>
      <w:r>
        <w:rPr>
          <w:rFonts w:hint="eastAsia" w:ascii="楷体_GB2312" w:eastAsia="楷体_GB2312"/>
          <w:b/>
          <w:sz w:val="32"/>
          <w:szCs w:val="32"/>
        </w:rPr>
        <w:t>项目概况</w:t>
      </w:r>
      <w:bookmarkEnd w:id="24"/>
      <w:bookmarkEnd w:id="25"/>
      <w:bookmarkEnd w:id="26"/>
      <w:bookmarkEnd w:id="27"/>
      <w:bookmarkEnd w:id="28"/>
      <w:bookmarkEnd w:id="29"/>
      <w:bookmarkEnd w:id="30"/>
      <w:bookmarkEnd w:id="31"/>
    </w:p>
    <w:p>
      <w:pPr>
        <w:adjustRightInd w:val="0"/>
        <w:snapToGrid w:val="0"/>
        <w:spacing w:line="580" w:lineRule="exact"/>
        <w:ind w:firstLine="640"/>
        <w:rPr>
          <w:rFonts w:eastAsia="仿宋_GB2312"/>
          <w:b/>
          <w:sz w:val="32"/>
          <w:szCs w:val="32"/>
        </w:rPr>
      </w:pPr>
      <w:r>
        <w:rPr>
          <w:rFonts w:eastAsia="仿宋_GB2312"/>
          <w:b/>
          <w:sz w:val="32"/>
          <w:szCs w:val="32"/>
        </w:rPr>
        <w:t>1.项目背景</w:t>
      </w:r>
    </w:p>
    <w:p>
      <w:pPr>
        <w:adjustRightInd w:val="0"/>
        <w:snapToGrid w:val="0"/>
        <w:spacing w:line="580" w:lineRule="exact"/>
        <w:ind w:firstLine="640"/>
        <w:rPr>
          <w:rFonts w:eastAsia="仿宋_GB2312"/>
          <w:bCs/>
          <w:kern w:val="44"/>
          <w:sz w:val="32"/>
          <w:szCs w:val="32"/>
        </w:rPr>
      </w:pPr>
      <w:bookmarkStart w:id="32" w:name="_Toc15639"/>
      <w:r>
        <w:rPr>
          <w:rFonts w:hint="eastAsia" w:eastAsia="仿宋_GB2312"/>
          <w:bCs/>
          <w:kern w:val="44"/>
          <w:sz w:val="32"/>
          <w:szCs w:val="32"/>
        </w:rPr>
        <w:t>在国家深化人才发展体制机制改革的关键时期，中共中央国务院发布的《关于加强和改进新时代人才工作的意见》明确指出，需全面加强继续教育，深入实施知识更新工程，为人才队伍建设指明战略方向。2021 年，人力资源社会保障部、财政部等六部门联合印发《专业技术人才知识更新工程实施方案的通知》（人社部发〔2021〕73 号），进一步细化国家人才战略布局，深入实施人才强国战略和创新驱动发展战略，聚焦科技自立自强、高质量发展与国家重大战略需求，以人才能力建设为核心，重点培养高层次、急需紧缺和骨干专业技术人才。</w:t>
      </w:r>
    </w:p>
    <w:p>
      <w:pPr>
        <w:adjustRightInd w:val="0"/>
        <w:snapToGrid w:val="0"/>
        <w:spacing w:line="580" w:lineRule="exact"/>
        <w:ind w:firstLine="640"/>
        <w:rPr>
          <w:rFonts w:eastAsia="仿宋_GB2312"/>
          <w:bCs/>
          <w:kern w:val="44"/>
          <w:sz w:val="32"/>
          <w:szCs w:val="32"/>
        </w:rPr>
      </w:pPr>
      <w:r>
        <w:rPr>
          <w:rFonts w:hint="eastAsia" w:eastAsia="仿宋_GB2312"/>
          <w:bCs/>
          <w:kern w:val="44"/>
          <w:sz w:val="32"/>
          <w:szCs w:val="32"/>
        </w:rPr>
        <w:t>当前，知识更新迭代速度不断加快，新技术、新理论、新方法持续涌现。北京正处于产业升级和经济结构调整的关键阶段，对专业技术人才的知识储备与创新能力提出了更高要求。北京作为首都与全国科技创新中心，积极响应国家号召，大力实施专业技术人才知识更新工程。</w:t>
      </w:r>
    </w:p>
    <w:p>
      <w:pPr>
        <w:adjustRightInd w:val="0"/>
        <w:snapToGrid w:val="0"/>
        <w:spacing w:line="580" w:lineRule="exact"/>
        <w:ind w:firstLine="640"/>
        <w:rPr>
          <w:rFonts w:eastAsia="仿宋_GB2312"/>
          <w:b/>
          <w:sz w:val="32"/>
          <w:szCs w:val="32"/>
        </w:rPr>
      </w:pPr>
      <w:r>
        <w:rPr>
          <w:rFonts w:eastAsia="仿宋_GB2312"/>
          <w:b/>
          <w:sz w:val="32"/>
          <w:szCs w:val="32"/>
        </w:rPr>
        <w:t>2.项目主要内容</w:t>
      </w:r>
      <w:bookmarkEnd w:id="32"/>
    </w:p>
    <w:p>
      <w:pPr>
        <w:adjustRightInd w:val="0"/>
        <w:snapToGrid w:val="0"/>
        <w:spacing w:line="580" w:lineRule="exact"/>
        <w:ind w:firstLine="640"/>
        <w:rPr>
          <w:rFonts w:eastAsia="仿宋_GB2312"/>
          <w:b/>
          <w:sz w:val="32"/>
          <w:szCs w:val="32"/>
        </w:rPr>
      </w:pPr>
      <w:r>
        <w:rPr>
          <w:rFonts w:hint="eastAsia" w:ascii="仿宋_GB2312" w:hAnsi="宋体" w:eastAsia="仿宋_GB2312" w:cs="仿宋_GB2312"/>
          <w:sz w:val="32"/>
          <w:szCs w:val="32"/>
        </w:rPr>
        <w:t>2024年，北京市围绕创新驱动发展、乡村振兴、京津冀协同发展等重大战略，服务战略性新兴产业发展，加快“国际科技创新中心”和“两区”建设，在促进科技创新能力提升、科技成果转化应用、新发展格局构建等领域，紧密结合行业领域发展需求和热点、难点问题，组织</w:t>
      </w:r>
      <w:r>
        <w:rPr>
          <w:rFonts w:ascii="仿宋_GB2312" w:hAnsi="宋体" w:eastAsia="仿宋_GB2312" w:cs="仿宋_GB2312"/>
          <w:sz w:val="32"/>
          <w:szCs w:val="32"/>
        </w:rPr>
        <w:t>99</w:t>
      </w:r>
      <w:r>
        <w:rPr>
          <w:rFonts w:hint="eastAsia" w:ascii="仿宋_GB2312" w:hAnsi="宋体" w:eastAsia="仿宋_GB2312" w:cs="仿宋_GB2312"/>
          <w:sz w:val="32"/>
          <w:szCs w:val="32"/>
        </w:rPr>
        <w:t>期高级研修班。市</w:t>
      </w:r>
      <w:r>
        <w:rPr>
          <w:rFonts w:hint="eastAsia" w:ascii="仿宋_GB2312" w:hAnsi="仿宋" w:eastAsia="仿宋_GB2312"/>
          <w:sz w:val="32"/>
          <w:szCs w:val="32"/>
        </w:rPr>
        <w:t>人社局</w:t>
      </w:r>
      <w:r>
        <w:rPr>
          <w:rFonts w:hint="eastAsia" w:ascii="仿宋_GB2312" w:hAnsi="宋体" w:eastAsia="仿宋_GB2312" w:cs="仿宋_GB2312"/>
          <w:sz w:val="32"/>
          <w:szCs w:val="32"/>
        </w:rPr>
        <w:t>根据专业领域、研修内容、师资配备研修对象等情况择优资助。</w:t>
      </w:r>
    </w:p>
    <w:p>
      <w:pPr>
        <w:adjustRightInd w:val="0"/>
        <w:snapToGrid w:val="0"/>
        <w:spacing w:line="580" w:lineRule="exact"/>
        <w:ind w:firstLine="640"/>
        <w:rPr>
          <w:rFonts w:eastAsia="仿宋_GB2312"/>
          <w:b/>
          <w:sz w:val="32"/>
          <w:szCs w:val="32"/>
        </w:rPr>
      </w:pPr>
      <w:r>
        <w:rPr>
          <w:rFonts w:hint="eastAsia" w:eastAsia="仿宋_GB2312"/>
          <w:b/>
          <w:sz w:val="32"/>
          <w:szCs w:val="32"/>
        </w:rPr>
        <w:t>3.项目实施情况</w:t>
      </w:r>
    </w:p>
    <w:p>
      <w:pPr>
        <w:adjustRightInd w:val="0"/>
        <w:snapToGrid w:val="0"/>
        <w:spacing w:line="580" w:lineRule="exact"/>
        <w:ind w:firstLine="640"/>
        <w:rPr>
          <w:rFonts w:hint="eastAsia" w:ascii="仿宋_GB2312" w:hAnsi="宋体" w:eastAsia="仿宋_GB2312" w:cs="仿宋_GB2312"/>
          <w:sz w:val="32"/>
          <w:szCs w:val="32"/>
        </w:rPr>
      </w:pPr>
      <w:r>
        <w:rPr>
          <w:rFonts w:hint="eastAsia" w:ascii="仿宋_GB2312" w:hAnsi="宋体" w:eastAsia="仿宋_GB2312" w:cs="仿宋_GB2312"/>
          <w:sz w:val="32"/>
          <w:szCs w:val="32"/>
        </w:rPr>
        <w:t>（1）选题申报。2024年2月4日，市人社局印发《关于开展2024年北京市高级研修班选题申报工作的通知》（京人社专技字〔2024〕20号）对市级高级研修班选题范围、办班要求、工作程序、申报时限进行了明确。各单位按照《北京市专业技术人员高级研修班管理办法》和通知要求，确定研修选题，准备材料并申报。截至3月1日，全市共有95个单位申报185项选题。</w:t>
      </w:r>
    </w:p>
    <w:p>
      <w:pPr>
        <w:adjustRightInd w:val="0"/>
        <w:snapToGrid w:val="0"/>
        <w:spacing w:line="580" w:lineRule="exact"/>
        <w:ind w:firstLine="640"/>
        <w:rPr>
          <w:rFonts w:hint="eastAsia" w:ascii="仿宋_GB2312" w:hAnsi="宋体" w:eastAsia="仿宋_GB2312" w:cs="仿宋_GB2312"/>
          <w:sz w:val="32"/>
          <w:szCs w:val="32"/>
        </w:rPr>
      </w:pPr>
      <w:r>
        <w:rPr>
          <w:rFonts w:hint="eastAsia" w:ascii="仿宋_GB2312" w:hAnsi="宋体" w:eastAsia="仿宋_GB2312" w:cs="仿宋_GB2312"/>
          <w:sz w:val="32"/>
          <w:szCs w:val="32"/>
        </w:rPr>
        <w:t>（2）专家评审。3月28日,市人社局组织召开2024年北京市高级研修班选题专家评审会，邀请市财政局、市经济和信息化局、市科委中关村管委会、市国资委教育培训主管领导参加，本着聚焦科技前沿、服务重大战略、促进成果转化的原则，经过专家审议，评审出“发展新质生产力推动集成电路产业高质量发展”“氢能技术创新与产业发展”“关键领域先进金属基复合材料及技术”“脑健康管理与防治”等99个突出专业性、前瞻性、应用性的选题。</w:t>
      </w:r>
    </w:p>
    <w:p>
      <w:pPr>
        <w:adjustRightInd w:val="0"/>
        <w:snapToGrid w:val="0"/>
        <w:spacing w:line="580" w:lineRule="exact"/>
        <w:ind w:firstLine="640"/>
        <w:rPr>
          <w:rFonts w:hint="eastAsia" w:ascii="仿宋_GB2312" w:hAnsi="宋体" w:eastAsia="仿宋_GB2312" w:cs="仿宋_GB2312"/>
          <w:sz w:val="32"/>
          <w:szCs w:val="32"/>
        </w:rPr>
      </w:pPr>
      <w:r>
        <w:rPr>
          <w:rFonts w:hint="eastAsia" w:ascii="仿宋_GB2312" w:hAnsi="宋体" w:eastAsia="仿宋_GB2312" w:cs="仿宋_GB2312"/>
          <w:sz w:val="32"/>
          <w:szCs w:val="32"/>
        </w:rPr>
        <w:t>（3）官网公示。经市人力资源社会保障局主管局领导批准，在官网公示评审结果，包括市级高级研修班项目名称、申报单位、承办单位等信息，接受社会监督，公示期间（4月3日至4月10日）未收到意见建议。</w:t>
      </w:r>
    </w:p>
    <w:p>
      <w:pPr>
        <w:adjustRightInd w:val="0"/>
        <w:snapToGrid w:val="0"/>
        <w:spacing w:line="580" w:lineRule="exact"/>
        <w:ind w:firstLine="640"/>
        <w:rPr>
          <w:rFonts w:hint="eastAsia" w:ascii="仿宋_GB2312" w:hAnsi="宋体" w:eastAsia="仿宋_GB2312" w:cs="仿宋_GB2312"/>
          <w:sz w:val="32"/>
          <w:szCs w:val="32"/>
        </w:rPr>
      </w:pPr>
      <w:r>
        <w:rPr>
          <w:rFonts w:hint="eastAsia" w:ascii="仿宋_GB2312" w:hAnsi="宋体" w:eastAsia="仿宋_GB2312" w:cs="仿宋_GB2312"/>
          <w:sz w:val="32"/>
          <w:szCs w:val="32"/>
        </w:rPr>
        <w:t>（4）组织实施。公示后，将市级高级研修班列入年度北京市专业技术人才知识更新工程计划。市人社局召开市级高级研修班工作会议，指导申报单位、承办单位具体组织实施。要求每期研修时间不少于3天(24学时),并应在2024年10月31日之前完成办班；资助经费使用根据《北京市人力资源和社会保障局关于加强2024年北京市高级研修班以及资助经费管理工作的通知》（京人社专技字〔2024〕67号）要求执行。</w:t>
      </w:r>
    </w:p>
    <w:p>
      <w:pPr>
        <w:adjustRightInd w:val="0"/>
        <w:snapToGrid w:val="0"/>
        <w:spacing w:line="580" w:lineRule="exact"/>
        <w:ind w:firstLine="640"/>
        <w:rPr>
          <w:rFonts w:hint="eastAsia" w:ascii="仿宋_GB2312" w:hAnsi="宋体" w:eastAsia="仿宋_GB2312" w:cs="仿宋_GB2312"/>
          <w:sz w:val="32"/>
          <w:szCs w:val="32"/>
        </w:rPr>
      </w:pPr>
      <w:r>
        <w:rPr>
          <w:rFonts w:hint="eastAsia" w:ascii="仿宋_GB2312" w:hAnsi="宋体" w:eastAsia="仿宋_GB2312" w:cs="仿宋_GB2312"/>
          <w:sz w:val="32"/>
          <w:szCs w:val="32"/>
        </w:rPr>
        <w:t>（5）结题验收。市级高研班结业30日内，各承办单位将经费使用承诺书、总结报告、资助经费决算表、结业登记备案名册、教学评估统计表、学员满意度测评统计表等材料报市人力资源社会保障局验收。</w:t>
      </w:r>
    </w:p>
    <w:p>
      <w:pPr>
        <w:adjustRightInd w:val="0"/>
        <w:snapToGrid w:val="0"/>
        <w:spacing w:line="580" w:lineRule="exact"/>
        <w:ind w:firstLine="640"/>
        <w:rPr>
          <w:rFonts w:eastAsia="仿宋_GB2312"/>
          <w:b/>
          <w:sz w:val="32"/>
          <w:szCs w:val="32"/>
        </w:rPr>
      </w:pPr>
      <w:r>
        <w:rPr>
          <w:rFonts w:hint="eastAsia" w:eastAsia="仿宋_GB2312"/>
          <w:b/>
          <w:sz w:val="32"/>
          <w:szCs w:val="32"/>
        </w:rPr>
        <w:t>4</w:t>
      </w:r>
      <w:r>
        <w:rPr>
          <w:rFonts w:eastAsia="仿宋_GB2312"/>
          <w:b/>
          <w:sz w:val="32"/>
          <w:szCs w:val="32"/>
        </w:rPr>
        <w:t>.资金投入和使用情况</w:t>
      </w:r>
      <w:bookmarkStart w:id="33" w:name="_Toc1095901538"/>
      <w:bookmarkStart w:id="34" w:name="_Toc25117"/>
    </w:p>
    <w:p>
      <w:pPr>
        <w:adjustRightInd w:val="0"/>
        <w:snapToGrid w:val="0"/>
        <w:spacing w:line="580" w:lineRule="exact"/>
        <w:ind w:firstLine="640"/>
        <w:rPr>
          <w:rFonts w:eastAsia="仿宋_GB2312"/>
          <w:bCs/>
          <w:kern w:val="44"/>
          <w:sz w:val="32"/>
          <w:szCs w:val="32"/>
        </w:rPr>
      </w:pPr>
      <w:r>
        <w:rPr>
          <w:rFonts w:hint="eastAsia" w:eastAsia="仿宋_GB2312"/>
          <w:bCs/>
          <w:kern w:val="44"/>
          <w:sz w:val="32"/>
          <w:szCs w:val="32"/>
        </w:rPr>
        <w:t>2024年该</w:t>
      </w:r>
      <w:r>
        <w:rPr>
          <w:rFonts w:eastAsia="仿宋_GB2312"/>
          <w:bCs/>
          <w:kern w:val="44"/>
          <w:sz w:val="32"/>
          <w:szCs w:val="32"/>
        </w:rPr>
        <w:t>项目</w:t>
      </w:r>
      <w:r>
        <w:rPr>
          <w:rFonts w:hint="eastAsia" w:eastAsia="仿宋_GB2312"/>
          <w:bCs/>
          <w:kern w:val="44"/>
          <w:sz w:val="32"/>
          <w:szCs w:val="32"/>
        </w:rPr>
        <w:t>年初</w:t>
      </w:r>
      <w:r>
        <w:rPr>
          <w:rFonts w:eastAsia="仿宋_GB2312"/>
          <w:bCs/>
          <w:kern w:val="44"/>
          <w:sz w:val="32"/>
          <w:szCs w:val="32"/>
        </w:rPr>
        <w:t>预算资金</w:t>
      </w:r>
      <w:r>
        <w:rPr>
          <w:rFonts w:hint="eastAsia" w:eastAsia="仿宋_GB2312"/>
          <w:bCs/>
          <w:kern w:val="44"/>
          <w:sz w:val="32"/>
          <w:szCs w:val="32"/>
        </w:rPr>
        <w:t>602</w:t>
      </w:r>
      <w:r>
        <w:rPr>
          <w:rFonts w:eastAsia="仿宋_GB2312"/>
          <w:bCs/>
          <w:kern w:val="44"/>
          <w:sz w:val="32"/>
          <w:szCs w:val="32"/>
        </w:rPr>
        <w:t>.00万元，</w:t>
      </w:r>
      <w:r>
        <w:rPr>
          <w:rFonts w:hint="eastAsia" w:eastAsia="仿宋_GB2312"/>
          <w:bCs/>
          <w:kern w:val="44"/>
          <w:sz w:val="32"/>
          <w:szCs w:val="32"/>
        </w:rPr>
        <w:t>经调剂后全年预算资金601.045万元，</w:t>
      </w:r>
      <w:r>
        <w:rPr>
          <w:rFonts w:eastAsia="仿宋_GB2312"/>
          <w:bCs/>
          <w:kern w:val="44"/>
          <w:sz w:val="32"/>
          <w:szCs w:val="32"/>
        </w:rPr>
        <w:t>均为财政资金，截至202</w:t>
      </w:r>
      <w:r>
        <w:rPr>
          <w:rFonts w:hint="eastAsia" w:eastAsia="仿宋_GB2312"/>
          <w:bCs/>
          <w:kern w:val="44"/>
          <w:sz w:val="32"/>
          <w:szCs w:val="32"/>
        </w:rPr>
        <w:t>4</w:t>
      </w:r>
      <w:r>
        <w:rPr>
          <w:rFonts w:eastAsia="仿宋_GB2312"/>
          <w:bCs/>
          <w:kern w:val="44"/>
          <w:sz w:val="32"/>
          <w:szCs w:val="32"/>
        </w:rPr>
        <w:t>年12月31日实际支</w:t>
      </w:r>
      <w:r>
        <w:rPr>
          <w:rFonts w:hint="eastAsia" w:eastAsia="仿宋_GB2312"/>
          <w:bCs/>
          <w:kern w:val="44"/>
          <w:sz w:val="32"/>
          <w:szCs w:val="32"/>
        </w:rPr>
        <w:t>出597.691412万</w:t>
      </w:r>
      <w:r>
        <w:rPr>
          <w:rFonts w:eastAsia="仿宋_GB2312"/>
          <w:bCs/>
          <w:kern w:val="44"/>
          <w:sz w:val="32"/>
          <w:szCs w:val="32"/>
        </w:rPr>
        <w:t>元。</w:t>
      </w:r>
      <w:r>
        <w:rPr>
          <w:rFonts w:hint="eastAsia" w:eastAsia="仿宋_GB2312"/>
          <w:bCs/>
          <w:kern w:val="44"/>
          <w:sz w:val="32"/>
          <w:szCs w:val="32"/>
        </w:rPr>
        <w:t>其中：北京市高级研修班资助经费预算600.00万元，支出595.646412万元；高级研修班专家评审劳务费预算2.00万元，支出0.525万元；印刷费支出1.52万元。</w:t>
      </w:r>
    </w:p>
    <w:bookmarkEnd w:id="33"/>
    <w:p>
      <w:pPr>
        <w:adjustRightInd w:val="0"/>
        <w:snapToGrid w:val="0"/>
        <w:spacing w:line="580" w:lineRule="exact"/>
        <w:ind w:firstLine="640"/>
        <w:outlineLvl w:val="1"/>
        <w:rPr>
          <w:rFonts w:eastAsia="楷体_GB2312"/>
          <w:b/>
          <w:sz w:val="32"/>
        </w:rPr>
      </w:pPr>
      <w:bookmarkStart w:id="35" w:name="_Toc9060"/>
      <w:bookmarkStart w:id="36" w:name="_Toc18958"/>
      <w:bookmarkStart w:id="37" w:name="_Toc16120"/>
      <w:bookmarkStart w:id="38" w:name="_Toc1997392494"/>
      <w:bookmarkStart w:id="39" w:name="_Toc16103"/>
      <w:bookmarkStart w:id="40" w:name="_Toc342854310_WPSOffice_Level2"/>
      <w:bookmarkStart w:id="41" w:name="_Toc28797"/>
      <w:r>
        <w:rPr>
          <w:rFonts w:eastAsia="楷体_GB2312"/>
          <w:b/>
          <w:sz w:val="32"/>
        </w:rPr>
        <w:t>（</w:t>
      </w:r>
      <w:r>
        <w:rPr>
          <w:rFonts w:hint="eastAsia" w:eastAsia="楷体_GB2312"/>
          <w:b/>
          <w:sz w:val="32"/>
        </w:rPr>
        <w:t>二</w:t>
      </w:r>
      <w:r>
        <w:rPr>
          <w:rFonts w:eastAsia="楷体_GB2312"/>
          <w:b/>
          <w:sz w:val="32"/>
        </w:rPr>
        <w:t>）项目绩效目标</w:t>
      </w:r>
      <w:bookmarkEnd w:id="34"/>
      <w:bookmarkEnd w:id="35"/>
      <w:bookmarkEnd w:id="36"/>
      <w:bookmarkEnd w:id="37"/>
      <w:bookmarkEnd w:id="38"/>
      <w:bookmarkEnd w:id="39"/>
      <w:bookmarkEnd w:id="40"/>
      <w:bookmarkEnd w:id="41"/>
    </w:p>
    <w:p>
      <w:pPr>
        <w:adjustRightInd w:val="0"/>
        <w:snapToGrid w:val="0"/>
        <w:spacing w:line="580" w:lineRule="exact"/>
        <w:ind w:firstLine="640"/>
        <w:rPr>
          <w:rFonts w:eastAsia="仿宋_GB2312"/>
          <w:b/>
          <w:sz w:val="32"/>
          <w:szCs w:val="32"/>
        </w:rPr>
      </w:pPr>
      <w:bookmarkStart w:id="42" w:name="_Hlk167466648"/>
      <w:bookmarkStart w:id="43" w:name="_Toc26489"/>
      <w:bookmarkStart w:id="44" w:name="_Toc7351"/>
      <w:r>
        <w:rPr>
          <w:rFonts w:eastAsia="仿宋_GB2312"/>
          <w:b/>
          <w:sz w:val="32"/>
          <w:szCs w:val="32"/>
        </w:rPr>
        <w:t>1.总体目标</w:t>
      </w:r>
    </w:p>
    <w:bookmarkEnd w:id="42"/>
    <w:p>
      <w:pPr>
        <w:adjustRightInd w:val="0"/>
        <w:snapToGrid w:val="0"/>
        <w:spacing w:line="580" w:lineRule="exact"/>
        <w:ind w:firstLine="640"/>
        <w:rPr>
          <w:rFonts w:eastAsia="仿宋_GB2312"/>
          <w:bCs/>
          <w:kern w:val="44"/>
          <w:sz w:val="32"/>
          <w:szCs w:val="32"/>
        </w:rPr>
      </w:pPr>
      <w:r>
        <w:rPr>
          <w:rFonts w:hint="eastAsia" w:eastAsia="仿宋_GB2312"/>
          <w:bCs/>
          <w:kern w:val="44"/>
          <w:sz w:val="32"/>
          <w:szCs w:val="32"/>
        </w:rPr>
        <w:t>为贯彻落实党的二十大和中央、市委人才工作会议精神，深入学习领会习近平总书记关于做好新时代人才工作的重要思想，不断加强专业技术人才队伍建设，按照《专业技术人员继续教育规定》（人社部令第25号）、人社部等</w:t>
      </w:r>
      <w:r>
        <w:rPr>
          <w:rFonts w:hint="eastAsia" w:eastAsia="仿宋_GB2312"/>
          <w:bCs/>
          <w:kern w:val="44"/>
          <w:sz w:val="32"/>
          <w:szCs w:val="32"/>
          <w:lang w:eastAsia="zh-CN"/>
        </w:rPr>
        <w:t>五</w:t>
      </w:r>
      <w:r>
        <w:rPr>
          <w:rFonts w:hint="eastAsia" w:eastAsia="仿宋_GB2312"/>
          <w:bCs/>
          <w:kern w:val="44"/>
          <w:sz w:val="32"/>
          <w:szCs w:val="32"/>
        </w:rPr>
        <w:t>部委《关于印发〈专业技术人才知识更新工程实施方案〉的通知》（人社部发〔2021〕73号）、市人力资源社会保障局等</w:t>
      </w:r>
      <w:r>
        <w:rPr>
          <w:rFonts w:hint="eastAsia" w:eastAsia="仿宋_GB2312"/>
          <w:bCs/>
          <w:kern w:val="44"/>
          <w:sz w:val="32"/>
          <w:szCs w:val="32"/>
          <w:lang w:eastAsia="zh-CN"/>
        </w:rPr>
        <w:t>六</w:t>
      </w:r>
      <w:r>
        <w:rPr>
          <w:rFonts w:hint="eastAsia" w:eastAsia="仿宋_GB2312"/>
          <w:bCs/>
          <w:kern w:val="44"/>
          <w:sz w:val="32"/>
          <w:szCs w:val="32"/>
        </w:rPr>
        <w:t>委办《关于印发〈北京市专业技术人才知识更新工程实施方案〉的通知》（京人社专技字〔2022〕24号）要求，围绕创新驱动发展、乡村振兴、京津冀协同发展等重大战略，服务战略性新兴产业发展，加快“国际科技创新中心”和“两区”建设，在促进科技创新能力提升、科技成果转化应用、新发展格局构建等领域继续组织高级研修班，培养爱党报国、敬业奉献，善于推动理论、科技、文化创新的专业技术人才队伍。</w:t>
      </w:r>
    </w:p>
    <w:p>
      <w:pPr>
        <w:adjustRightInd w:val="0"/>
        <w:snapToGrid w:val="0"/>
        <w:spacing w:line="580" w:lineRule="exact"/>
        <w:ind w:firstLine="640"/>
        <w:rPr>
          <w:rFonts w:eastAsia="仿宋_GB2312"/>
          <w:bCs/>
          <w:kern w:val="44"/>
          <w:sz w:val="32"/>
          <w:szCs w:val="32"/>
        </w:rPr>
      </w:pPr>
      <w:r>
        <w:rPr>
          <w:rFonts w:hint="eastAsia" w:eastAsia="仿宋_GB2312"/>
          <w:bCs/>
          <w:kern w:val="44"/>
          <w:sz w:val="32"/>
          <w:szCs w:val="32"/>
        </w:rPr>
        <w:t>高级研修班是专业技术人才知识更新工程的主要载体，是继续教育的重要形式，也是提升专业技术人才能力的有力抓手。2024年，市人力资源社会保障局将按照高水平、小规模、重特色的要求面向中高层次专业技术人员和经营管理人员，举办100期左右市级高级研修班。预计培养5000名创新型、应用型、技术型人才。高级研修班资助需要经费600万元，另需高级研修班专家评审劳务费2万元，共需经费602万元。</w:t>
      </w:r>
    </w:p>
    <w:p>
      <w:pPr>
        <w:adjustRightInd w:val="0"/>
        <w:snapToGrid w:val="0"/>
        <w:spacing w:line="580" w:lineRule="exact"/>
        <w:ind w:firstLine="640"/>
        <w:rPr>
          <w:rFonts w:eastAsia="仿宋_GB2312"/>
          <w:b/>
          <w:sz w:val="32"/>
          <w:szCs w:val="32"/>
        </w:rPr>
      </w:pPr>
      <w:r>
        <w:rPr>
          <w:rFonts w:hint="eastAsia" w:eastAsia="仿宋_GB2312"/>
          <w:b/>
          <w:sz w:val="32"/>
          <w:szCs w:val="32"/>
        </w:rPr>
        <w:t>2.</w:t>
      </w:r>
      <w:r>
        <w:rPr>
          <w:rFonts w:eastAsia="仿宋_GB2312"/>
          <w:b/>
          <w:sz w:val="32"/>
          <w:szCs w:val="32"/>
        </w:rPr>
        <w:t>绩效指标</w:t>
      </w:r>
    </w:p>
    <w:p>
      <w:pPr>
        <w:adjustRightInd w:val="0"/>
        <w:snapToGrid w:val="0"/>
        <w:spacing w:line="580" w:lineRule="exact"/>
        <w:ind w:firstLine="640"/>
        <w:rPr>
          <w:rFonts w:eastAsia="仿宋_GB2312"/>
          <w:bCs/>
          <w:kern w:val="44"/>
          <w:sz w:val="32"/>
          <w:szCs w:val="32"/>
        </w:rPr>
      </w:pPr>
      <w:r>
        <w:rPr>
          <w:rFonts w:hint="eastAsia" w:eastAsia="仿宋_GB2312"/>
          <w:bCs/>
          <w:kern w:val="44"/>
          <w:sz w:val="32"/>
          <w:szCs w:val="32"/>
        </w:rPr>
        <w:t>根据年度总体目标和主要内容细化分解绩效指标。项目支出绩效指标设置情况详见表1。</w:t>
      </w:r>
    </w:p>
    <w:p>
      <w:pPr>
        <w:adjustRightInd w:val="0"/>
        <w:snapToGrid w:val="0"/>
        <w:spacing w:line="560" w:lineRule="exact"/>
        <w:ind w:right="240" w:rightChars="100" w:firstLine="0" w:firstLineChars="0"/>
        <w:jc w:val="center"/>
        <w:rPr>
          <w:rFonts w:hint="eastAsia" w:asciiTheme="majorEastAsia" w:hAnsiTheme="majorEastAsia" w:eastAsiaTheme="majorEastAsia" w:cstheme="majorEastAsia"/>
          <w:bCs/>
          <w:kern w:val="44"/>
          <w:sz w:val="30"/>
          <w:szCs w:val="30"/>
        </w:rPr>
      </w:pPr>
      <w:r>
        <w:rPr>
          <w:rFonts w:hint="eastAsia" w:asciiTheme="majorEastAsia" w:hAnsiTheme="majorEastAsia" w:eastAsiaTheme="majorEastAsia" w:cstheme="majorEastAsia"/>
          <w:bCs/>
          <w:kern w:val="44"/>
          <w:sz w:val="30"/>
          <w:szCs w:val="30"/>
        </w:rPr>
        <w:t>表1：项目支出绩效指标表</w:t>
      </w:r>
    </w:p>
    <w:tbl>
      <w:tblPr>
        <w:tblStyle w:val="19"/>
        <w:tblpPr w:leftFromText="180" w:rightFromText="180" w:vertAnchor="text" w:horzAnchor="page" w:tblpXSpec="center" w:tblpY="563"/>
        <w:tblOverlap w:val="never"/>
        <w:tblW w:w="500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4"/>
        <w:gridCol w:w="2520"/>
        <w:gridCol w:w="4239"/>
        <w:gridCol w:w="1501"/>
        <w:gridCol w:w="2299"/>
        <w:gridCol w:w="1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blHeader/>
          <w:jc w:val="center"/>
        </w:trPr>
        <w:tc>
          <w:tcPr>
            <w:tcW w:w="1127" w:type="dxa"/>
            <w:shd w:val="clear" w:color="F5F7FA" w:fill="auto"/>
            <w:noWrap/>
            <w:vAlign w:val="center"/>
          </w:tcPr>
          <w:p>
            <w:pPr>
              <w:widowControl/>
              <w:spacing w:line="320" w:lineRule="exact"/>
              <w:ind w:firstLine="0" w:firstLineChars="0"/>
              <w:jc w:val="center"/>
              <w:textAlignment w:val="center"/>
              <w:rPr>
                <w:rFonts w:hint="eastAsia" w:asciiTheme="minorEastAsia" w:hAnsiTheme="minorEastAsia" w:eastAsiaTheme="minorEastAsia"/>
                <w:b/>
                <w:bCs/>
                <w:color w:val="000000"/>
                <w:kern w:val="0"/>
                <w:sz w:val="21"/>
                <w:szCs w:val="21"/>
                <w:lang w:bidi="ar"/>
              </w:rPr>
            </w:pPr>
            <w:r>
              <w:rPr>
                <w:rFonts w:asciiTheme="minorEastAsia" w:hAnsiTheme="minorEastAsia" w:eastAsiaTheme="minorEastAsia"/>
                <w:b/>
                <w:bCs/>
                <w:color w:val="000000"/>
                <w:kern w:val="0"/>
                <w:sz w:val="21"/>
                <w:szCs w:val="21"/>
                <w:lang w:bidi="ar"/>
              </w:rPr>
              <w:t>一级指标</w:t>
            </w:r>
          </w:p>
        </w:tc>
        <w:tc>
          <w:tcPr>
            <w:tcW w:w="1610" w:type="dxa"/>
            <w:shd w:val="clear" w:color="F5F7FA" w:fill="auto"/>
            <w:noWrap/>
            <w:vAlign w:val="center"/>
          </w:tcPr>
          <w:p>
            <w:pPr>
              <w:widowControl/>
              <w:spacing w:line="320" w:lineRule="exact"/>
              <w:ind w:firstLine="0" w:firstLineChars="0"/>
              <w:jc w:val="center"/>
              <w:textAlignment w:val="center"/>
              <w:rPr>
                <w:rFonts w:hint="eastAsia" w:asciiTheme="minorEastAsia" w:hAnsiTheme="minorEastAsia" w:eastAsiaTheme="minorEastAsia"/>
                <w:b/>
                <w:bCs/>
                <w:color w:val="000000"/>
                <w:kern w:val="0"/>
                <w:sz w:val="21"/>
                <w:szCs w:val="21"/>
                <w:lang w:bidi="ar"/>
              </w:rPr>
            </w:pPr>
            <w:r>
              <w:rPr>
                <w:rFonts w:asciiTheme="minorEastAsia" w:hAnsiTheme="minorEastAsia" w:eastAsiaTheme="minorEastAsia"/>
                <w:b/>
                <w:bCs/>
                <w:color w:val="000000"/>
                <w:kern w:val="0"/>
                <w:sz w:val="21"/>
                <w:szCs w:val="21"/>
                <w:lang w:bidi="ar"/>
              </w:rPr>
              <w:t>二级指标</w:t>
            </w:r>
          </w:p>
        </w:tc>
        <w:tc>
          <w:tcPr>
            <w:tcW w:w="2708" w:type="dxa"/>
            <w:shd w:val="clear" w:color="F5F7FA" w:fill="auto"/>
            <w:noWrap/>
            <w:vAlign w:val="center"/>
          </w:tcPr>
          <w:p>
            <w:pPr>
              <w:widowControl/>
              <w:spacing w:line="320" w:lineRule="exact"/>
              <w:ind w:firstLine="0" w:firstLineChars="0"/>
              <w:jc w:val="center"/>
              <w:textAlignment w:val="center"/>
              <w:rPr>
                <w:rFonts w:hint="eastAsia" w:asciiTheme="minorEastAsia" w:hAnsiTheme="minorEastAsia" w:eastAsiaTheme="minorEastAsia"/>
                <w:b/>
                <w:bCs/>
                <w:color w:val="000000"/>
                <w:kern w:val="0"/>
                <w:sz w:val="21"/>
                <w:szCs w:val="21"/>
                <w:lang w:bidi="ar"/>
              </w:rPr>
            </w:pPr>
            <w:r>
              <w:rPr>
                <w:rFonts w:asciiTheme="minorEastAsia" w:hAnsiTheme="minorEastAsia" w:eastAsiaTheme="minorEastAsia"/>
                <w:b/>
                <w:bCs/>
                <w:color w:val="000000"/>
                <w:kern w:val="0"/>
                <w:sz w:val="21"/>
                <w:szCs w:val="21"/>
                <w:lang w:bidi="ar"/>
              </w:rPr>
              <w:t>三级指标</w:t>
            </w:r>
          </w:p>
        </w:tc>
        <w:tc>
          <w:tcPr>
            <w:tcW w:w="959" w:type="dxa"/>
            <w:shd w:val="clear" w:color="F5F7FA" w:fill="auto"/>
            <w:noWrap/>
            <w:vAlign w:val="center"/>
          </w:tcPr>
          <w:p>
            <w:pPr>
              <w:widowControl/>
              <w:spacing w:line="320" w:lineRule="exact"/>
              <w:ind w:firstLine="0" w:firstLineChars="0"/>
              <w:jc w:val="center"/>
              <w:textAlignment w:val="center"/>
              <w:rPr>
                <w:rFonts w:hint="eastAsia" w:asciiTheme="minorEastAsia" w:hAnsiTheme="minorEastAsia" w:eastAsiaTheme="minorEastAsia"/>
                <w:b/>
                <w:bCs/>
                <w:color w:val="000000"/>
                <w:kern w:val="0"/>
                <w:sz w:val="21"/>
                <w:szCs w:val="21"/>
                <w:lang w:bidi="ar"/>
              </w:rPr>
            </w:pPr>
            <w:r>
              <w:rPr>
                <w:rFonts w:asciiTheme="minorEastAsia" w:hAnsiTheme="minorEastAsia" w:eastAsiaTheme="minorEastAsia"/>
                <w:b/>
                <w:bCs/>
                <w:color w:val="000000"/>
                <w:kern w:val="0"/>
                <w:sz w:val="21"/>
                <w:szCs w:val="21"/>
                <w:lang w:bidi="ar"/>
              </w:rPr>
              <w:t>指标</w:t>
            </w:r>
          </w:p>
          <w:p>
            <w:pPr>
              <w:widowControl/>
              <w:spacing w:line="320" w:lineRule="exact"/>
              <w:ind w:firstLine="0" w:firstLineChars="0"/>
              <w:jc w:val="center"/>
              <w:textAlignment w:val="center"/>
              <w:rPr>
                <w:rFonts w:hint="eastAsia" w:asciiTheme="minorEastAsia" w:hAnsiTheme="minorEastAsia" w:eastAsiaTheme="minorEastAsia"/>
                <w:b/>
                <w:bCs/>
                <w:color w:val="000000"/>
                <w:kern w:val="0"/>
                <w:sz w:val="21"/>
                <w:szCs w:val="21"/>
                <w:lang w:bidi="ar"/>
              </w:rPr>
            </w:pPr>
            <w:r>
              <w:rPr>
                <w:rFonts w:asciiTheme="minorEastAsia" w:hAnsiTheme="minorEastAsia" w:eastAsiaTheme="minorEastAsia"/>
                <w:b/>
                <w:bCs/>
                <w:color w:val="000000"/>
                <w:kern w:val="0"/>
                <w:sz w:val="21"/>
                <w:szCs w:val="21"/>
                <w:lang w:bidi="ar"/>
              </w:rPr>
              <w:t>性质</w:t>
            </w:r>
          </w:p>
        </w:tc>
        <w:tc>
          <w:tcPr>
            <w:tcW w:w="1469" w:type="dxa"/>
            <w:shd w:val="clear" w:color="F5F7FA" w:fill="auto"/>
            <w:noWrap/>
            <w:vAlign w:val="center"/>
          </w:tcPr>
          <w:p>
            <w:pPr>
              <w:widowControl/>
              <w:spacing w:line="320" w:lineRule="exact"/>
              <w:ind w:firstLine="0" w:firstLineChars="0"/>
              <w:jc w:val="center"/>
              <w:textAlignment w:val="center"/>
              <w:rPr>
                <w:rFonts w:hint="eastAsia" w:asciiTheme="minorEastAsia" w:hAnsiTheme="minorEastAsia" w:eastAsiaTheme="minorEastAsia"/>
                <w:b/>
                <w:bCs/>
                <w:color w:val="000000"/>
                <w:kern w:val="0"/>
                <w:sz w:val="21"/>
                <w:szCs w:val="21"/>
                <w:lang w:bidi="ar"/>
              </w:rPr>
            </w:pPr>
            <w:r>
              <w:rPr>
                <w:rFonts w:asciiTheme="minorEastAsia" w:hAnsiTheme="minorEastAsia" w:eastAsiaTheme="minorEastAsia"/>
                <w:b/>
                <w:bCs/>
                <w:color w:val="000000"/>
                <w:kern w:val="0"/>
                <w:sz w:val="21"/>
                <w:szCs w:val="21"/>
                <w:lang w:bidi="ar"/>
              </w:rPr>
              <w:t>指标值</w:t>
            </w:r>
          </w:p>
        </w:tc>
        <w:tc>
          <w:tcPr>
            <w:tcW w:w="852" w:type="dxa"/>
            <w:shd w:val="clear" w:color="F5F7FA" w:fill="auto"/>
            <w:noWrap/>
            <w:vAlign w:val="center"/>
          </w:tcPr>
          <w:p>
            <w:pPr>
              <w:widowControl/>
              <w:spacing w:line="320" w:lineRule="exact"/>
              <w:ind w:firstLine="0" w:firstLineChars="0"/>
              <w:jc w:val="center"/>
              <w:textAlignment w:val="center"/>
              <w:rPr>
                <w:rFonts w:hint="eastAsia" w:asciiTheme="minorEastAsia" w:hAnsiTheme="minorEastAsia" w:eastAsiaTheme="minorEastAsia"/>
                <w:b/>
                <w:bCs/>
                <w:color w:val="000000"/>
                <w:kern w:val="0"/>
                <w:sz w:val="21"/>
                <w:szCs w:val="21"/>
                <w:lang w:bidi="ar"/>
              </w:rPr>
            </w:pPr>
            <w:r>
              <w:rPr>
                <w:rFonts w:asciiTheme="minorEastAsia" w:hAnsiTheme="minorEastAsia" w:eastAsiaTheme="minorEastAsia"/>
                <w:b/>
                <w:bCs/>
                <w:color w:val="000000"/>
                <w:kern w:val="0"/>
                <w:sz w:val="21"/>
                <w:szCs w:val="21"/>
                <w:lang w:bidi="ar"/>
              </w:rPr>
              <w:t>度量</w:t>
            </w:r>
          </w:p>
          <w:p>
            <w:pPr>
              <w:widowControl/>
              <w:spacing w:line="320" w:lineRule="exact"/>
              <w:ind w:firstLine="0" w:firstLineChars="0"/>
              <w:jc w:val="center"/>
              <w:textAlignment w:val="center"/>
              <w:rPr>
                <w:rFonts w:hint="eastAsia" w:asciiTheme="minorEastAsia" w:hAnsiTheme="minorEastAsia" w:eastAsiaTheme="minorEastAsia"/>
                <w:b/>
                <w:bCs/>
                <w:color w:val="000000"/>
                <w:kern w:val="0"/>
                <w:sz w:val="21"/>
                <w:szCs w:val="21"/>
                <w:lang w:bidi="ar"/>
              </w:rPr>
            </w:pPr>
            <w:r>
              <w:rPr>
                <w:rFonts w:asciiTheme="minorEastAsia" w:hAnsiTheme="minorEastAsia" w:eastAsiaTheme="minorEastAsia"/>
                <w:b/>
                <w:bCs/>
                <w:color w:val="000000"/>
                <w:kern w:val="0"/>
                <w:sz w:val="21"/>
                <w:szCs w:val="21"/>
                <w:lang w:bidi="ar"/>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27" w:type="dxa"/>
            <w:noWrap/>
            <w:vAlign w:val="center"/>
          </w:tcPr>
          <w:p>
            <w:pPr>
              <w:widowControl/>
              <w:spacing w:line="320" w:lineRule="exact"/>
              <w:ind w:firstLine="0" w:firstLineChars="0"/>
              <w:jc w:val="center"/>
              <w:textAlignment w:val="center"/>
              <w:rPr>
                <w:rFonts w:hint="eastAsia" w:asciiTheme="minorEastAsia" w:hAnsiTheme="minorEastAsia" w:eastAsiaTheme="minorEastAsia"/>
                <w:color w:val="000000"/>
                <w:kern w:val="0"/>
                <w:sz w:val="21"/>
                <w:szCs w:val="21"/>
                <w:lang w:bidi="ar"/>
              </w:rPr>
            </w:pPr>
            <w:r>
              <w:rPr>
                <w:rFonts w:asciiTheme="minorEastAsia" w:hAnsiTheme="minorEastAsia" w:eastAsiaTheme="minorEastAsia"/>
                <w:color w:val="000000"/>
                <w:kern w:val="0"/>
                <w:sz w:val="21"/>
                <w:szCs w:val="21"/>
                <w:lang w:bidi="ar"/>
              </w:rPr>
              <w:t>产出指标</w:t>
            </w:r>
          </w:p>
        </w:tc>
        <w:tc>
          <w:tcPr>
            <w:tcW w:w="1610"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数量指标</w:t>
            </w:r>
          </w:p>
        </w:tc>
        <w:tc>
          <w:tcPr>
            <w:tcW w:w="2708"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培训人数</w:t>
            </w:r>
          </w:p>
        </w:tc>
        <w:tc>
          <w:tcPr>
            <w:tcW w:w="959"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w:t>
            </w:r>
          </w:p>
        </w:tc>
        <w:tc>
          <w:tcPr>
            <w:tcW w:w="1469"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4000</w:t>
            </w:r>
          </w:p>
        </w:tc>
        <w:tc>
          <w:tcPr>
            <w:tcW w:w="852"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27" w:type="dxa"/>
            <w:noWrap/>
            <w:vAlign w:val="center"/>
          </w:tcPr>
          <w:p>
            <w:pPr>
              <w:widowControl/>
              <w:spacing w:line="320" w:lineRule="exact"/>
              <w:ind w:firstLine="0" w:firstLineChars="0"/>
              <w:jc w:val="center"/>
              <w:textAlignment w:val="center"/>
              <w:rPr>
                <w:rFonts w:hint="eastAsia" w:asciiTheme="minorEastAsia" w:hAnsiTheme="minorEastAsia" w:eastAsiaTheme="minorEastAsia"/>
                <w:color w:val="000000"/>
                <w:kern w:val="0"/>
                <w:sz w:val="21"/>
                <w:szCs w:val="21"/>
                <w:lang w:bidi="ar"/>
              </w:rPr>
            </w:pPr>
            <w:r>
              <w:rPr>
                <w:rFonts w:asciiTheme="minorEastAsia" w:hAnsiTheme="minorEastAsia" w:eastAsiaTheme="minorEastAsia"/>
                <w:color w:val="000000"/>
                <w:kern w:val="0"/>
                <w:sz w:val="21"/>
                <w:szCs w:val="21"/>
                <w:lang w:bidi="ar"/>
              </w:rPr>
              <w:t>产出指标</w:t>
            </w:r>
          </w:p>
        </w:tc>
        <w:tc>
          <w:tcPr>
            <w:tcW w:w="1610"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数量指标</w:t>
            </w:r>
          </w:p>
        </w:tc>
        <w:tc>
          <w:tcPr>
            <w:tcW w:w="2708"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开展高研班期次</w:t>
            </w:r>
          </w:p>
        </w:tc>
        <w:tc>
          <w:tcPr>
            <w:tcW w:w="959"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w:t>
            </w:r>
          </w:p>
        </w:tc>
        <w:tc>
          <w:tcPr>
            <w:tcW w:w="1469"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60</w:t>
            </w:r>
          </w:p>
        </w:tc>
        <w:tc>
          <w:tcPr>
            <w:tcW w:w="852"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27" w:type="dxa"/>
            <w:noWrap/>
            <w:vAlign w:val="center"/>
          </w:tcPr>
          <w:p>
            <w:pPr>
              <w:widowControl/>
              <w:spacing w:line="320" w:lineRule="exact"/>
              <w:ind w:firstLine="0" w:firstLineChars="0"/>
              <w:jc w:val="center"/>
              <w:textAlignment w:val="center"/>
              <w:rPr>
                <w:rFonts w:hint="eastAsia" w:asciiTheme="minorEastAsia" w:hAnsiTheme="minorEastAsia" w:eastAsiaTheme="minorEastAsia"/>
                <w:color w:val="000000"/>
                <w:kern w:val="0"/>
                <w:sz w:val="21"/>
                <w:szCs w:val="21"/>
                <w:lang w:bidi="ar"/>
              </w:rPr>
            </w:pPr>
            <w:r>
              <w:rPr>
                <w:rFonts w:asciiTheme="minorEastAsia" w:hAnsiTheme="minorEastAsia" w:eastAsiaTheme="minorEastAsia"/>
                <w:color w:val="000000"/>
                <w:kern w:val="0"/>
                <w:sz w:val="21"/>
                <w:szCs w:val="21"/>
                <w:lang w:bidi="ar"/>
              </w:rPr>
              <w:t>产出指标</w:t>
            </w:r>
          </w:p>
        </w:tc>
        <w:tc>
          <w:tcPr>
            <w:tcW w:w="1610"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时效指标</w:t>
            </w:r>
          </w:p>
        </w:tc>
        <w:tc>
          <w:tcPr>
            <w:tcW w:w="2708"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培训工作完成时间</w:t>
            </w:r>
          </w:p>
        </w:tc>
        <w:tc>
          <w:tcPr>
            <w:tcW w:w="959"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w:t>
            </w:r>
          </w:p>
        </w:tc>
        <w:tc>
          <w:tcPr>
            <w:tcW w:w="1469"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12</w:t>
            </w:r>
          </w:p>
        </w:tc>
        <w:tc>
          <w:tcPr>
            <w:tcW w:w="852"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27" w:type="dxa"/>
            <w:noWrap/>
            <w:vAlign w:val="center"/>
          </w:tcPr>
          <w:p>
            <w:pPr>
              <w:widowControl/>
              <w:spacing w:line="320" w:lineRule="exact"/>
              <w:ind w:firstLine="0" w:firstLineChars="0"/>
              <w:jc w:val="center"/>
              <w:textAlignment w:val="center"/>
              <w:rPr>
                <w:rFonts w:hint="eastAsia" w:asciiTheme="minorEastAsia" w:hAnsiTheme="minorEastAsia" w:eastAsiaTheme="minorEastAsia"/>
                <w:color w:val="000000"/>
                <w:kern w:val="0"/>
                <w:sz w:val="21"/>
                <w:szCs w:val="21"/>
                <w:lang w:bidi="ar"/>
              </w:rPr>
            </w:pPr>
            <w:r>
              <w:rPr>
                <w:rFonts w:asciiTheme="minorEastAsia" w:hAnsiTheme="minorEastAsia" w:eastAsiaTheme="minorEastAsia"/>
                <w:color w:val="000000"/>
                <w:kern w:val="0"/>
                <w:sz w:val="21"/>
                <w:szCs w:val="21"/>
                <w:lang w:bidi="ar"/>
              </w:rPr>
              <w:t>产出指标</w:t>
            </w:r>
          </w:p>
        </w:tc>
        <w:tc>
          <w:tcPr>
            <w:tcW w:w="1610"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质量指标</w:t>
            </w:r>
          </w:p>
        </w:tc>
        <w:tc>
          <w:tcPr>
            <w:tcW w:w="2708"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培训人员合格率</w:t>
            </w:r>
          </w:p>
        </w:tc>
        <w:tc>
          <w:tcPr>
            <w:tcW w:w="959"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w:t>
            </w:r>
          </w:p>
        </w:tc>
        <w:tc>
          <w:tcPr>
            <w:tcW w:w="1469"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90</w:t>
            </w:r>
          </w:p>
        </w:tc>
        <w:tc>
          <w:tcPr>
            <w:tcW w:w="852"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27" w:type="dxa"/>
            <w:noWrap/>
            <w:vAlign w:val="center"/>
          </w:tcPr>
          <w:p>
            <w:pPr>
              <w:widowControl/>
              <w:spacing w:line="320" w:lineRule="exact"/>
              <w:ind w:firstLine="0" w:firstLineChars="0"/>
              <w:jc w:val="center"/>
              <w:textAlignment w:val="center"/>
              <w:rPr>
                <w:rFonts w:hint="eastAsia" w:asciiTheme="minorEastAsia" w:hAnsiTheme="minorEastAsia" w:eastAsiaTheme="minorEastAsia"/>
                <w:color w:val="000000"/>
                <w:kern w:val="0"/>
                <w:sz w:val="21"/>
                <w:szCs w:val="21"/>
                <w:lang w:bidi="ar"/>
              </w:rPr>
            </w:pPr>
            <w:r>
              <w:rPr>
                <w:rFonts w:asciiTheme="minorEastAsia" w:hAnsiTheme="minorEastAsia" w:eastAsiaTheme="minorEastAsia"/>
                <w:color w:val="000000"/>
                <w:kern w:val="0"/>
                <w:sz w:val="21"/>
                <w:szCs w:val="21"/>
                <w:lang w:bidi="ar"/>
              </w:rPr>
              <w:t>成本指标</w:t>
            </w:r>
          </w:p>
        </w:tc>
        <w:tc>
          <w:tcPr>
            <w:tcW w:w="1610"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经济成本指标</w:t>
            </w:r>
          </w:p>
        </w:tc>
        <w:tc>
          <w:tcPr>
            <w:tcW w:w="2708"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资助高级研修班费用</w:t>
            </w:r>
          </w:p>
        </w:tc>
        <w:tc>
          <w:tcPr>
            <w:tcW w:w="959"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w:t>
            </w:r>
          </w:p>
        </w:tc>
        <w:tc>
          <w:tcPr>
            <w:tcW w:w="1469"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600</w:t>
            </w:r>
          </w:p>
        </w:tc>
        <w:tc>
          <w:tcPr>
            <w:tcW w:w="852"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27" w:type="dxa"/>
            <w:noWrap/>
            <w:vAlign w:val="center"/>
          </w:tcPr>
          <w:p>
            <w:pPr>
              <w:widowControl/>
              <w:spacing w:line="320" w:lineRule="exact"/>
              <w:ind w:firstLine="0" w:firstLineChars="0"/>
              <w:jc w:val="center"/>
              <w:textAlignment w:val="center"/>
              <w:rPr>
                <w:rFonts w:hint="eastAsia" w:asciiTheme="minorEastAsia" w:hAnsiTheme="minorEastAsia" w:eastAsiaTheme="minorEastAsia"/>
                <w:color w:val="000000"/>
                <w:kern w:val="0"/>
                <w:sz w:val="21"/>
                <w:szCs w:val="21"/>
                <w:lang w:bidi="ar"/>
              </w:rPr>
            </w:pPr>
            <w:r>
              <w:rPr>
                <w:rFonts w:asciiTheme="minorEastAsia" w:hAnsiTheme="minorEastAsia" w:eastAsiaTheme="minorEastAsia"/>
                <w:color w:val="000000"/>
                <w:kern w:val="0"/>
                <w:sz w:val="21"/>
                <w:szCs w:val="21"/>
                <w:lang w:bidi="ar"/>
              </w:rPr>
              <w:t>成本指标</w:t>
            </w:r>
          </w:p>
        </w:tc>
        <w:tc>
          <w:tcPr>
            <w:tcW w:w="1610"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经济成本指标</w:t>
            </w:r>
          </w:p>
        </w:tc>
        <w:tc>
          <w:tcPr>
            <w:tcW w:w="2708"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专家评审劳务费</w:t>
            </w:r>
          </w:p>
        </w:tc>
        <w:tc>
          <w:tcPr>
            <w:tcW w:w="959"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w:t>
            </w:r>
          </w:p>
        </w:tc>
        <w:tc>
          <w:tcPr>
            <w:tcW w:w="1469"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2</w:t>
            </w:r>
          </w:p>
        </w:tc>
        <w:tc>
          <w:tcPr>
            <w:tcW w:w="852"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27" w:type="dxa"/>
            <w:noWrap/>
            <w:vAlign w:val="center"/>
          </w:tcPr>
          <w:p>
            <w:pPr>
              <w:widowControl/>
              <w:spacing w:line="320" w:lineRule="exact"/>
              <w:ind w:firstLine="0" w:firstLineChars="0"/>
              <w:jc w:val="center"/>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效益指标</w:t>
            </w:r>
          </w:p>
        </w:tc>
        <w:tc>
          <w:tcPr>
            <w:tcW w:w="1610"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可持续影响指标</w:t>
            </w:r>
          </w:p>
        </w:tc>
        <w:tc>
          <w:tcPr>
            <w:tcW w:w="2708"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为国家和首都社会经济发展提供更多的专业技术人才</w:t>
            </w:r>
          </w:p>
        </w:tc>
        <w:tc>
          <w:tcPr>
            <w:tcW w:w="959"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定性</w:t>
            </w:r>
          </w:p>
        </w:tc>
        <w:tc>
          <w:tcPr>
            <w:tcW w:w="1469"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优</w:t>
            </w:r>
          </w:p>
        </w:tc>
        <w:tc>
          <w:tcPr>
            <w:tcW w:w="852"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27" w:type="dxa"/>
            <w:noWrap/>
            <w:vAlign w:val="center"/>
          </w:tcPr>
          <w:p>
            <w:pPr>
              <w:widowControl/>
              <w:spacing w:line="320" w:lineRule="exact"/>
              <w:ind w:firstLine="0" w:firstLineChars="0"/>
              <w:jc w:val="center"/>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效益指标</w:t>
            </w:r>
          </w:p>
        </w:tc>
        <w:tc>
          <w:tcPr>
            <w:tcW w:w="1610"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社会效益指标</w:t>
            </w:r>
          </w:p>
        </w:tc>
        <w:tc>
          <w:tcPr>
            <w:tcW w:w="2708"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加强创新型、应用型、技术型人才培养，壮大高水平人才队伍</w:t>
            </w:r>
          </w:p>
        </w:tc>
        <w:tc>
          <w:tcPr>
            <w:tcW w:w="959"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定性</w:t>
            </w:r>
          </w:p>
        </w:tc>
        <w:tc>
          <w:tcPr>
            <w:tcW w:w="1469"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优</w:t>
            </w:r>
          </w:p>
        </w:tc>
        <w:tc>
          <w:tcPr>
            <w:tcW w:w="852"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27" w:type="dxa"/>
            <w:noWrap/>
            <w:vAlign w:val="center"/>
          </w:tcPr>
          <w:p>
            <w:pPr>
              <w:widowControl/>
              <w:spacing w:line="320" w:lineRule="exact"/>
              <w:ind w:firstLine="0" w:firstLineChars="0"/>
              <w:jc w:val="center"/>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满意度指标</w:t>
            </w:r>
          </w:p>
        </w:tc>
        <w:tc>
          <w:tcPr>
            <w:tcW w:w="1610"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服务对象满意度指标</w:t>
            </w:r>
          </w:p>
        </w:tc>
        <w:tc>
          <w:tcPr>
            <w:tcW w:w="2708"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参加培训人员满意度</w:t>
            </w:r>
          </w:p>
        </w:tc>
        <w:tc>
          <w:tcPr>
            <w:tcW w:w="959"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w:t>
            </w:r>
          </w:p>
        </w:tc>
        <w:tc>
          <w:tcPr>
            <w:tcW w:w="1469"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90</w:t>
            </w:r>
          </w:p>
        </w:tc>
        <w:tc>
          <w:tcPr>
            <w:tcW w:w="852" w:type="dxa"/>
            <w:noWrap/>
            <w:vAlign w:val="center"/>
          </w:tcPr>
          <w:p>
            <w:pPr>
              <w:widowControl/>
              <w:spacing w:line="320" w:lineRule="exact"/>
              <w:ind w:firstLine="0" w:firstLineChars="0"/>
              <w:jc w:val="left"/>
              <w:textAlignment w:val="center"/>
              <w:rPr>
                <w:rFonts w:hint="eastAsia" w:asciiTheme="minorEastAsia" w:hAnsiTheme="minorEastAsia" w:eastAsiaTheme="minorEastAsia"/>
                <w:color w:val="000000"/>
                <w:kern w:val="0"/>
                <w:sz w:val="21"/>
                <w:szCs w:val="21"/>
                <w:lang w:bidi="ar"/>
              </w:rPr>
            </w:pPr>
            <w:r>
              <w:rPr>
                <w:rFonts w:hint="eastAsia" w:asciiTheme="minorEastAsia" w:hAnsiTheme="minorEastAsia" w:eastAsiaTheme="minorEastAsia"/>
                <w:color w:val="000000"/>
                <w:kern w:val="0"/>
                <w:sz w:val="21"/>
                <w:szCs w:val="21"/>
                <w:lang w:bidi="ar"/>
              </w:rPr>
              <w:t>%</w:t>
            </w:r>
          </w:p>
        </w:tc>
      </w:tr>
    </w:tbl>
    <w:p>
      <w:pPr>
        <w:adjustRightInd w:val="0"/>
        <w:snapToGrid w:val="0"/>
        <w:spacing w:line="580" w:lineRule="exact"/>
        <w:ind w:firstLine="640"/>
        <w:outlineLvl w:val="0"/>
        <w:rPr>
          <w:rFonts w:eastAsia="黑体"/>
          <w:sz w:val="32"/>
          <w:szCs w:val="32"/>
        </w:rPr>
      </w:pPr>
      <w:bookmarkStart w:id="45" w:name="_Toc14615"/>
      <w:bookmarkStart w:id="46" w:name="_Toc711276754"/>
      <w:bookmarkStart w:id="47" w:name="_Toc32736"/>
      <w:bookmarkStart w:id="48" w:name="_Toc11592"/>
      <w:bookmarkStart w:id="49" w:name="_Toc653763269_WPSOffice_Level1"/>
      <w:bookmarkStart w:id="50" w:name="_Toc15169"/>
      <w:bookmarkStart w:id="51" w:name="_Toc4362"/>
      <w:bookmarkStart w:id="52" w:name="_Toc14179"/>
      <w:r>
        <w:rPr>
          <w:rFonts w:eastAsia="黑体"/>
          <w:sz w:val="32"/>
          <w:szCs w:val="32"/>
        </w:rPr>
        <w:t>二、</w:t>
      </w:r>
      <w:bookmarkEnd w:id="43"/>
      <w:bookmarkEnd w:id="44"/>
      <w:bookmarkStart w:id="53" w:name="_Toc22870"/>
      <w:r>
        <w:rPr>
          <w:rFonts w:eastAsia="黑体"/>
          <w:sz w:val="32"/>
          <w:szCs w:val="32"/>
        </w:rPr>
        <w:t>绩效评价工作开展情况</w:t>
      </w:r>
      <w:bookmarkEnd w:id="45"/>
      <w:bookmarkEnd w:id="46"/>
      <w:bookmarkEnd w:id="47"/>
      <w:bookmarkEnd w:id="48"/>
      <w:bookmarkEnd w:id="49"/>
      <w:bookmarkEnd w:id="50"/>
      <w:bookmarkEnd w:id="51"/>
      <w:bookmarkEnd w:id="52"/>
    </w:p>
    <w:bookmarkEnd w:id="53"/>
    <w:p>
      <w:pPr>
        <w:adjustRightInd w:val="0"/>
        <w:snapToGrid w:val="0"/>
        <w:spacing w:line="580" w:lineRule="exact"/>
        <w:ind w:firstLine="640"/>
        <w:outlineLvl w:val="1"/>
        <w:rPr>
          <w:rFonts w:eastAsia="楷体_GB2312"/>
          <w:b/>
          <w:sz w:val="32"/>
        </w:rPr>
      </w:pPr>
      <w:bookmarkStart w:id="54" w:name="_Toc1534425276"/>
      <w:bookmarkStart w:id="55" w:name="_Toc28644"/>
      <w:bookmarkStart w:id="56" w:name="_Toc1277"/>
      <w:bookmarkStart w:id="57" w:name="_Toc1272924031_WPSOffice_Level2"/>
      <w:bookmarkStart w:id="58" w:name="_Toc14668"/>
      <w:bookmarkStart w:id="59" w:name="_Toc15667"/>
      <w:bookmarkStart w:id="60" w:name="_Toc7688"/>
      <w:bookmarkStart w:id="61" w:name="_Toc16887"/>
      <w:bookmarkStart w:id="62" w:name="_Toc17033"/>
      <w:r>
        <w:rPr>
          <w:rFonts w:eastAsia="楷体_GB2312"/>
          <w:b/>
          <w:sz w:val="32"/>
        </w:rPr>
        <w:t>（一）绩效评价目的、对象和范围</w:t>
      </w:r>
      <w:bookmarkEnd w:id="54"/>
      <w:bookmarkEnd w:id="55"/>
      <w:bookmarkEnd w:id="56"/>
      <w:bookmarkEnd w:id="57"/>
      <w:bookmarkEnd w:id="58"/>
      <w:bookmarkEnd w:id="59"/>
      <w:bookmarkEnd w:id="60"/>
    </w:p>
    <w:p>
      <w:pPr>
        <w:adjustRightInd w:val="0"/>
        <w:snapToGrid w:val="0"/>
        <w:spacing w:line="580" w:lineRule="exact"/>
        <w:ind w:firstLine="640"/>
        <w:rPr>
          <w:rFonts w:eastAsia="仿宋_GB2312"/>
          <w:b/>
          <w:sz w:val="32"/>
          <w:szCs w:val="32"/>
        </w:rPr>
      </w:pPr>
      <w:r>
        <w:rPr>
          <w:rFonts w:eastAsia="仿宋_GB2312"/>
          <w:b/>
          <w:sz w:val="32"/>
          <w:szCs w:val="32"/>
        </w:rPr>
        <w:t>1.评价目的</w:t>
      </w:r>
    </w:p>
    <w:p>
      <w:pPr>
        <w:spacing w:line="580" w:lineRule="exact"/>
        <w:ind w:firstLine="640"/>
        <w:rPr>
          <w:rFonts w:eastAsia="仿宋_GB2312"/>
          <w:bCs/>
          <w:kern w:val="44"/>
          <w:sz w:val="32"/>
          <w:szCs w:val="32"/>
        </w:rPr>
      </w:pPr>
      <w:bookmarkStart w:id="63" w:name="_Hlk66130966"/>
      <w:r>
        <w:rPr>
          <w:rFonts w:hint="eastAsia" w:eastAsia="仿宋_GB2312"/>
          <w:bCs/>
          <w:kern w:val="44"/>
          <w:sz w:val="32"/>
          <w:szCs w:val="32"/>
        </w:rPr>
        <w:t>根据项目实施情况，从</w:t>
      </w:r>
      <w:r>
        <w:rPr>
          <w:rFonts w:eastAsia="仿宋_GB2312"/>
          <w:bCs/>
          <w:kern w:val="44"/>
          <w:sz w:val="32"/>
          <w:szCs w:val="32"/>
        </w:rPr>
        <w:t>项目决策、项目过程、项目产出、项目效益四方面</w:t>
      </w:r>
      <w:r>
        <w:rPr>
          <w:rFonts w:hint="eastAsia" w:eastAsia="仿宋_GB2312"/>
          <w:bCs/>
          <w:kern w:val="44"/>
          <w:sz w:val="32"/>
          <w:szCs w:val="32"/>
        </w:rPr>
        <w:t>对项目的决策立项、资金使用、过程管理、工作成效及年度调查任务完成情况进行客观、公正评价，总结项目管理与执行经验，发现项目管理和预算管理中存在的问题，提出改进意见和建议，进一步</w:t>
      </w:r>
      <w:r>
        <w:rPr>
          <w:rFonts w:eastAsia="仿宋_GB2312"/>
          <w:bCs/>
          <w:kern w:val="44"/>
          <w:sz w:val="32"/>
          <w:szCs w:val="32"/>
        </w:rPr>
        <w:t>加强预算绩效管理，强化支出责任，分析项目资金的实施效果，检验财政支出预期目标实现程度，考核财政支出效率和综合效果</w:t>
      </w:r>
      <w:r>
        <w:rPr>
          <w:rFonts w:hint="eastAsia" w:eastAsia="仿宋_GB2312"/>
          <w:bCs/>
          <w:kern w:val="44"/>
          <w:sz w:val="32"/>
          <w:szCs w:val="32"/>
        </w:rPr>
        <w:t>，</w:t>
      </w:r>
      <w:r>
        <w:rPr>
          <w:rFonts w:eastAsia="仿宋_GB2312"/>
          <w:sz w:val="32"/>
          <w:szCs w:val="32"/>
        </w:rPr>
        <w:t>为本部门、本单位完善政策和改进管理</w:t>
      </w:r>
      <w:r>
        <w:rPr>
          <w:rFonts w:hint="eastAsia" w:eastAsia="仿宋_GB2312"/>
          <w:sz w:val="32"/>
          <w:szCs w:val="32"/>
        </w:rPr>
        <w:t>提供参考</w:t>
      </w:r>
      <w:r>
        <w:rPr>
          <w:rFonts w:eastAsia="仿宋_GB2312"/>
          <w:sz w:val="32"/>
          <w:szCs w:val="32"/>
        </w:rPr>
        <w:t>依据</w:t>
      </w:r>
      <w:r>
        <w:rPr>
          <w:rFonts w:hint="eastAsia" w:eastAsia="仿宋_GB2312"/>
          <w:sz w:val="32"/>
          <w:szCs w:val="32"/>
        </w:rPr>
        <w:t>。</w:t>
      </w:r>
    </w:p>
    <w:bookmarkEnd w:id="63"/>
    <w:p>
      <w:pPr>
        <w:adjustRightInd w:val="0"/>
        <w:snapToGrid w:val="0"/>
        <w:spacing w:line="580" w:lineRule="exact"/>
        <w:ind w:firstLine="640"/>
        <w:rPr>
          <w:rFonts w:eastAsia="仿宋_GB2312"/>
          <w:b/>
          <w:sz w:val="32"/>
          <w:szCs w:val="32"/>
        </w:rPr>
      </w:pPr>
      <w:r>
        <w:rPr>
          <w:rFonts w:eastAsia="仿宋_GB2312"/>
          <w:b/>
          <w:sz w:val="32"/>
          <w:szCs w:val="32"/>
        </w:rPr>
        <w:t>2.评价对象</w:t>
      </w:r>
    </w:p>
    <w:p>
      <w:pPr>
        <w:adjustRightInd w:val="0"/>
        <w:snapToGrid w:val="0"/>
        <w:spacing w:line="580" w:lineRule="exact"/>
        <w:ind w:firstLine="640"/>
        <w:rPr>
          <w:rFonts w:eastAsia="仿宋_GB2312"/>
          <w:bCs/>
          <w:kern w:val="44"/>
          <w:sz w:val="32"/>
          <w:szCs w:val="32"/>
        </w:rPr>
      </w:pPr>
      <w:bookmarkStart w:id="64" w:name="_Toc27151395"/>
      <w:bookmarkStart w:id="65" w:name="_Toc27151280"/>
      <w:r>
        <w:rPr>
          <w:rFonts w:hint="eastAsia" w:eastAsia="仿宋_GB2312"/>
          <w:bCs/>
          <w:kern w:val="44"/>
          <w:sz w:val="32"/>
          <w:szCs w:val="32"/>
        </w:rPr>
        <w:t>2024年专业技术人才知识更新工程</w:t>
      </w:r>
      <w:r>
        <w:rPr>
          <w:rFonts w:eastAsia="仿宋_GB2312"/>
          <w:bCs/>
          <w:kern w:val="44"/>
          <w:sz w:val="32"/>
          <w:szCs w:val="32"/>
        </w:rPr>
        <w:t>项目</w:t>
      </w:r>
      <w:r>
        <w:rPr>
          <w:rFonts w:hint="eastAsia" w:eastAsia="仿宋_GB2312"/>
          <w:bCs/>
          <w:kern w:val="44"/>
          <w:sz w:val="32"/>
          <w:szCs w:val="32"/>
        </w:rPr>
        <w:t>。</w:t>
      </w:r>
    </w:p>
    <w:bookmarkEnd w:id="64"/>
    <w:bookmarkEnd w:id="65"/>
    <w:p>
      <w:pPr>
        <w:adjustRightInd w:val="0"/>
        <w:snapToGrid w:val="0"/>
        <w:spacing w:line="580" w:lineRule="exact"/>
        <w:ind w:firstLine="640"/>
        <w:rPr>
          <w:rFonts w:eastAsia="仿宋_GB2312"/>
          <w:b/>
          <w:sz w:val="32"/>
          <w:szCs w:val="32"/>
        </w:rPr>
      </w:pPr>
      <w:r>
        <w:rPr>
          <w:rFonts w:eastAsia="仿宋_GB2312"/>
          <w:b/>
          <w:sz w:val="32"/>
          <w:szCs w:val="32"/>
        </w:rPr>
        <w:t>3.评价范围</w:t>
      </w:r>
    </w:p>
    <w:p>
      <w:pPr>
        <w:adjustRightInd w:val="0"/>
        <w:snapToGrid w:val="0"/>
        <w:spacing w:line="580" w:lineRule="exact"/>
        <w:ind w:firstLine="640"/>
        <w:rPr>
          <w:rFonts w:eastAsia="仿宋_GB2312"/>
          <w:bCs/>
          <w:kern w:val="44"/>
          <w:sz w:val="32"/>
          <w:szCs w:val="32"/>
        </w:rPr>
      </w:pPr>
      <w:bookmarkStart w:id="66" w:name="_Toc17330"/>
      <w:bookmarkStart w:id="67" w:name="_Toc15822"/>
      <w:bookmarkStart w:id="68" w:name="_Toc802097603_WPSOffice_Level2"/>
      <w:bookmarkStart w:id="69" w:name="_Toc15710"/>
      <w:bookmarkStart w:id="70" w:name="_Toc26616"/>
      <w:bookmarkStart w:id="71" w:name="_Toc1881211542"/>
      <w:r>
        <w:rPr>
          <w:rFonts w:eastAsia="仿宋_GB2312"/>
          <w:bCs/>
          <w:kern w:val="44"/>
          <w:sz w:val="32"/>
          <w:szCs w:val="32"/>
        </w:rPr>
        <w:t>本次绩效评价对</w:t>
      </w:r>
      <w:r>
        <w:rPr>
          <w:rFonts w:hint="eastAsia" w:eastAsia="仿宋_GB2312"/>
          <w:bCs/>
          <w:kern w:val="44"/>
          <w:sz w:val="32"/>
          <w:szCs w:val="32"/>
        </w:rPr>
        <w:t>专业技术人员管理处负责实施的“专业技术人才知识更新工程”项目与该项目相关的99期研修班开展等工作实施成效进行整体评价。</w:t>
      </w:r>
    </w:p>
    <w:p>
      <w:pPr>
        <w:adjustRightInd w:val="0"/>
        <w:snapToGrid w:val="0"/>
        <w:spacing w:line="580" w:lineRule="exact"/>
        <w:ind w:firstLine="640"/>
        <w:outlineLvl w:val="1"/>
        <w:rPr>
          <w:rFonts w:eastAsia="楷体_GB2312"/>
          <w:b/>
          <w:sz w:val="32"/>
        </w:rPr>
      </w:pPr>
      <w:bookmarkStart w:id="72" w:name="_Toc13674"/>
      <w:r>
        <w:rPr>
          <w:rFonts w:eastAsia="楷体_GB2312"/>
          <w:b/>
          <w:sz w:val="32"/>
        </w:rPr>
        <w:t>（二）绩效评价原则、评价指标体系、评价方法和评价标准</w:t>
      </w:r>
      <w:bookmarkEnd w:id="66"/>
      <w:bookmarkEnd w:id="67"/>
      <w:bookmarkEnd w:id="68"/>
      <w:bookmarkEnd w:id="69"/>
      <w:bookmarkEnd w:id="70"/>
      <w:bookmarkEnd w:id="71"/>
      <w:bookmarkEnd w:id="72"/>
    </w:p>
    <w:p>
      <w:pPr>
        <w:adjustRightInd w:val="0"/>
        <w:snapToGrid w:val="0"/>
        <w:spacing w:line="580" w:lineRule="exact"/>
        <w:ind w:firstLine="640"/>
        <w:rPr>
          <w:rFonts w:eastAsia="仿宋_GB2312"/>
          <w:b/>
          <w:sz w:val="32"/>
          <w:szCs w:val="32"/>
        </w:rPr>
      </w:pPr>
      <w:r>
        <w:rPr>
          <w:rFonts w:eastAsia="仿宋_GB2312"/>
          <w:b/>
          <w:sz w:val="32"/>
          <w:szCs w:val="32"/>
        </w:rPr>
        <w:t>1.评价原则</w:t>
      </w:r>
    </w:p>
    <w:p>
      <w:pPr>
        <w:adjustRightInd w:val="0"/>
        <w:snapToGrid w:val="0"/>
        <w:spacing w:line="580" w:lineRule="exact"/>
        <w:ind w:firstLine="640"/>
        <w:rPr>
          <w:rFonts w:eastAsia="仿宋_GB2312"/>
          <w:bCs/>
          <w:kern w:val="44"/>
          <w:sz w:val="32"/>
          <w:szCs w:val="32"/>
        </w:rPr>
      </w:pPr>
      <w:r>
        <w:rPr>
          <w:rFonts w:eastAsia="仿宋_GB2312"/>
          <w:bCs/>
          <w:kern w:val="44"/>
          <w:sz w:val="32"/>
          <w:szCs w:val="32"/>
        </w:rPr>
        <w:t>一是客观公正原则。本次绩效评价本着实事求是的原则，站在客观、公正的立场发表评价意见。</w:t>
      </w:r>
    </w:p>
    <w:p>
      <w:pPr>
        <w:adjustRightInd w:val="0"/>
        <w:snapToGrid w:val="0"/>
        <w:spacing w:line="580" w:lineRule="exact"/>
        <w:ind w:firstLine="640"/>
        <w:rPr>
          <w:rFonts w:eastAsia="仿宋_GB2312"/>
          <w:bCs/>
          <w:kern w:val="44"/>
          <w:sz w:val="32"/>
          <w:szCs w:val="32"/>
        </w:rPr>
      </w:pPr>
      <w:r>
        <w:rPr>
          <w:rFonts w:eastAsia="仿宋_GB2312"/>
          <w:bCs/>
          <w:kern w:val="44"/>
          <w:sz w:val="32"/>
          <w:szCs w:val="32"/>
        </w:rPr>
        <w:t>二是科学规范原则。严格遵循</w:t>
      </w:r>
      <w:bookmarkStart w:id="73" w:name="_Hlk69739239"/>
      <w:r>
        <w:rPr>
          <w:rFonts w:eastAsia="仿宋_GB2312"/>
          <w:bCs/>
          <w:kern w:val="44"/>
          <w:sz w:val="32"/>
          <w:szCs w:val="32"/>
        </w:rPr>
        <w:t>《北京市项目支出绩效评价管理办法》</w:t>
      </w:r>
      <w:bookmarkEnd w:id="73"/>
      <w:r>
        <w:rPr>
          <w:rFonts w:eastAsia="仿宋_GB2312"/>
          <w:bCs/>
          <w:kern w:val="44"/>
          <w:sz w:val="32"/>
          <w:szCs w:val="32"/>
        </w:rPr>
        <w:t>等文件规定，按市财政局要求规范组织实施。</w:t>
      </w:r>
    </w:p>
    <w:p>
      <w:pPr>
        <w:adjustRightInd w:val="0"/>
        <w:snapToGrid w:val="0"/>
        <w:spacing w:line="580" w:lineRule="exact"/>
        <w:ind w:firstLine="640"/>
        <w:rPr>
          <w:rFonts w:eastAsia="仿宋_GB2312"/>
          <w:bCs/>
          <w:kern w:val="44"/>
          <w:sz w:val="32"/>
          <w:szCs w:val="32"/>
        </w:rPr>
      </w:pPr>
      <w:r>
        <w:rPr>
          <w:rFonts w:eastAsia="仿宋_GB2312"/>
          <w:bCs/>
          <w:kern w:val="44"/>
          <w:sz w:val="32"/>
          <w:szCs w:val="32"/>
        </w:rPr>
        <w:t>三是突出绩效原则。坚持以绩效为导向，着眼全面加强绩效管理，重点关注绩效，兼顾决策和管理。</w:t>
      </w:r>
    </w:p>
    <w:p>
      <w:pPr>
        <w:adjustRightInd w:val="0"/>
        <w:snapToGrid w:val="0"/>
        <w:spacing w:line="580" w:lineRule="exact"/>
        <w:ind w:firstLine="640"/>
        <w:rPr>
          <w:rFonts w:eastAsia="仿宋_GB2312"/>
          <w:b/>
          <w:sz w:val="32"/>
          <w:szCs w:val="32"/>
        </w:rPr>
      </w:pPr>
      <w:r>
        <w:rPr>
          <w:rFonts w:eastAsia="仿宋_GB2312"/>
          <w:b/>
          <w:sz w:val="32"/>
          <w:szCs w:val="32"/>
        </w:rPr>
        <w:t>2.评价指标体系</w:t>
      </w:r>
    </w:p>
    <w:p>
      <w:pPr>
        <w:adjustRightInd w:val="0"/>
        <w:snapToGrid w:val="0"/>
        <w:spacing w:line="580" w:lineRule="exact"/>
        <w:ind w:firstLine="640"/>
        <w:rPr>
          <w:rFonts w:eastAsia="仿宋_GB2312"/>
          <w:bCs/>
          <w:sz w:val="32"/>
          <w:szCs w:val="32"/>
        </w:rPr>
      </w:pPr>
      <w:r>
        <w:rPr>
          <w:rFonts w:eastAsia="仿宋_GB2312"/>
          <w:bCs/>
          <w:kern w:val="44"/>
          <w:sz w:val="32"/>
          <w:szCs w:val="32"/>
        </w:rPr>
        <w:t>评价工作组结合项目特点和预期绩效目标，以资金使用结果为</w:t>
      </w:r>
      <w:r>
        <w:rPr>
          <w:rFonts w:hint="eastAsia" w:eastAsia="仿宋_GB2312"/>
          <w:bCs/>
          <w:kern w:val="44"/>
          <w:sz w:val="32"/>
          <w:szCs w:val="32"/>
        </w:rPr>
        <w:t>导向</w:t>
      </w:r>
      <w:r>
        <w:rPr>
          <w:rFonts w:eastAsia="仿宋_GB2312"/>
          <w:bCs/>
          <w:kern w:val="44"/>
          <w:sz w:val="32"/>
          <w:szCs w:val="32"/>
        </w:rPr>
        <w:t>，按照“相关性、重要性、可比性、系统性”原则，明确评价标准，按照《北京市项目支出绩效评价管理办法》（京财绩效〔2020〕2146号），确定了该项目绩效评价指标体系，其中一级指标4个，二级指标6个，三级指标17个。</w:t>
      </w:r>
    </w:p>
    <w:p>
      <w:pPr>
        <w:adjustRightInd w:val="0"/>
        <w:snapToGrid w:val="0"/>
        <w:spacing w:line="580" w:lineRule="exact"/>
        <w:ind w:firstLine="640"/>
        <w:rPr>
          <w:rFonts w:eastAsia="仿宋_GB2312"/>
          <w:b/>
          <w:sz w:val="32"/>
          <w:szCs w:val="32"/>
        </w:rPr>
      </w:pPr>
      <w:r>
        <w:rPr>
          <w:rFonts w:eastAsia="仿宋_GB2312"/>
          <w:b/>
          <w:sz w:val="32"/>
          <w:szCs w:val="32"/>
        </w:rPr>
        <w:t>3.评价方法</w:t>
      </w:r>
    </w:p>
    <w:p>
      <w:pPr>
        <w:adjustRightInd w:val="0"/>
        <w:snapToGrid w:val="0"/>
        <w:spacing w:line="580" w:lineRule="exact"/>
        <w:ind w:firstLine="640"/>
        <w:rPr>
          <w:rFonts w:eastAsia="仿宋_GB2312"/>
          <w:bCs/>
          <w:kern w:val="44"/>
          <w:sz w:val="32"/>
          <w:szCs w:val="32"/>
        </w:rPr>
      </w:pPr>
      <w:r>
        <w:rPr>
          <w:rFonts w:eastAsia="仿宋_GB2312"/>
          <w:bCs/>
          <w:kern w:val="44"/>
          <w:sz w:val="32"/>
          <w:szCs w:val="32"/>
        </w:rPr>
        <w:t>根据《北京市项目支出绩效评价管理办法》（京财绩效〔2020〕2146号）文件规定的绩效评价方法，结合项目实际情况，本次绩效评价工作按照全面评价与重点评价相结合、现场评价与非现场评价相结合的方法组织实施。</w:t>
      </w:r>
    </w:p>
    <w:p>
      <w:pPr>
        <w:adjustRightInd w:val="0"/>
        <w:snapToGrid w:val="0"/>
        <w:spacing w:line="580" w:lineRule="exact"/>
        <w:ind w:firstLine="640"/>
        <w:rPr>
          <w:rFonts w:eastAsia="仿宋_GB2312"/>
          <w:b/>
          <w:sz w:val="32"/>
          <w:szCs w:val="32"/>
        </w:rPr>
      </w:pPr>
      <w:r>
        <w:rPr>
          <w:rFonts w:eastAsia="仿宋_GB2312"/>
          <w:b/>
          <w:sz w:val="32"/>
          <w:szCs w:val="32"/>
        </w:rPr>
        <w:t>4.评价标准</w:t>
      </w:r>
    </w:p>
    <w:p>
      <w:pPr>
        <w:adjustRightInd w:val="0"/>
        <w:snapToGrid w:val="0"/>
        <w:spacing w:line="580" w:lineRule="exact"/>
        <w:ind w:firstLine="640"/>
        <w:rPr>
          <w:rFonts w:eastAsia="仿宋_GB2312"/>
          <w:bCs/>
          <w:kern w:val="44"/>
          <w:sz w:val="32"/>
          <w:szCs w:val="32"/>
        </w:rPr>
      </w:pPr>
      <w:r>
        <w:rPr>
          <w:rFonts w:eastAsia="仿宋_GB2312"/>
          <w:bCs/>
          <w:kern w:val="44"/>
          <w:sz w:val="32"/>
          <w:szCs w:val="32"/>
        </w:rPr>
        <w:t>根据《北京市项目支出绩效评价管理办法》（京财绩效〔2020〕2146号）文件规定的绩效评价标准，结合项目实际情况，本次绩效评价工作采用计划标准，以预先制定的目标、计划、预算、定额作为本次绩效评价的标准。</w:t>
      </w:r>
    </w:p>
    <w:p>
      <w:pPr>
        <w:adjustRightInd w:val="0"/>
        <w:snapToGrid w:val="0"/>
        <w:spacing w:line="580" w:lineRule="exact"/>
        <w:ind w:firstLine="640"/>
        <w:outlineLvl w:val="1"/>
        <w:rPr>
          <w:rFonts w:eastAsia="楷体_GB2312"/>
          <w:b/>
          <w:sz w:val="32"/>
        </w:rPr>
      </w:pPr>
      <w:bookmarkStart w:id="74" w:name="_Toc25057"/>
      <w:bookmarkStart w:id="75" w:name="_Toc29109"/>
      <w:bookmarkStart w:id="76" w:name="_Toc120651613"/>
      <w:bookmarkStart w:id="77" w:name="_Toc1099561402_WPSOffice_Level2"/>
      <w:bookmarkStart w:id="78" w:name="_Toc21840"/>
      <w:bookmarkStart w:id="79" w:name="_Toc7156"/>
      <w:bookmarkStart w:id="80" w:name="_Toc15729"/>
      <w:bookmarkStart w:id="81" w:name="_Toc17159"/>
      <w:r>
        <w:rPr>
          <w:rFonts w:eastAsia="楷体_GB2312"/>
          <w:b/>
          <w:sz w:val="32"/>
        </w:rPr>
        <w:t>（三）</w:t>
      </w:r>
      <w:bookmarkEnd w:id="74"/>
      <w:r>
        <w:rPr>
          <w:rFonts w:eastAsia="楷体_GB2312"/>
          <w:b/>
          <w:sz w:val="32"/>
        </w:rPr>
        <w:t>绩效评价工作过程</w:t>
      </w:r>
      <w:bookmarkEnd w:id="75"/>
      <w:bookmarkEnd w:id="76"/>
      <w:bookmarkEnd w:id="77"/>
      <w:bookmarkEnd w:id="78"/>
      <w:bookmarkEnd w:id="79"/>
      <w:bookmarkEnd w:id="80"/>
      <w:bookmarkEnd w:id="81"/>
    </w:p>
    <w:p>
      <w:pPr>
        <w:adjustRightInd w:val="0"/>
        <w:snapToGrid w:val="0"/>
        <w:spacing w:line="580" w:lineRule="exact"/>
        <w:ind w:firstLine="640"/>
        <w:rPr>
          <w:rFonts w:eastAsia="仿宋_GB2312"/>
          <w:bCs/>
          <w:kern w:val="44"/>
          <w:sz w:val="32"/>
          <w:szCs w:val="32"/>
        </w:rPr>
      </w:pPr>
      <w:r>
        <w:rPr>
          <w:rFonts w:eastAsia="仿宋_GB2312"/>
          <w:bCs/>
          <w:kern w:val="44"/>
          <w:sz w:val="32"/>
          <w:szCs w:val="32"/>
        </w:rPr>
        <w:t>为确保</w:t>
      </w:r>
      <w:r>
        <w:rPr>
          <w:rFonts w:hint="eastAsia" w:eastAsia="仿宋_GB2312"/>
          <w:bCs/>
          <w:kern w:val="44"/>
          <w:sz w:val="32"/>
          <w:szCs w:val="32"/>
        </w:rPr>
        <w:t>本次</w:t>
      </w:r>
      <w:r>
        <w:rPr>
          <w:rFonts w:eastAsia="仿宋_GB2312"/>
          <w:bCs/>
          <w:kern w:val="44"/>
          <w:sz w:val="32"/>
          <w:szCs w:val="32"/>
        </w:rPr>
        <w:t>绩效评价工作规范严谨、客观公正，评价工作组严格按照绩效评价工作程序，分为评价准备、评价实施、评价总结三个阶段，组织实施该项目的绩效评价工作。</w:t>
      </w:r>
    </w:p>
    <w:p>
      <w:pPr>
        <w:adjustRightInd w:val="0"/>
        <w:snapToGrid w:val="0"/>
        <w:spacing w:line="580" w:lineRule="exact"/>
        <w:ind w:firstLine="640"/>
        <w:rPr>
          <w:rFonts w:eastAsia="仿宋_GB2312"/>
          <w:b/>
          <w:sz w:val="32"/>
          <w:szCs w:val="32"/>
        </w:rPr>
      </w:pPr>
      <w:r>
        <w:rPr>
          <w:rFonts w:eastAsia="仿宋_GB2312"/>
          <w:b/>
          <w:sz w:val="32"/>
          <w:szCs w:val="32"/>
        </w:rPr>
        <w:t>1.评价准备阶段</w:t>
      </w:r>
    </w:p>
    <w:p>
      <w:pPr>
        <w:adjustRightInd w:val="0"/>
        <w:snapToGrid w:val="0"/>
        <w:spacing w:line="580" w:lineRule="exact"/>
        <w:ind w:firstLine="640"/>
        <w:rPr>
          <w:rFonts w:eastAsia="仿宋_GB2312"/>
          <w:bCs/>
          <w:kern w:val="44"/>
          <w:sz w:val="32"/>
          <w:szCs w:val="32"/>
        </w:rPr>
      </w:pPr>
      <w:r>
        <w:rPr>
          <w:rFonts w:eastAsia="仿宋_GB2312"/>
          <w:bCs/>
          <w:kern w:val="44"/>
          <w:sz w:val="32"/>
          <w:szCs w:val="32"/>
        </w:rPr>
        <w:t>（1）组建评价工作组。市人社局按照</w:t>
      </w:r>
      <w:r>
        <w:rPr>
          <w:rFonts w:hint="eastAsia" w:eastAsia="仿宋_GB2312"/>
          <w:bCs/>
          <w:kern w:val="44"/>
          <w:sz w:val="32"/>
          <w:szCs w:val="32"/>
        </w:rPr>
        <w:t>《北京市财政局关于2025年预算绩效管理工作的通知》（京财绩效〔2025〕245号）</w:t>
      </w:r>
      <w:r>
        <w:rPr>
          <w:rFonts w:eastAsia="仿宋_GB2312"/>
          <w:bCs/>
          <w:kern w:val="44"/>
          <w:sz w:val="32"/>
          <w:szCs w:val="32"/>
        </w:rPr>
        <w:t>要求，确定评价工作安排，联合第三方机构组建了评价工作组。</w:t>
      </w:r>
    </w:p>
    <w:p>
      <w:pPr>
        <w:adjustRightInd w:val="0"/>
        <w:snapToGrid w:val="0"/>
        <w:spacing w:line="580" w:lineRule="exact"/>
        <w:ind w:firstLine="640"/>
        <w:rPr>
          <w:rFonts w:eastAsia="仿宋_GB2312"/>
          <w:bCs/>
          <w:kern w:val="44"/>
          <w:sz w:val="32"/>
          <w:szCs w:val="32"/>
        </w:rPr>
      </w:pPr>
      <w:r>
        <w:rPr>
          <w:rFonts w:eastAsia="仿宋_GB2312"/>
          <w:bCs/>
          <w:kern w:val="44"/>
          <w:sz w:val="32"/>
          <w:szCs w:val="32"/>
        </w:rPr>
        <w:t>（2）制定绩效评价工作方案。评价工作组确定评价重点、评价方法、评价指标体系框架和评分方法、评价进度等事项。</w:t>
      </w:r>
    </w:p>
    <w:p>
      <w:pPr>
        <w:adjustRightInd w:val="0"/>
        <w:snapToGrid w:val="0"/>
        <w:spacing w:line="580" w:lineRule="exact"/>
        <w:ind w:firstLine="640"/>
        <w:rPr>
          <w:rFonts w:eastAsia="仿宋_GB2312"/>
          <w:b/>
          <w:sz w:val="32"/>
          <w:szCs w:val="32"/>
        </w:rPr>
      </w:pPr>
      <w:r>
        <w:rPr>
          <w:rFonts w:eastAsia="仿宋_GB2312"/>
          <w:b/>
          <w:sz w:val="32"/>
          <w:szCs w:val="32"/>
        </w:rPr>
        <w:t>2.评价实施阶段</w:t>
      </w:r>
    </w:p>
    <w:p>
      <w:pPr>
        <w:adjustRightInd w:val="0"/>
        <w:snapToGrid w:val="0"/>
        <w:spacing w:line="580" w:lineRule="exact"/>
        <w:ind w:firstLine="640"/>
        <w:rPr>
          <w:rFonts w:eastAsia="仿宋_GB2312"/>
          <w:bCs/>
          <w:kern w:val="44"/>
          <w:sz w:val="32"/>
          <w:szCs w:val="32"/>
        </w:rPr>
      </w:pPr>
      <w:r>
        <w:rPr>
          <w:rFonts w:eastAsia="仿宋_GB2312"/>
          <w:bCs/>
          <w:kern w:val="44"/>
          <w:sz w:val="32"/>
          <w:szCs w:val="32"/>
        </w:rPr>
        <w:t>（1）评价资料准备。评价工作组明确项目评价资料清单，与项目实施部门沟通评价依据、工作任务、日程安排等事项，向项目实施部门讲解评价原则、程序及具体要求，辅导项目实施部门准备资料，撰写绩效报告。</w:t>
      </w:r>
    </w:p>
    <w:p>
      <w:pPr>
        <w:adjustRightInd w:val="0"/>
        <w:snapToGrid w:val="0"/>
        <w:spacing w:line="580" w:lineRule="exact"/>
        <w:ind w:firstLine="640"/>
        <w:rPr>
          <w:rFonts w:eastAsia="仿宋_GB2312"/>
          <w:bCs/>
          <w:kern w:val="44"/>
          <w:sz w:val="32"/>
          <w:szCs w:val="32"/>
        </w:rPr>
      </w:pPr>
      <w:r>
        <w:rPr>
          <w:rFonts w:eastAsia="仿宋_GB2312"/>
          <w:bCs/>
          <w:kern w:val="44"/>
          <w:sz w:val="32"/>
          <w:szCs w:val="32"/>
        </w:rPr>
        <w:t>（2）收集复核资料。评价工作组按照“项目支出绩效评价资料准备清单”，收集与项目支出绩效评价相关的决策、管理、产出、效益相关资料，复核其完整性、准确性、有效性。</w:t>
      </w:r>
    </w:p>
    <w:p>
      <w:pPr>
        <w:adjustRightInd w:val="0"/>
        <w:snapToGrid w:val="0"/>
        <w:spacing w:line="580" w:lineRule="exact"/>
        <w:ind w:firstLine="640"/>
        <w:rPr>
          <w:rFonts w:eastAsia="仿宋_GB2312"/>
          <w:bCs/>
          <w:sz w:val="32"/>
          <w:szCs w:val="32"/>
        </w:rPr>
      </w:pPr>
      <w:r>
        <w:rPr>
          <w:rFonts w:eastAsia="仿宋_GB2312"/>
          <w:bCs/>
          <w:sz w:val="32"/>
          <w:szCs w:val="32"/>
        </w:rPr>
        <w:t>（3）汇总分析评价。评价工作组围绕指标体系内容和评价重点，对收集的资料进行归集、整理。在此基础上，组建专家评价组，</w:t>
      </w:r>
      <w:r>
        <w:rPr>
          <w:rFonts w:eastAsia="仿宋_GB2312"/>
          <w:bCs/>
          <w:kern w:val="0"/>
          <w:sz w:val="32"/>
          <w:szCs w:val="28"/>
        </w:rPr>
        <w:t>召开专家评价会，</w:t>
      </w:r>
      <w:r>
        <w:rPr>
          <w:rFonts w:hint="eastAsia" w:eastAsia="仿宋_GB2312"/>
          <w:bCs/>
          <w:kern w:val="0"/>
          <w:sz w:val="32"/>
          <w:szCs w:val="28"/>
        </w:rPr>
        <w:t>评价会邀请北京市人大代表也参加了评价会，</w:t>
      </w:r>
      <w:r>
        <w:rPr>
          <w:rFonts w:eastAsia="仿宋_GB2312"/>
          <w:bCs/>
          <w:kern w:val="0"/>
          <w:sz w:val="32"/>
          <w:szCs w:val="28"/>
        </w:rPr>
        <w:t>会上</w:t>
      </w:r>
      <w:r>
        <w:rPr>
          <w:rFonts w:eastAsia="仿宋_GB2312"/>
          <w:sz w:val="32"/>
          <w:szCs w:val="32"/>
        </w:rPr>
        <w:t>专家组与项目人员进行充分交流，并</w:t>
      </w:r>
      <w:r>
        <w:rPr>
          <w:rFonts w:eastAsia="仿宋_GB2312"/>
          <w:bCs/>
          <w:sz w:val="32"/>
          <w:szCs w:val="32"/>
        </w:rPr>
        <w:t>依据项目执行情况和绩效评价指标体系，对该项目的决策、管理、</w:t>
      </w:r>
      <w:r>
        <w:rPr>
          <w:rFonts w:eastAsia="仿宋_GB2312"/>
          <w:bCs/>
          <w:kern w:val="44"/>
          <w:sz w:val="32"/>
          <w:szCs w:val="32"/>
        </w:rPr>
        <w:t>产出、效益</w:t>
      </w:r>
      <w:r>
        <w:rPr>
          <w:rFonts w:eastAsia="仿宋_GB2312"/>
          <w:bCs/>
          <w:sz w:val="32"/>
          <w:szCs w:val="32"/>
        </w:rPr>
        <w:t>等方面进行评价和打分，出具评价意见。</w:t>
      </w:r>
      <w:r>
        <w:rPr>
          <w:rFonts w:hint="eastAsia" w:eastAsia="仿宋_GB2312"/>
          <w:bCs/>
          <w:sz w:val="32"/>
          <w:szCs w:val="32"/>
        </w:rPr>
        <w:t>人大代表出具独立意见。</w:t>
      </w:r>
    </w:p>
    <w:p>
      <w:pPr>
        <w:adjustRightInd w:val="0"/>
        <w:snapToGrid w:val="0"/>
        <w:spacing w:line="580" w:lineRule="exact"/>
        <w:ind w:firstLine="640"/>
        <w:rPr>
          <w:rFonts w:eastAsia="仿宋_GB2312"/>
          <w:b/>
          <w:sz w:val="32"/>
          <w:szCs w:val="32"/>
        </w:rPr>
      </w:pPr>
      <w:r>
        <w:rPr>
          <w:rFonts w:eastAsia="仿宋_GB2312"/>
          <w:b/>
          <w:sz w:val="32"/>
          <w:szCs w:val="32"/>
        </w:rPr>
        <w:t>3.评价总结阶段</w:t>
      </w:r>
    </w:p>
    <w:p>
      <w:pPr>
        <w:adjustRightInd w:val="0"/>
        <w:snapToGrid w:val="0"/>
        <w:spacing w:line="580" w:lineRule="exact"/>
        <w:ind w:firstLine="640"/>
        <w:rPr>
          <w:rFonts w:eastAsia="仿宋_GB2312"/>
          <w:bCs/>
          <w:kern w:val="44"/>
          <w:sz w:val="32"/>
          <w:szCs w:val="32"/>
        </w:rPr>
      </w:pPr>
      <w:bookmarkStart w:id="82" w:name="_Toc1231700979_WPSOffice_Level1"/>
      <w:bookmarkStart w:id="83" w:name="_Toc567096923"/>
      <w:r>
        <w:rPr>
          <w:rFonts w:eastAsia="仿宋_GB2312"/>
          <w:bCs/>
          <w:kern w:val="44"/>
          <w:sz w:val="32"/>
          <w:szCs w:val="32"/>
        </w:rPr>
        <w:t>（1）撰写绩效评价报告。评价工作组审核资料后，确定绩效评价级别，研究撰写并形成正式绩效评价报告。</w:t>
      </w:r>
    </w:p>
    <w:p>
      <w:pPr>
        <w:adjustRightInd w:val="0"/>
        <w:snapToGrid w:val="0"/>
        <w:spacing w:line="580" w:lineRule="exact"/>
        <w:ind w:firstLine="640"/>
        <w:rPr>
          <w:rFonts w:eastAsia="仿宋_GB2312"/>
          <w:sz w:val="32"/>
          <w:szCs w:val="32"/>
        </w:rPr>
      </w:pPr>
      <w:r>
        <w:rPr>
          <w:rFonts w:eastAsia="仿宋_GB2312"/>
          <w:bCs/>
          <w:kern w:val="44"/>
          <w:sz w:val="32"/>
          <w:szCs w:val="32"/>
        </w:rPr>
        <w:t>（2）绩效评价资料归档。绩效评价工作结束后，评价工作组及时将资料整理归档，</w:t>
      </w:r>
      <w:r>
        <w:rPr>
          <w:rFonts w:eastAsia="仿宋_GB2312"/>
          <w:sz w:val="32"/>
          <w:szCs w:val="32"/>
        </w:rPr>
        <w:t>建立绩效评价工作档案。</w:t>
      </w:r>
    </w:p>
    <w:p>
      <w:pPr>
        <w:adjustRightInd w:val="0"/>
        <w:snapToGrid w:val="0"/>
        <w:spacing w:line="580" w:lineRule="exact"/>
        <w:ind w:firstLine="640"/>
        <w:outlineLvl w:val="0"/>
        <w:rPr>
          <w:rFonts w:eastAsia="黑体"/>
          <w:sz w:val="32"/>
          <w:szCs w:val="32"/>
        </w:rPr>
      </w:pPr>
      <w:bookmarkStart w:id="84" w:name="_Toc22888"/>
      <w:bookmarkStart w:id="85" w:name="_Toc7615"/>
      <w:bookmarkStart w:id="86" w:name="_Toc24418"/>
      <w:bookmarkStart w:id="87" w:name="_Toc8893"/>
      <w:bookmarkStart w:id="88" w:name="_Toc3728"/>
      <w:r>
        <w:rPr>
          <w:rFonts w:eastAsia="黑体"/>
          <w:sz w:val="32"/>
          <w:szCs w:val="32"/>
        </w:rPr>
        <w:t>三、综合评价情况及评价结论</w:t>
      </w:r>
      <w:bookmarkEnd w:id="82"/>
      <w:bookmarkEnd w:id="83"/>
      <w:bookmarkEnd w:id="84"/>
      <w:bookmarkEnd w:id="85"/>
      <w:bookmarkEnd w:id="86"/>
      <w:bookmarkEnd w:id="87"/>
      <w:bookmarkEnd w:id="88"/>
    </w:p>
    <w:p>
      <w:pPr>
        <w:adjustRightInd w:val="0"/>
        <w:snapToGrid w:val="0"/>
        <w:spacing w:line="580" w:lineRule="exact"/>
        <w:ind w:firstLine="640"/>
        <w:rPr>
          <w:rFonts w:eastAsia="仿宋_GB2312"/>
          <w:bCs/>
          <w:kern w:val="44"/>
          <w:sz w:val="32"/>
          <w:szCs w:val="32"/>
        </w:rPr>
      </w:pPr>
      <w:bookmarkStart w:id="89" w:name="_Toc665559475"/>
      <w:r>
        <w:rPr>
          <w:rFonts w:eastAsia="仿宋_GB2312"/>
          <w:bCs/>
          <w:kern w:val="44"/>
          <w:sz w:val="32"/>
          <w:szCs w:val="32"/>
        </w:rPr>
        <w:t>经评价工作组综合分析评价，</w:t>
      </w:r>
      <w:r>
        <w:rPr>
          <w:rFonts w:hint="eastAsia" w:eastAsia="仿宋_GB2312"/>
          <w:bCs/>
          <w:kern w:val="44"/>
          <w:sz w:val="32"/>
          <w:szCs w:val="32"/>
        </w:rPr>
        <w:t>该项目实施情况较好，项目立项依据充分、立项程序规范，资金使用较合规，制度健全且得到有效执行。2024年北京市专业技术人才知识更新工程围绕创新驱动发展、乡村振兴、京津冀协同发展等重大战略，服务战略性新兴产业发展，加快“国际科技创新中心”和“两区”建设，在促进科技创新能力提升、科技成果转化应用、新发展格局构建等领域，组织开展研修，全年共举办99期，共培养培训高层次人才6222人。高研班重点突出服务科技创新中心、赋能数字经济发展、助力高水平人才高地建设，在组织形式、课程设置、管理方式等方面不断探索。将民营科技创新机构、头部企业纳入申报范围，鼓励和激发科技创新企业活力。为助力京津冀协同发展，在雄安新区举办了“气候智慧型农业与碳中和路径”高级研修班，同时鼓励所有的班次面向津、冀地区，特别是北三县、雄安新区招收学员，共培训津冀中高级专业技术人员和管理人员548人。</w:t>
      </w:r>
      <w:r>
        <w:rPr>
          <w:rFonts w:eastAsia="仿宋_GB2312"/>
          <w:bCs/>
          <w:kern w:val="44"/>
          <w:sz w:val="32"/>
          <w:szCs w:val="32"/>
        </w:rPr>
        <w:t>202</w:t>
      </w:r>
      <w:r>
        <w:rPr>
          <w:rFonts w:hint="eastAsia" w:eastAsia="仿宋_GB2312"/>
          <w:bCs/>
          <w:kern w:val="44"/>
          <w:sz w:val="32"/>
          <w:szCs w:val="32"/>
        </w:rPr>
        <w:t>4</w:t>
      </w:r>
      <w:r>
        <w:rPr>
          <w:rFonts w:eastAsia="仿宋_GB2312"/>
          <w:bCs/>
          <w:kern w:val="44"/>
          <w:sz w:val="32"/>
          <w:szCs w:val="32"/>
        </w:rPr>
        <w:t>年市人社局</w:t>
      </w:r>
      <w:r>
        <w:rPr>
          <w:rFonts w:hint="eastAsia" w:eastAsia="仿宋_GB2312"/>
          <w:bCs/>
          <w:sz w:val="32"/>
          <w:szCs w:val="32"/>
        </w:rPr>
        <w:t>专业技术人才知识更新工程</w:t>
      </w:r>
      <w:r>
        <w:rPr>
          <w:rFonts w:eastAsia="仿宋_GB2312"/>
          <w:bCs/>
          <w:kern w:val="44"/>
          <w:sz w:val="32"/>
          <w:szCs w:val="32"/>
        </w:rPr>
        <w:t>项目得分</w:t>
      </w:r>
      <w:r>
        <w:rPr>
          <w:rFonts w:hint="eastAsia" w:eastAsia="仿宋_GB2312"/>
          <w:bCs/>
          <w:caps/>
          <w:sz w:val="32"/>
          <w:szCs w:val="32"/>
        </w:rPr>
        <w:t>87.26</w:t>
      </w:r>
      <w:r>
        <w:rPr>
          <w:rFonts w:eastAsia="仿宋_GB2312"/>
          <w:bCs/>
          <w:kern w:val="44"/>
          <w:sz w:val="32"/>
          <w:szCs w:val="32"/>
        </w:rPr>
        <w:t>分，绩效评定等次为“</w:t>
      </w:r>
      <w:r>
        <w:rPr>
          <w:rFonts w:hint="eastAsia" w:eastAsia="仿宋_GB2312"/>
          <w:bCs/>
          <w:kern w:val="44"/>
          <w:sz w:val="32"/>
          <w:szCs w:val="32"/>
        </w:rPr>
        <w:t>良</w:t>
      </w:r>
      <w:r>
        <w:rPr>
          <w:rFonts w:eastAsia="仿宋_GB2312"/>
          <w:bCs/>
          <w:kern w:val="44"/>
          <w:sz w:val="32"/>
          <w:szCs w:val="32"/>
        </w:rPr>
        <w:t>”。</w:t>
      </w:r>
      <w:bookmarkEnd w:id="89"/>
      <w:r>
        <w:rPr>
          <w:rFonts w:hint="eastAsia" w:eastAsia="仿宋_GB2312"/>
          <w:bCs/>
          <w:kern w:val="44"/>
          <w:sz w:val="32"/>
          <w:szCs w:val="32"/>
        </w:rPr>
        <w:t>具体得分情况详见表2。</w:t>
      </w:r>
    </w:p>
    <w:p>
      <w:pPr>
        <w:pStyle w:val="9"/>
        <w:spacing w:after="0" w:line="360" w:lineRule="auto"/>
        <w:ind w:left="0" w:leftChars="0"/>
        <w:jc w:val="center"/>
        <w:rPr>
          <w:rFonts w:hint="eastAsia" w:asciiTheme="majorEastAsia" w:hAnsiTheme="majorEastAsia" w:eastAsiaTheme="majorEastAsia" w:cstheme="majorEastAsia"/>
          <w:b/>
          <w:sz w:val="30"/>
          <w:szCs w:val="30"/>
        </w:rPr>
      </w:pPr>
      <w:bookmarkStart w:id="90" w:name="_Toc4078"/>
      <w:bookmarkStart w:id="91" w:name="_Toc1963262749"/>
      <w:bookmarkStart w:id="92" w:name="_Toc1161"/>
      <w:bookmarkStart w:id="93" w:name="_Toc30812"/>
      <w:bookmarkStart w:id="94" w:name="_Toc1603480620_WPSOffice_Level1"/>
      <w:bookmarkStart w:id="95" w:name="_Toc21605"/>
      <w:r>
        <w:rPr>
          <w:rFonts w:hint="eastAsia" w:asciiTheme="majorEastAsia" w:hAnsiTheme="majorEastAsia" w:eastAsiaTheme="majorEastAsia" w:cstheme="majorEastAsia"/>
          <w:color w:val="000000"/>
          <w:kern w:val="0"/>
          <w:sz w:val="30"/>
          <w:szCs w:val="30"/>
        </w:rPr>
        <w:t>表2：项目综合绩效评价得分情况表</w:t>
      </w:r>
    </w:p>
    <w:tbl>
      <w:tblPr>
        <w:tblStyle w:val="19"/>
        <w:tblW w:w="8485"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
      <w:tblGrid>
        <w:gridCol w:w="2250"/>
        <w:gridCol w:w="3240"/>
        <w:gridCol w:w="299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trHeight w:val="567" w:hRule="atLeast"/>
          <w:tblHeader/>
        </w:trPr>
        <w:tc>
          <w:tcPr>
            <w:tcW w:w="2250" w:type="dxa"/>
            <w:tcBorders>
              <w:bottom w:val="single" w:color="FFFFFF" w:sz="6" w:space="0"/>
              <w:right w:val="single" w:color="FFFFFF" w:sz="6" w:space="0"/>
            </w:tcBorders>
            <w:shd w:val="clear" w:color="auto" w:fill="C0C0C0"/>
            <w:vAlign w:val="center"/>
          </w:tcPr>
          <w:p>
            <w:pPr>
              <w:adjustRightInd w:val="0"/>
              <w:snapToGrid w:val="0"/>
              <w:spacing w:line="520" w:lineRule="exact"/>
              <w:ind w:firstLine="0" w:firstLineChars="0"/>
              <w:jc w:val="center"/>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评价内容</w:t>
            </w:r>
          </w:p>
        </w:tc>
        <w:tc>
          <w:tcPr>
            <w:tcW w:w="3240" w:type="dxa"/>
            <w:tcBorders>
              <w:left w:val="single" w:color="FFFFFF" w:sz="6" w:space="0"/>
              <w:bottom w:val="single" w:color="FFFFFF" w:sz="6" w:space="0"/>
              <w:right w:val="single" w:color="FFFFFF" w:sz="6" w:space="0"/>
            </w:tcBorders>
            <w:shd w:val="clear" w:color="auto" w:fill="C0C0C0"/>
            <w:vAlign w:val="center"/>
          </w:tcPr>
          <w:p>
            <w:pPr>
              <w:adjustRightInd w:val="0"/>
              <w:snapToGrid w:val="0"/>
              <w:spacing w:line="520" w:lineRule="exact"/>
              <w:ind w:firstLine="0" w:firstLineChars="0"/>
              <w:jc w:val="center"/>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分值</w:t>
            </w:r>
          </w:p>
        </w:tc>
        <w:tc>
          <w:tcPr>
            <w:tcW w:w="2995" w:type="dxa"/>
            <w:tcBorders>
              <w:left w:val="single" w:color="FFFFFF" w:sz="6" w:space="0"/>
              <w:bottom w:val="single" w:color="FFFFFF" w:sz="6" w:space="0"/>
            </w:tcBorders>
            <w:shd w:val="clear" w:color="auto" w:fill="C0C0C0"/>
            <w:vAlign w:val="center"/>
          </w:tcPr>
          <w:p>
            <w:pPr>
              <w:adjustRightInd w:val="0"/>
              <w:snapToGrid w:val="0"/>
              <w:spacing w:line="520" w:lineRule="exact"/>
              <w:ind w:firstLine="0" w:firstLineChars="0"/>
              <w:jc w:val="center"/>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评价得分</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567" w:hRule="atLeast"/>
        </w:trPr>
        <w:tc>
          <w:tcPr>
            <w:tcW w:w="2250" w:type="dxa"/>
            <w:tcBorders>
              <w:top w:val="single" w:color="FFFFFF" w:sz="6" w:space="0"/>
              <w:bottom w:val="single" w:color="FFFFFF" w:sz="6" w:space="0"/>
              <w:right w:val="single" w:color="FFFFFF" w:sz="6" w:space="0"/>
            </w:tcBorders>
            <w:shd w:val="clear" w:color="auto" w:fill="C0C0C0"/>
            <w:vAlign w:val="center"/>
          </w:tcPr>
          <w:p>
            <w:pPr>
              <w:pStyle w:val="5"/>
              <w:adjustRightInd w:val="0"/>
              <w:snapToGrid w:val="0"/>
              <w:spacing w:line="600" w:lineRule="exact"/>
              <w:ind w:firstLine="0"/>
              <w:jc w:val="center"/>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项目决策</w:t>
            </w:r>
          </w:p>
        </w:tc>
        <w:tc>
          <w:tcPr>
            <w:tcW w:w="3240" w:type="dxa"/>
            <w:tcBorders>
              <w:top w:val="single" w:color="FFFFFF" w:sz="6" w:space="0"/>
              <w:left w:val="single" w:color="FFFFFF" w:sz="6" w:space="0"/>
              <w:bottom w:val="single" w:color="FFFFFF" w:sz="6" w:space="0"/>
              <w:right w:val="single" w:color="FFFFFF" w:sz="6" w:space="0"/>
            </w:tcBorders>
            <w:shd w:val="clear" w:color="auto" w:fill="C0C0C0"/>
            <w:vAlign w:val="center"/>
          </w:tcPr>
          <w:p>
            <w:pPr>
              <w:adjustRightInd w:val="0"/>
              <w:snapToGrid w:val="0"/>
              <w:spacing w:line="600" w:lineRule="exact"/>
              <w:ind w:firstLine="0" w:firstLineChars="0"/>
              <w:jc w:val="center"/>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20.00</w:t>
            </w:r>
          </w:p>
        </w:tc>
        <w:tc>
          <w:tcPr>
            <w:tcW w:w="2995" w:type="dxa"/>
            <w:tcBorders>
              <w:top w:val="single" w:color="FFFFFF" w:sz="6" w:space="0"/>
              <w:left w:val="single" w:color="FFFFFF" w:sz="6" w:space="0"/>
              <w:bottom w:val="single" w:color="FFFFFF" w:sz="6" w:space="0"/>
            </w:tcBorders>
            <w:shd w:val="clear" w:color="auto" w:fill="C0C0C0"/>
            <w:vAlign w:val="center"/>
          </w:tcPr>
          <w:p>
            <w:pPr>
              <w:widowControl/>
              <w:adjustRightInd w:val="0"/>
              <w:snapToGrid w:val="0"/>
              <w:spacing w:line="600" w:lineRule="exact"/>
              <w:ind w:firstLine="0" w:firstLineChars="0"/>
              <w:jc w:val="center"/>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16.14</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567" w:hRule="atLeast"/>
        </w:trPr>
        <w:tc>
          <w:tcPr>
            <w:tcW w:w="2250" w:type="dxa"/>
            <w:tcBorders>
              <w:top w:val="single" w:color="FFFFFF" w:sz="6" w:space="0"/>
              <w:bottom w:val="single" w:color="FFFFFF" w:sz="6" w:space="0"/>
              <w:right w:val="single" w:color="FFFFFF" w:sz="6" w:space="0"/>
            </w:tcBorders>
            <w:shd w:val="clear" w:color="auto" w:fill="C0C0C0"/>
            <w:vAlign w:val="center"/>
          </w:tcPr>
          <w:p>
            <w:pPr>
              <w:adjustRightInd w:val="0"/>
              <w:snapToGrid w:val="0"/>
              <w:spacing w:line="600" w:lineRule="exact"/>
              <w:ind w:firstLine="0" w:firstLineChars="0"/>
              <w:jc w:val="center"/>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项目过程</w:t>
            </w:r>
          </w:p>
        </w:tc>
        <w:tc>
          <w:tcPr>
            <w:tcW w:w="3240" w:type="dxa"/>
            <w:tcBorders>
              <w:top w:val="single" w:color="FFFFFF" w:sz="6" w:space="0"/>
              <w:left w:val="single" w:color="FFFFFF" w:sz="6" w:space="0"/>
              <w:bottom w:val="single" w:color="FFFFFF" w:sz="6" w:space="0"/>
              <w:right w:val="single" w:color="FFFFFF" w:sz="6" w:space="0"/>
            </w:tcBorders>
            <w:shd w:val="clear" w:color="auto" w:fill="C0C0C0"/>
            <w:vAlign w:val="center"/>
          </w:tcPr>
          <w:p>
            <w:pPr>
              <w:adjustRightInd w:val="0"/>
              <w:snapToGrid w:val="0"/>
              <w:spacing w:line="600" w:lineRule="exact"/>
              <w:ind w:firstLine="0" w:firstLineChars="0"/>
              <w:jc w:val="center"/>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20.00</w:t>
            </w:r>
          </w:p>
        </w:tc>
        <w:tc>
          <w:tcPr>
            <w:tcW w:w="2995" w:type="dxa"/>
            <w:tcBorders>
              <w:top w:val="single" w:color="FFFFFF" w:sz="6" w:space="0"/>
              <w:left w:val="single" w:color="FFFFFF" w:sz="6" w:space="0"/>
              <w:bottom w:val="single" w:color="FFFFFF" w:sz="6" w:space="0"/>
            </w:tcBorders>
            <w:shd w:val="clear" w:color="auto" w:fill="C0C0C0"/>
            <w:vAlign w:val="center"/>
          </w:tcPr>
          <w:p>
            <w:pPr>
              <w:widowControl/>
              <w:adjustRightInd w:val="0"/>
              <w:snapToGrid w:val="0"/>
              <w:spacing w:line="600" w:lineRule="exact"/>
              <w:ind w:firstLine="0" w:firstLineChars="0"/>
              <w:jc w:val="center"/>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17.58</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567" w:hRule="atLeast"/>
        </w:trPr>
        <w:tc>
          <w:tcPr>
            <w:tcW w:w="2250" w:type="dxa"/>
            <w:tcBorders>
              <w:top w:val="single" w:color="FFFFFF" w:sz="6" w:space="0"/>
              <w:bottom w:val="single" w:color="FFFFFF" w:sz="4" w:space="0"/>
              <w:right w:val="single" w:color="FFFFFF" w:sz="6" w:space="0"/>
            </w:tcBorders>
            <w:shd w:val="clear" w:color="auto" w:fill="C0C0C0"/>
            <w:vAlign w:val="center"/>
          </w:tcPr>
          <w:p>
            <w:pPr>
              <w:adjustRightInd w:val="0"/>
              <w:snapToGrid w:val="0"/>
              <w:spacing w:line="600" w:lineRule="exact"/>
              <w:ind w:firstLine="0" w:firstLineChars="0"/>
              <w:jc w:val="center"/>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项目产出</w:t>
            </w:r>
          </w:p>
        </w:tc>
        <w:tc>
          <w:tcPr>
            <w:tcW w:w="3240" w:type="dxa"/>
            <w:tcBorders>
              <w:top w:val="single" w:color="FFFFFF" w:sz="6" w:space="0"/>
              <w:left w:val="single" w:color="FFFFFF" w:sz="6" w:space="0"/>
              <w:bottom w:val="single" w:color="FFFFFF" w:sz="4" w:space="0"/>
              <w:right w:val="single" w:color="FFFFFF" w:sz="4" w:space="0"/>
            </w:tcBorders>
            <w:shd w:val="clear" w:color="auto" w:fill="C0C0C0"/>
            <w:vAlign w:val="center"/>
          </w:tcPr>
          <w:p>
            <w:pPr>
              <w:adjustRightInd w:val="0"/>
              <w:snapToGrid w:val="0"/>
              <w:spacing w:line="600" w:lineRule="exact"/>
              <w:ind w:firstLine="0" w:firstLineChars="0"/>
              <w:jc w:val="center"/>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40.00</w:t>
            </w:r>
          </w:p>
        </w:tc>
        <w:tc>
          <w:tcPr>
            <w:tcW w:w="2995" w:type="dxa"/>
            <w:tcBorders>
              <w:top w:val="single" w:color="FFFFFF" w:sz="6" w:space="0"/>
              <w:left w:val="single" w:color="FFFFFF" w:sz="4" w:space="0"/>
              <w:bottom w:val="single" w:color="FFFFFF" w:sz="4" w:space="0"/>
            </w:tcBorders>
            <w:shd w:val="clear" w:color="auto" w:fill="C0C0C0"/>
            <w:vAlign w:val="center"/>
          </w:tcPr>
          <w:p>
            <w:pPr>
              <w:widowControl/>
              <w:adjustRightInd w:val="0"/>
              <w:snapToGrid w:val="0"/>
              <w:spacing w:line="600" w:lineRule="exact"/>
              <w:ind w:firstLine="0" w:firstLineChars="0"/>
              <w:jc w:val="center"/>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36.44</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567" w:hRule="atLeast"/>
        </w:trPr>
        <w:tc>
          <w:tcPr>
            <w:tcW w:w="2250" w:type="dxa"/>
            <w:tcBorders>
              <w:top w:val="single" w:color="FFFFFF" w:sz="6" w:space="0"/>
              <w:bottom w:val="single" w:color="FFFFFF" w:sz="4" w:space="0"/>
              <w:right w:val="single" w:color="FFFFFF" w:sz="6" w:space="0"/>
            </w:tcBorders>
            <w:shd w:val="clear" w:color="auto" w:fill="C0C0C0"/>
            <w:vAlign w:val="center"/>
          </w:tcPr>
          <w:p>
            <w:pPr>
              <w:adjustRightInd w:val="0"/>
              <w:snapToGrid w:val="0"/>
              <w:spacing w:line="600" w:lineRule="exact"/>
              <w:ind w:firstLine="0" w:firstLineChars="0"/>
              <w:jc w:val="center"/>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项目效益</w:t>
            </w:r>
          </w:p>
        </w:tc>
        <w:tc>
          <w:tcPr>
            <w:tcW w:w="3240" w:type="dxa"/>
            <w:tcBorders>
              <w:top w:val="single" w:color="FFFFFF" w:sz="6" w:space="0"/>
              <w:left w:val="single" w:color="FFFFFF" w:sz="6" w:space="0"/>
              <w:bottom w:val="single" w:color="FFFFFF" w:sz="4" w:space="0"/>
              <w:right w:val="single" w:color="FFFFFF" w:sz="4" w:space="0"/>
            </w:tcBorders>
            <w:shd w:val="clear" w:color="auto" w:fill="C0C0C0"/>
            <w:vAlign w:val="center"/>
          </w:tcPr>
          <w:p>
            <w:pPr>
              <w:adjustRightInd w:val="0"/>
              <w:snapToGrid w:val="0"/>
              <w:spacing w:line="600" w:lineRule="exact"/>
              <w:ind w:firstLine="0" w:firstLineChars="0"/>
              <w:jc w:val="center"/>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20.00</w:t>
            </w:r>
          </w:p>
        </w:tc>
        <w:tc>
          <w:tcPr>
            <w:tcW w:w="2995" w:type="dxa"/>
            <w:tcBorders>
              <w:top w:val="single" w:color="FFFFFF" w:sz="6" w:space="0"/>
              <w:left w:val="single" w:color="FFFFFF" w:sz="4" w:space="0"/>
              <w:bottom w:val="single" w:color="FFFFFF" w:sz="4" w:space="0"/>
            </w:tcBorders>
            <w:shd w:val="clear" w:color="auto" w:fill="C0C0C0"/>
            <w:vAlign w:val="center"/>
          </w:tcPr>
          <w:p>
            <w:pPr>
              <w:widowControl/>
              <w:adjustRightInd w:val="0"/>
              <w:snapToGrid w:val="0"/>
              <w:spacing w:line="600" w:lineRule="exact"/>
              <w:ind w:firstLine="0" w:firstLineChars="0"/>
              <w:jc w:val="center"/>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17.10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567" w:hRule="atLeast"/>
        </w:trPr>
        <w:tc>
          <w:tcPr>
            <w:tcW w:w="2250" w:type="dxa"/>
            <w:tcBorders>
              <w:top w:val="single" w:color="FFFFFF" w:sz="4" w:space="0"/>
              <w:bottom w:val="single" w:color="FFFFFF" w:sz="4" w:space="0"/>
              <w:right w:val="single" w:color="FFFFFF" w:sz="6" w:space="0"/>
            </w:tcBorders>
            <w:shd w:val="clear" w:color="auto" w:fill="C0C0C0"/>
            <w:vAlign w:val="center"/>
          </w:tcPr>
          <w:p>
            <w:pPr>
              <w:adjustRightInd w:val="0"/>
              <w:snapToGrid w:val="0"/>
              <w:spacing w:line="600" w:lineRule="exact"/>
              <w:ind w:firstLine="0" w:firstLineChars="0"/>
              <w:jc w:val="center"/>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综合得分</w:t>
            </w:r>
          </w:p>
        </w:tc>
        <w:tc>
          <w:tcPr>
            <w:tcW w:w="3240" w:type="dxa"/>
            <w:tcBorders>
              <w:top w:val="single" w:color="FFFFFF" w:sz="4" w:space="0"/>
              <w:left w:val="single" w:color="FFFFFF" w:sz="6" w:space="0"/>
              <w:bottom w:val="single" w:color="FFFFFF" w:sz="4" w:space="0"/>
            </w:tcBorders>
            <w:shd w:val="clear" w:color="auto" w:fill="C0C0C0"/>
            <w:vAlign w:val="center"/>
          </w:tcPr>
          <w:p>
            <w:pPr>
              <w:adjustRightInd w:val="0"/>
              <w:snapToGrid w:val="0"/>
              <w:spacing w:line="600" w:lineRule="exact"/>
              <w:ind w:firstLine="0" w:firstLineChars="0"/>
              <w:jc w:val="center"/>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100.00</w:t>
            </w:r>
          </w:p>
        </w:tc>
        <w:tc>
          <w:tcPr>
            <w:tcW w:w="2995" w:type="dxa"/>
            <w:tcBorders>
              <w:top w:val="single" w:color="FFFFFF" w:sz="4" w:space="0"/>
              <w:left w:val="single" w:color="FFFFFF" w:sz="4" w:space="0"/>
              <w:bottom w:val="single" w:color="FFFFFF" w:sz="4" w:space="0"/>
            </w:tcBorders>
            <w:shd w:val="clear" w:color="auto" w:fill="C0C0C0"/>
            <w:vAlign w:val="center"/>
          </w:tcPr>
          <w:p>
            <w:pPr>
              <w:adjustRightInd w:val="0"/>
              <w:snapToGrid w:val="0"/>
              <w:spacing w:line="600" w:lineRule="exact"/>
              <w:ind w:firstLine="0" w:firstLineChars="0"/>
              <w:jc w:val="center"/>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87.26</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567" w:hRule="atLeast"/>
        </w:trPr>
        <w:tc>
          <w:tcPr>
            <w:tcW w:w="2250" w:type="dxa"/>
            <w:tcBorders>
              <w:top w:val="single" w:color="FFFFFF" w:sz="4" w:space="0"/>
              <w:bottom w:val="single" w:color="FFFFFF" w:sz="4" w:space="0"/>
              <w:right w:val="single" w:color="FFFFFF" w:sz="6" w:space="0"/>
            </w:tcBorders>
            <w:shd w:val="clear" w:color="auto" w:fill="C0C0C0"/>
            <w:vAlign w:val="center"/>
          </w:tcPr>
          <w:p>
            <w:pPr>
              <w:adjustRightInd w:val="0"/>
              <w:snapToGrid w:val="0"/>
              <w:spacing w:line="600" w:lineRule="exact"/>
              <w:ind w:firstLine="0" w:firstLineChars="0"/>
              <w:jc w:val="center"/>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绩效评定等次</w:t>
            </w:r>
          </w:p>
        </w:tc>
        <w:tc>
          <w:tcPr>
            <w:tcW w:w="6235" w:type="dxa"/>
            <w:gridSpan w:val="2"/>
            <w:tcBorders>
              <w:top w:val="single" w:color="FFFFFF" w:sz="4" w:space="0"/>
              <w:left w:val="single" w:color="FFFFFF" w:sz="6" w:space="0"/>
              <w:bottom w:val="single" w:color="FFFFFF" w:sz="4" w:space="0"/>
            </w:tcBorders>
            <w:shd w:val="clear" w:color="auto" w:fill="C0C0C0"/>
            <w:vAlign w:val="center"/>
          </w:tcPr>
          <w:p>
            <w:pPr>
              <w:adjustRightInd w:val="0"/>
              <w:snapToGrid w:val="0"/>
              <w:spacing w:line="600" w:lineRule="exact"/>
              <w:ind w:firstLine="0" w:firstLineChars="0"/>
              <w:jc w:val="center"/>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良</w:t>
            </w:r>
          </w:p>
        </w:tc>
      </w:tr>
    </w:tbl>
    <w:p>
      <w:pPr>
        <w:adjustRightInd w:val="0"/>
        <w:snapToGrid w:val="0"/>
        <w:spacing w:line="580" w:lineRule="exact"/>
        <w:ind w:firstLine="640"/>
        <w:outlineLvl w:val="0"/>
        <w:rPr>
          <w:rFonts w:eastAsia="黑体"/>
          <w:sz w:val="32"/>
          <w:szCs w:val="32"/>
        </w:rPr>
      </w:pPr>
      <w:bookmarkStart w:id="96" w:name="_Toc8179"/>
      <w:r>
        <w:rPr>
          <w:rFonts w:eastAsia="黑体"/>
          <w:sz w:val="32"/>
          <w:szCs w:val="32"/>
        </w:rPr>
        <w:t>四、绩效评价指标分析</w:t>
      </w:r>
      <w:bookmarkEnd w:id="61"/>
      <w:bookmarkEnd w:id="62"/>
      <w:bookmarkEnd w:id="90"/>
      <w:bookmarkEnd w:id="91"/>
      <w:bookmarkEnd w:id="92"/>
      <w:bookmarkEnd w:id="93"/>
      <w:bookmarkEnd w:id="94"/>
      <w:bookmarkEnd w:id="95"/>
      <w:bookmarkEnd w:id="96"/>
    </w:p>
    <w:p>
      <w:pPr>
        <w:adjustRightInd w:val="0"/>
        <w:snapToGrid w:val="0"/>
        <w:spacing w:line="580" w:lineRule="exact"/>
        <w:ind w:firstLine="640"/>
        <w:outlineLvl w:val="1"/>
        <w:rPr>
          <w:rFonts w:eastAsia="楷体_GB2312"/>
          <w:b/>
          <w:sz w:val="32"/>
        </w:rPr>
      </w:pPr>
      <w:bookmarkStart w:id="97" w:name="_Toc14671"/>
      <w:bookmarkStart w:id="98" w:name="_Toc8713"/>
      <w:bookmarkStart w:id="99" w:name="_Toc781"/>
      <w:bookmarkStart w:id="100" w:name="_Toc470786288"/>
      <w:bookmarkStart w:id="101" w:name="_Toc27816"/>
      <w:bookmarkStart w:id="102" w:name="_Toc6475"/>
      <w:bookmarkStart w:id="103" w:name="_Toc926494137_WPSOffice_Level2"/>
      <w:bookmarkStart w:id="104" w:name="_Toc21955"/>
      <w:r>
        <w:rPr>
          <w:rFonts w:eastAsia="楷体_GB2312"/>
          <w:b/>
          <w:sz w:val="32"/>
        </w:rPr>
        <w:t>（一）项目决策情况</w:t>
      </w:r>
      <w:bookmarkEnd w:id="97"/>
      <w:bookmarkEnd w:id="98"/>
      <w:bookmarkEnd w:id="99"/>
      <w:bookmarkEnd w:id="100"/>
      <w:bookmarkEnd w:id="101"/>
      <w:bookmarkEnd w:id="102"/>
      <w:bookmarkEnd w:id="103"/>
    </w:p>
    <w:p>
      <w:pPr>
        <w:adjustRightInd w:val="0"/>
        <w:snapToGrid w:val="0"/>
        <w:spacing w:line="580" w:lineRule="exact"/>
        <w:ind w:firstLine="640"/>
        <w:rPr>
          <w:rFonts w:eastAsia="仿宋_GB2312"/>
          <w:b/>
          <w:sz w:val="32"/>
          <w:szCs w:val="32"/>
        </w:rPr>
      </w:pPr>
      <w:bookmarkStart w:id="105" w:name="_Hlk167519836"/>
      <w:r>
        <w:rPr>
          <w:rFonts w:eastAsia="仿宋_GB2312"/>
          <w:b/>
          <w:sz w:val="32"/>
          <w:szCs w:val="32"/>
        </w:rPr>
        <w:t>1.项目立项情况评价分析</w:t>
      </w:r>
    </w:p>
    <w:p>
      <w:pPr>
        <w:spacing w:line="580" w:lineRule="exact"/>
        <w:ind w:firstLine="640"/>
        <w:rPr>
          <w:rFonts w:eastAsia="仿宋_GB2312"/>
          <w:color w:val="000000"/>
          <w:kern w:val="0"/>
          <w:sz w:val="32"/>
          <w:szCs w:val="32"/>
        </w:rPr>
      </w:pPr>
      <w:r>
        <w:rPr>
          <w:rFonts w:eastAsia="仿宋_GB2312"/>
          <w:bCs/>
          <w:kern w:val="44"/>
          <w:sz w:val="32"/>
          <w:szCs w:val="32"/>
        </w:rPr>
        <w:t>（1）立项依据充分性</w:t>
      </w:r>
    </w:p>
    <w:p>
      <w:pPr>
        <w:pStyle w:val="5"/>
        <w:spacing w:line="580" w:lineRule="exact"/>
        <w:ind w:firstLine="640" w:firstLineChars="200"/>
        <w:rPr>
          <w:rFonts w:eastAsia="仿宋_GB2312"/>
          <w:bCs/>
          <w:kern w:val="44"/>
          <w:sz w:val="32"/>
          <w:szCs w:val="32"/>
        </w:rPr>
      </w:pPr>
      <w:r>
        <w:rPr>
          <w:rFonts w:eastAsia="仿宋_GB2312"/>
          <w:bCs/>
          <w:kern w:val="44"/>
          <w:sz w:val="32"/>
          <w:szCs w:val="32"/>
        </w:rPr>
        <w:t>根据人力资源和社会保障部</w:t>
      </w:r>
      <w:r>
        <w:rPr>
          <w:rFonts w:hint="eastAsia" w:eastAsia="仿宋_GB2312"/>
          <w:bCs/>
          <w:kern w:val="44"/>
          <w:sz w:val="32"/>
          <w:szCs w:val="32"/>
        </w:rPr>
        <w:t>《专业技术人员继续教育规定》（人社部令第25号）、人社部等5部委《关于印发〈专业技术人才知识更新工程实施方案〉的通知》（人社部发〔2021〕73号）、市人力资源社会保障局等6委办《关于印发〈北京市专业技术人才知识更新工程实施方案〉的通知》（京人社专技字〔2022〕24号）</w:t>
      </w:r>
      <w:r>
        <w:rPr>
          <w:rFonts w:eastAsia="仿宋_GB2312"/>
          <w:bCs/>
          <w:kern w:val="44"/>
          <w:sz w:val="32"/>
          <w:szCs w:val="32"/>
        </w:rPr>
        <w:t>的要求，市人社局</w:t>
      </w:r>
      <w:r>
        <w:rPr>
          <w:rFonts w:hint="eastAsia" w:eastAsia="仿宋_GB2312"/>
          <w:bCs/>
          <w:kern w:val="44"/>
          <w:sz w:val="32"/>
          <w:szCs w:val="32"/>
        </w:rPr>
        <w:t>围绕创新驱动发展、乡村振兴、京津冀协同发展等重大战略，服务战略性新兴产业发展，加快“国际科技创新中心”和“两区”建设，在促进科技创新能力提升、科技成果转化应用、新发展格局构建等领域，紧密结合行业领域发展需求和热点、难点问题，组织99期高级研修班</w:t>
      </w:r>
      <w:r>
        <w:rPr>
          <w:rFonts w:eastAsia="仿宋_GB2312"/>
          <w:bCs/>
          <w:kern w:val="44"/>
          <w:sz w:val="32"/>
          <w:szCs w:val="32"/>
        </w:rPr>
        <w:t>。</w:t>
      </w:r>
    </w:p>
    <w:p>
      <w:pPr>
        <w:adjustRightInd w:val="0"/>
        <w:snapToGrid w:val="0"/>
        <w:spacing w:line="580" w:lineRule="exact"/>
        <w:ind w:firstLine="640"/>
        <w:rPr>
          <w:rFonts w:eastAsia="仿宋_GB2312"/>
          <w:color w:val="000000"/>
          <w:kern w:val="0"/>
          <w:sz w:val="32"/>
          <w:szCs w:val="32"/>
          <w:highlight w:val="yellow"/>
        </w:rPr>
      </w:pPr>
      <w:bookmarkStart w:id="106" w:name="_Hlk167545991"/>
      <w:r>
        <w:rPr>
          <w:rFonts w:eastAsia="仿宋_GB2312"/>
          <w:color w:val="000000"/>
          <w:kern w:val="0"/>
          <w:sz w:val="32"/>
          <w:szCs w:val="32"/>
        </w:rPr>
        <w:t>评价分析认为：</w:t>
      </w:r>
      <w:bookmarkEnd w:id="106"/>
      <w:r>
        <w:rPr>
          <w:rFonts w:eastAsia="仿宋_GB2312"/>
          <w:color w:val="000000"/>
          <w:kern w:val="0"/>
          <w:sz w:val="32"/>
          <w:szCs w:val="32"/>
        </w:rPr>
        <w:t>该项目根据</w:t>
      </w:r>
      <w:r>
        <w:rPr>
          <w:rFonts w:eastAsia="仿宋_GB2312"/>
          <w:bCs/>
          <w:kern w:val="44"/>
          <w:sz w:val="32"/>
          <w:szCs w:val="32"/>
        </w:rPr>
        <w:t>人力资源和社会保障部</w:t>
      </w:r>
      <w:r>
        <w:rPr>
          <w:rFonts w:hint="eastAsia" w:eastAsia="仿宋_GB2312"/>
          <w:bCs/>
          <w:kern w:val="44"/>
          <w:sz w:val="32"/>
          <w:szCs w:val="32"/>
        </w:rPr>
        <w:t>及市人社局等6委办《关于印发〈北京市专业技术人才知识更新工程实施方案〉的通知》（京人社专技字〔2022〕24号）</w:t>
      </w:r>
      <w:r>
        <w:rPr>
          <w:rFonts w:hint="eastAsia" w:eastAsia="仿宋_GB2312"/>
          <w:sz w:val="32"/>
          <w:szCs w:val="32"/>
        </w:rPr>
        <w:t>等文件</w:t>
      </w:r>
      <w:r>
        <w:rPr>
          <w:rFonts w:eastAsia="仿宋_GB2312"/>
          <w:color w:val="000000"/>
          <w:kern w:val="0"/>
          <w:sz w:val="32"/>
          <w:szCs w:val="32"/>
        </w:rPr>
        <w:t>申请</w:t>
      </w:r>
      <w:r>
        <w:rPr>
          <w:rFonts w:eastAsia="仿宋_GB2312"/>
          <w:sz w:val="32"/>
          <w:szCs w:val="32"/>
        </w:rPr>
        <w:t>立项。</w:t>
      </w:r>
      <w:r>
        <w:rPr>
          <w:rFonts w:eastAsia="仿宋_GB2312"/>
          <w:color w:val="000000"/>
          <w:kern w:val="0"/>
          <w:sz w:val="32"/>
          <w:szCs w:val="32"/>
        </w:rPr>
        <w:t>立项依据充分，符合行业发展规划和政策要求，属于部门履职所需。</w:t>
      </w:r>
    </w:p>
    <w:p>
      <w:pPr>
        <w:adjustRightInd w:val="0"/>
        <w:snapToGrid w:val="0"/>
        <w:spacing w:line="580" w:lineRule="exact"/>
        <w:ind w:firstLine="640"/>
        <w:rPr>
          <w:rFonts w:eastAsia="仿宋_GB2312"/>
          <w:color w:val="000000"/>
          <w:kern w:val="0"/>
          <w:sz w:val="32"/>
          <w:szCs w:val="32"/>
        </w:rPr>
      </w:pPr>
      <w:r>
        <w:rPr>
          <w:rFonts w:eastAsia="仿宋_GB2312"/>
          <w:color w:val="000000"/>
          <w:kern w:val="0"/>
          <w:sz w:val="32"/>
          <w:szCs w:val="32"/>
        </w:rPr>
        <w:t>（2）立项程序规范性</w:t>
      </w:r>
    </w:p>
    <w:p>
      <w:pPr>
        <w:adjustRightInd w:val="0"/>
        <w:snapToGrid w:val="0"/>
        <w:spacing w:line="580" w:lineRule="exact"/>
        <w:ind w:firstLine="640"/>
        <w:rPr>
          <w:rFonts w:eastAsia="仿宋_GB2312"/>
          <w:color w:val="000000"/>
          <w:kern w:val="0"/>
          <w:sz w:val="32"/>
          <w:szCs w:val="32"/>
        </w:rPr>
      </w:pPr>
      <w:r>
        <w:rPr>
          <w:rFonts w:eastAsia="仿宋_GB2312"/>
          <w:color w:val="000000"/>
          <w:kern w:val="0"/>
          <w:sz w:val="32"/>
          <w:szCs w:val="32"/>
        </w:rPr>
        <w:t>由市人社局</w:t>
      </w:r>
      <w:r>
        <w:rPr>
          <w:rFonts w:hint="eastAsia" w:eastAsia="仿宋_GB2312"/>
          <w:bCs/>
          <w:kern w:val="44"/>
          <w:sz w:val="32"/>
          <w:szCs w:val="32"/>
        </w:rPr>
        <w:t>专业技术人员管理处</w:t>
      </w:r>
      <w:r>
        <w:rPr>
          <w:rFonts w:eastAsia="仿宋_GB2312"/>
          <w:color w:val="000000"/>
          <w:kern w:val="0"/>
          <w:sz w:val="32"/>
          <w:szCs w:val="32"/>
        </w:rPr>
        <w:t>编制项目申报文本和项目支出绩效目标表，报请市人社局主管局长审批后，</w:t>
      </w:r>
      <w:r>
        <w:rPr>
          <w:rFonts w:hint="eastAsia" w:eastAsia="仿宋_GB2312"/>
          <w:color w:val="000000"/>
          <w:kern w:val="0"/>
          <w:sz w:val="32"/>
          <w:szCs w:val="32"/>
        </w:rPr>
        <w:t>经市人社局党组会决议，</w:t>
      </w:r>
      <w:r>
        <w:rPr>
          <w:rFonts w:eastAsia="仿宋_GB2312"/>
          <w:color w:val="000000"/>
          <w:kern w:val="0"/>
          <w:sz w:val="32"/>
          <w:szCs w:val="32"/>
        </w:rPr>
        <w:t>随部门预算一并报市财政局，并于202</w:t>
      </w:r>
      <w:r>
        <w:rPr>
          <w:rFonts w:hint="eastAsia" w:eastAsia="仿宋_GB2312"/>
          <w:color w:val="000000"/>
          <w:kern w:val="0"/>
          <w:sz w:val="32"/>
          <w:szCs w:val="32"/>
        </w:rPr>
        <w:t>4</w:t>
      </w:r>
      <w:r>
        <w:rPr>
          <w:rFonts w:eastAsia="仿宋_GB2312"/>
          <w:color w:val="000000"/>
          <w:kern w:val="0"/>
          <w:sz w:val="32"/>
          <w:szCs w:val="32"/>
        </w:rPr>
        <w:t>年</w:t>
      </w:r>
      <w:r>
        <w:rPr>
          <w:rFonts w:hint="eastAsia" w:eastAsia="仿宋_GB2312"/>
          <w:color w:val="000000"/>
          <w:kern w:val="0"/>
          <w:sz w:val="32"/>
          <w:szCs w:val="32"/>
        </w:rPr>
        <w:t>2</w:t>
      </w:r>
      <w:r>
        <w:rPr>
          <w:rFonts w:eastAsia="仿宋_GB2312"/>
          <w:color w:val="000000"/>
          <w:kern w:val="0"/>
          <w:sz w:val="32"/>
          <w:szCs w:val="32"/>
        </w:rPr>
        <w:t>月获得批复。</w:t>
      </w:r>
    </w:p>
    <w:p>
      <w:pPr>
        <w:adjustRightInd w:val="0"/>
        <w:snapToGrid w:val="0"/>
        <w:spacing w:line="580" w:lineRule="exact"/>
        <w:ind w:firstLine="640"/>
        <w:rPr>
          <w:rFonts w:eastAsia="仿宋_GB2312"/>
          <w:color w:val="000000"/>
          <w:kern w:val="0"/>
          <w:sz w:val="32"/>
          <w:szCs w:val="32"/>
        </w:rPr>
      </w:pPr>
      <w:r>
        <w:rPr>
          <w:rFonts w:hint="eastAsia" w:eastAsia="仿宋_GB2312"/>
          <w:color w:val="000000"/>
          <w:kern w:val="0"/>
          <w:sz w:val="32"/>
          <w:szCs w:val="32"/>
        </w:rPr>
        <w:t>评价分析认为：该</w:t>
      </w:r>
      <w:r>
        <w:rPr>
          <w:rFonts w:eastAsia="仿宋_GB2312"/>
          <w:color w:val="000000"/>
          <w:kern w:val="0"/>
          <w:sz w:val="32"/>
          <w:szCs w:val="32"/>
        </w:rPr>
        <w:t>项目申请设立过程资料提交齐全，立项程序规范完整。</w:t>
      </w:r>
      <w:r>
        <w:rPr>
          <w:rFonts w:hint="eastAsia" w:eastAsia="仿宋_GB2312"/>
          <w:color w:val="000000"/>
          <w:kern w:val="0"/>
          <w:sz w:val="32"/>
          <w:szCs w:val="32"/>
        </w:rPr>
        <w:t>但</w:t>
      </w:r>
      <w:r>
        <w:rPr>
          <w:rFonts w:eastAsia="仿宋_GB2312"/>
          <w:color w:val="000000"/>
          <w:kern w:val="0"/>
          <w:sz w:val="32"/>
          <w:szCs w:val="32"/>
        </w:rPr>
        <w:t>在编制项目支出预算时，缺乏对项目的深入调研和可行性分析，导致预算编制的依据性</w:t>
      </w:r>
      <w:r>
        <w:rPr>
          <w:rFonts w:hint="eastAsia" w:eastAsia="仿宋_GB2312"/>
          <w:color w:val="000000"/>
          <w:kern w:val="0"/>
          <w:sz w:val="32"/>
          <w:szCs w:val="32"/>
        </w:rPr>
        <w:t>不足</w:t>
      </w:r>
      <w:r>
        <w:rPr>
          <w:rFonts w:eastAsia="仿宋_GB2312"/>
          <w:color w:val="000000"/>
          <w:kern w:val="0"/>
          <w:sz w:val="32"/>
          <w:szCs w:val="32"/>
        </w:rPr>
        <w:t>。</w:t>
      </w:r>
    </w:p>
    <w:bookmarkEnd w:id="105"/>
    <w:p>
      <w:pPr>
        <w:adjustRightInd w:val="0"/>
        <w:snapToGrid w:val="0"/>
        <w:spacing w:line="580" w:lineRule="exact"/>
        <w:ind w:firstLine="640"/>
        <w:rPr>
          <w:rFonts w:eastAsia="仿宋_GB2312"/>
          <w:b/>
          <w:sz w:val="32"/>
          <w:szCs w:val="32"/>
        </w:rPr>
      </w:pPr>
      <w:r>
        <w:rPr>
          <w:rFonts w:hint="eastAsia" w:eastAsia="仿宋_GB2312"/>
          <w:b/>
          <w:sz w:val="32"/>
          <w:szCs w:val="32"/>
        </w:rPr>
        <w:t>2.绩效目标评价分析</w:t>
      </w:r>
    </w:p>
    <w:p>
      <w:pPr>
        <w:adjustRightInd w:val="0"/>
        <w:snapToGrid w:val="0"/>
        <w:spacing w:line="580" w:lineRule="exact"/>
        <w:ind w:firstLine="640"/>
        <w:rPr>
          <w:rFonts w:eastAsia="仿宋_GB2312"/>
          <w:b/>
          <w:sz w:val="32"/>
          <w:szCs w:val="32"/>
        </w:rPr>
      </w:pPr>
      <w:r>
        <w:rPr>
          <w:rFonts w:hint="eastAsia" w:eastAsia="仿宋_GB2312"/>
          <w:b/>
          <w:sz w:val="32"/>
          <w:szCs w:val="32"/>
        </w:rPr>
        <w:t>（1）绩效目标合理性</w:t>
      </w:r>
    </w:p>
    <w:p>
      <w:pPr>
        <w:adjustRightInd w:val="0"/>
        <w:snapToGrid w:val="0"/>
        <w:spacing w:line="580" w:lineRule="exact"/>
        <w:ind w:firstLine="640"/>
        <w:rPr>
          <w:rFonts w:eastAsia="仿宋_GB2312"/>
          <w:bCs/>
          <w:sz w:val="32"/>
          <w:szCs w:val="32"/>
        </w:rPr>
      </w:pPr>
      <w:r>
        <w:rPr>
          <w:rFonts w:hint="eastAsia" w:eastAsia="仿宋_GB2312"/>
          <w:bCs/>
          <w:sz w:val="32"/>
          <w:szCs w:val="32"/>
        </w:rPr>
        <w:t>该项目总体绩效目标设定为：根据《专业技术人员继续教育规定》（人社部令第25号），人社部等</w:t>
      </w:r>
      <w:r>
        <w:rPr>
          <w:rFonts w:hint="eastAsia" w:eastAsia="仿宋_GB2312"/>
          <w:bCs/>
          <w:sz w:val="32"/>
          <w:szCs w:val="32"/>
          <w:lang w:val="en-US" w:eastAsia="zh-CN"/>
        </w:rPr>
        <w:t>6</w:t>
      </w:r>
      <w:r>
        <w:rPr>
          <w:rFonts w:hint="eastAsia" w:eastAsia="仿宋_GB2312"/>
          <w:bCs/>
          <w:sz w:val="32"/>
          <w:szCs w:val="32"/>
        </w:rPr>
        <w:t xml:space="preserve">部委《关于印发专业技术人才知识更新工程实施方案的通知》，市人社局等5委办《关于印发北京市专业技术人才知识更新工程实施方案的通知》要求以及明年工作安排，围绕国家和首都社会经济发展领域，高新技术产业发展和自主创新领域，继续推进高研修项目、急需紧缺人才培养培训项目、岗位培训项目以及专业技术人员继续教育基地建设项目，进一步加强专业技术人才队伍建设。高级研修班是专业技术人才知识更新工程的主要载体，是推进专业技术人员继续教育的重要形式，也是提升专业技术人才能力的有力抓手。 </w:t>
      </w:r>
    </w:p>
    <w:p>
      <w:pPr>
        <w:adjustRightInd w:val="0"/>
        <w:snapToGrid w:val="0"/>
        <w:spacing w:line="580" w:lineRule="exact"/>
        <w:ind w:firstLine="640"/>
        <w:rPr>
          <w:rFonts w:eastAsia="仿宋_GB2312"/>
          <w:bCs/>
          <w:sz w:val="32"/>
          <w:szCs w:val="32"/>
        </w:rPr>
      </w:pPr>
      <w:r>
        <w:rPr>
          <w:rFonts w:hint="eastAsia" w:eastAsia="仿宋_GB2312"/>
          <w:bCs/>
          <w:sz w:val="32"/>
          <w:szCs w:val="32"/>
        </w:rPr>
        <w:t>评价分析认为：该项目总体目标较为合理，绩效目标设置内容与项目实际工作内容及预算支出方向相符。</w:t>
      </w:r>
    </w:p>
    <w:p>
      <w:pPr>
        <w:adjustRightInd w:val="0"/>
        <w:snapToGrid w:val="0"/>
        <w:spacing w:line="580" w:lineRule="exact"/>
        <w:ind w:firstLine="640"/>
        <w:rPr>
          <w:rFonts w:eastAsia="仿宋_GB2312"/>
          <w:b/>
          <w:sz w:val="32"/>
          <w:szCs w:val="32"/>
        </w:rPr>
      </w:pPr>
      <w:r>
        <w:rPr>
          <w:rFonts w:hint="eastAsia" w:eastAsia="仿宋_GB2312"/>
          <w:b/>
          <w:sz w:val="32"/>
          <w:szCs w:val="32"/>
        </w:rPr>
        <w:t>（2）绩效指标明确性</w:t>
      </w:r>
    </w:p>
    <w:p>
      <w:pPr>
        <w:adjustRightInd w:val="0"/>
        <w:snapToGrid w:val="0"/>
        <w:spacing w:line="580" w:lineRule="exact"/>
        <w:ind w:firstLine="640"/>
        <w:rPr>
          <w:rFonts w:eastAsia="仿宋_GB2312"/>
          <w:bCs/>
          <w:sz w:val="32"/>
          <w:szCs w:val="32"/>
        </w:rPr>
      </w:pPr>
      <w:r>
        <w:rPr>
          <w:rFonts w:hint="eastAsia" w:eastAsia="仿宋_GB2312"/>
          <w:bCs/>
          <w:sz w:val="32"/>
          <w:szCs w:val="32"/>
        </w:rPr>
        <w:t>该项目绩效指标进行了分解细化，设置了4项产出指标（2项数量指标、1个时效指标、1个质量指标）、2项成本指标、2项效益指标、1个满意度指标。指标设置总体可考量，产出指标、成本指标明确了具体数值。</w:t>
      </w:r>
    </w:p>
    <w:p>
      <w:pPr>
        <w:adjustRightInd w:val="0"/>
        <w:snapToGrid w:val="0"/>
        <w:spacing w:line="580" w:lineRule="exact"/>
        <w:ind w:firstLine="640"/>
        <w:rPr>
          <w:rFonts w:eastAsia="仿宋_GB2312"/>
          <w:bCs/>
          <w:sz w:val="32"/>
          <w:szCs w:val="32"/>
          <w:highlight w:val="cyan"/>
        </w:rPr>
      </w:pPr>
      <w:r>
        <w:rPr>
          <w:rFonts w:hint="eastAsia" w:eastAsia="仿宋_GB2312"/>
          <w:bCs/>
          <w:sz w:val="32"/>
          <w:szCs w:val="32"/>
        </w:rPr>
        <w:t>评价分析认为：该项目绩效目标细化分解为具体的绩效指标；产出指标的指标值清晰、可衡量；但数量指标培训人次指标值设置偏低；效益指标不够量化；满意度指标应增设“承办单位满意度”。</w:t>
      </w:r>
    </w:p>
    <w:p>
      <w:pPr>
        <w:adjustRightInd w:val="0"/>
        <w:snapToGrid w:val="0"/>
        <w:spacing w:line="580" w:lineRule="exact"/>
        <w:ind w:firstLine="640"/>
        <w:rPr>
          <w:rFonts w:eastAsia="仿宋_GB2312"/>
          <w:b/>
          <w:sz w:val="32"/>
          <w:szCs w:val="32"/>
        </w:rPr>
      </w:pPr>
      <w:r>
        <w:rPr>
          <w:rFonts w:hint="eastAsia" w:eastAsia="仿宋_GB2312"/>
          <w:b/>
          <w:sz w:val="32"/>
          <w:szCs w:val="32"/>
        </w:rPr>
        <w:t>3.资金投入情况评价分析</w:t>
      </w:r>
    </w:p>
    <w:p>
      <w:pPr>
        <w:adjustRightInd w:val="0"/>
        <w:snapToGrid w:val="0"/>
        <w:spacing w:line="580" w:lineRule="exact"/>
        <w:ind w:firstLine="640"/>
        <w:rPr>
          <w:rFonts w:eastAsia="仿宋_GB2312"/>
          <w:b/>
          <w:sz w:val="32"/>
          <w:szCs w:val="32"/>
        </w:rPr>
      </w:pPr>
      <w:r>
        <w:rPr>
          <w:rFonts w:hint="eastAsia" w:eastAsia="仿宋_GB2312"/>
          <w:b/>
          <w:sz w:val="32"/>
          <w:szCs w:val="32"/>
        </w:rPr>
        <w:t>（1）预算编制科学性</w:t>
      </w:r>
    </w:p>
    <w:p>
      <w:pPr>
        <w:adjustRightInd w:val="0"/>
        <w:snapToGrid w:val="0"/>
        <w:spacing w:line="580" w:lineRule="exact"/>
        <w:ind w:firstLine="640"/>
        <w:rPr>
          <w:rFonts w:eastAsia="仿宋_GB2312"/>
          <w:bCs/>
          <w:sz w:val="32"/>
          <w:szCs w:val="32"/>
        </w:rPr>
      </w:pPr>
      <w:r>
        <w:rPr>
          <w:rFonts w:hint="eastAsia" w:eastAsia="仿宋_GB2312"/>
          <w:bCs/>
          <w:sz w:val="32"/>
          <w:szCs w:val="32"/>
        </w:rPr>
        <w:t>该项目共申报预算602.00万元，按《北京市市级党政机关事业单位培训费管理办法》（京财预〔2017〕1389号）文件进行费用测算，根据项目内容分解为：北京市高级研修班资助经费600.00万元，高级研修班专家评审劳务费2.00万元。</w:t>
      </w:r>
    </w:p>
    <w:p>
      <w:pPr>
        <w:adjustRightInd w:val="0"/>
        <w:snapToGrid w:val="0"/>
        <w:spacing w:line="580" w:lineRule="exact"/>
        <w:ind w:firstLine="640"/>
        <w:rPr>
          <w:rFonts w:eastAsia="仿宋_GB2312"/>
          <w:bCs/>
          <w:sz w:val="32"/>
          <w:szCs w:val="32"/>
        </w:rPr>
      </w:pPr>
      <w:r>
        <w:rPr>
          <w:rFonts w:hint="eastAsia" w:eastAsia="仿宋_GB2312"/>
          <w:bCs/>
          <w:sz w:val="32"/>
          <w:szCs w:val="32"/>
        </w:rPr>
        <w:t>评价分析认为：该项目高级研修班费用编制</w:t>
      </w:r>
      <w:r>
        <w:rPr>
          <w:rFonts w:hint="eastAsia" w:eastAsia="仿宋_GB2312"/>
          <w:bCs/>
          <w:sz w:val="32"/>
          <w:szCs w:val="32"/>
          <w:lang w:eastAsia="zh-CN"/>
        </w:rPr>
        <w:t>依据较为合理，可继续增加支撑材料</w:t>
      </w:r>
      <w:r>
        <w:rPr>
          <w:rFonts w:hint="eastAsia" w:eastAsia="仿宋_GB2312"/>
          <w:bCs/>
          <w:sz w:val="32"/>
          <w:szCs w:val="32"/>
        </w:rPr>
        <w:t>。</w:t>
      </w:r>
    </w:p>
    <w:p>
      <w:pPr>
        <w:adjustRightInd w:val="0"/>
        <w:snapToGrid w:val="0"/>
        <w:spacing w:line="580" w:lineRule="exact"/>
        <w:ind w:firstLine="640"/>
        <w:rPr>
          <w:rFonts w:eastAsia="仿宋_GB2312"/>
          <w:b/>
          <w:sz w:val="32"/>
          <w:szCs w:val="32"/>
        </w:rPr>
      </w:pPr>
      <w:r>
        <w:rPr>
          <w:rFonts w:hint="eastAsia" w:eastAsia="仿宋_GB2312"/>
          <w:b/>
          <w:sz w:val="32"/>
          <w:szCs w:val="32"/>
        </w:rPr>
        <w:t>（2）资金分配合理性</w:t>
      </w:r>
    </w:p>
    <w:p>
      <w:pPr>
        <w:adjustRightInd w:val="0"/>
        <w:snapToGrid w:val="0"/>
        <w:spacing w:line="580" w:lineRule="exact"/>
        <w:ind w:firstLine="640"/>
        <w:jc w:val="left"/>
        <w:rPr>
          <w:rFonts w:hint="eastAsia" w:asciiTheme="minorEastAsia" w:hAnsiTheme="minorEastAsia" w:eastAsiaTheme="minorEastAsia" w:cstheme="minorEastAsia"/>
          <w:color w:val="000000"/>
          <w:kern w:val="0"/>
          <w:sz w:val="28"/>
          <w:szCs w:val="28"/>
        </w:rPr>
      </w:pPr>
      <w:r>
        <w:rPr>
          <w:rFonts w:hint="eastAsia" w:eastAsia="仿宋_GB2312"/>
          <w:bCs/>
          <w:sz w:val="32"/>
          <w:szCs w:val="32"/>
        </w:rPr>
        <w:t>市人社局印发《北京市人力资源和社会保障局关于加强2024年北京市高级研修班以及资助经费管理工作的通知》（京人社专技字〔2024〕67号），确定2024年专业技术人才知识更新工程项目入选99期高级研修班，</w:t>
      </w:r>
      <w:r>
        <w:rPr>
          <w:rFonts w:hint="eastAsia" w:ascii="仿宋_GB2312" w:hAnsi="宋体" w:eastAsia="仿宋_GB2312" w:cs="仿宋_GB2312"/>
          <w:sz w:val="32"/>
          <w:szCs w:val="32"/>
        </w:rPr>
        <w:t>择优资助高研班每期3-10万元，</w:t>
      </w:r>
      <w:r>
        <w:rPr>
          <w:rFonts w:hint="eastAsia" w:eastAsia="仿宋_GB2312"/>
          <w:bCs/>
          <w:sz w:val="32"/>
          <w:szCs w:val="32"/>
        </w:rPr>
        <w:t>经费拨付总额为599万元。</w:t>
      </w:r>
    </w:p>
    <w:p>
      <w:pPr>
        <w:adjustRightInd w:val="0"/>
        <w:snapToGrid w:val="0"/>
        <w:spacing w:line="580" w:lineRule="exact"/>
        <w:ind w:firstLine="640"/>
        <w:rPr>
          <w:rFonts w:eastAsia="仿宋_GB2312"/>
          <w:bCs/>
          <w:sz w:val="32"/>
          <w:szCs w:val="32"/>
          <w:highlight w:val="cyan"/>
        </w:rPr>
      </w:pPr>
      <w:r>
        <w:rPr>
          <w:rFonts w:hint="eastAsia" w:eastAsia="仿宋_GB2312"/>
          <w:bCs/>
          <w:sz w:val="32"/>
          <w:szCs w:val="32"/>
        </w:rPr>
        <w:t>评价分析认为：该项目通过专家评审确定高级研修班资助班次和资助金额，资金按照对应的工作内容与工作量进行了分配。但应加强配套的制度建设，制定专家评审的管理办法。</w:t>
      </w:r>
    </w:p>
    <w:p>
      <w:pPr>
        <w:adjustRightInd w:val="0"/>
        <w:snapToGrid w:val="0"/>
        <w:spacing w:line="580" w:lineRule="exact"/>
        <w:ind w:firstLine="640"/>
        <w:outlineLvl w:val="1"/>
        <w:rPr>
          <w:rFonts w:eastAsia="楷体_GB2312"/>
          <w:b/>
          <w:sz w:val="32"/>
        </w:rPr>
      </w:pPr>
      <w:bookmarkStart w:id="107" w:name="_Toc1175386868"/>
      <w:bookmarkStart w:id="108" w:name="_Toc24166"/>
      <w:bookmarkStart w:id="109" w:name="_Toc13834"/>
      <w:bookmarkStart w:id="110" w:name="_Toc4144"/>
      <w:bookmarkStart w:id="111" w:name="_Toc7898"/>
      <w:bookmarkStart w:id="112" w:name="_Toc183036162_WPSOffice_Level2"/>
      <w:bookmarkStart w:id="113" w:name="_Toc8881"/>
      <w:bookmarkStart w:id="114" w:name="_Toc12093"/>
      <w:r>
        <w:rPr>
          <w:rFonts w:eastAsia="楷体_GB2312"/>
          <w:b/>
          <w:sz w:val="32"/>
        </w:rPr>
        <w:t>（二）项目过程情况</w:t>
      </w:r>
      <w:bookmarkEnd w:id="107"/>
      <w:bookmarkEnd w:id="108"/>
      <w:bookmarkEnd w:id="109"/>
      <w:bookmarkEnd w:id="110"/>
      <w:bookmarkEnd w:id="111"/>
      <w:bookmarkEnd w:id="112"/>
      <w:bookmarkEnd w:id="113"/>
      <w:bookmarkEnd w:id="114"/>
    </w:p>
    <w:p>
      <w:pPr>
        <w:adjustRightInd w:val="0"/>
        <w:snapToGrid w:val="0"/>
        <w:spacing w:line="580" w:lineRule="exact"/>
        <w:ind w:firstLine="640"/>
        <w:rPr>
          <w:rFonts w:eastAsia="仿宋_GB2312"/>
          <w:b/>
          <w:sz w:val="32"/>
          <w:szCs w:val="32"/>
        </w:rPr>
      </w:pPr>
      <w:r>
        <w:rPr>
          <w:rFonts w:eastAsia="仿宋_GB2312"/>
          <w:b/>
          <w:sz w:val="32"/>
          <w:szCs w:val="32"/>
        </w:rPr>
        <w:t>1.资金管理情况评价分析</w:t>
      </w:r>
    </w:p>
    <w:p>
      <w:pPr>
        <w:adjustRightInd w:val="0"/>
        <w:snapToGrid w:val="0"/>
        <w:spacing w:line="580" w:lineRule="exact"/>
        <w:ind w:firstLine="640"/>
        <w:rPr>
          <w:rFonts w:eastAsia="仿宋_GB2312"/>
          <w:bCs/>
          <w:sz w:val="32"/>
          <w:szCs w:val="32"/>
        </w:rPr>
      </w:pPr>
      <w:r>
        <w:rPr>
          <w:rFonts w:eastAsia="仿宋_GB2312"/>
          <w:bCs/>
          <w:sz w:val="32"/>
          <w:szCs w:val="32"/>
        </w:rPr>
        <w:t>（1）资金到位率</w:t>
      </w:r>
    </w:p>
    <w:p>
      <w:pPr>
        <w:adjustRightInd w:val="0"/>
        <w:snapToGrid w:val="0"/>
        <w:spacing w:line="580" w:lineRule="exact"/>
        <w:ind w:firstLine="640"/>
        <w:rPr>
          <w:rFonts w:eastAsia="仿宋_GB2312"/>
          <w:color w:val="000000"/>
          <w:kern w:val="0"/>
          <w:sz w:val="32"/>
          <w:szCs w:val="32"/>
        </w:rPr>
      </w:pPr>
      <w:r>
        <w:rPr>
          <w:rFonts w:eastAsia="仿宋_GB2312"/>
          <w:color w:val="000000"/>
          <w:kern w:val="0"/>
          <w:sz w:val="32"/>
          <w:szCs w:val="32"/>
        </w:rPr>
        <w:t>202</w:t>
      </w:r>
      <w:r>
        <w:rPr>
          <w:rFonts w:hint="eastAsia" w:eastAsia="仿宋_GB2312"/>
          <w:color w:val="000000"/>
          <w:kern w:val="0"/>
          <w:sz w:val="32"/>
          <w:szCs w:val="32"/>
        </w:rPr>
        <w:t>4</w:t>
      </w:r>
      <w:r>
        <w:rPr>
          <w:rFonts w:eastAsia="仿宋_GB2312"/>
          <w:color w:val="000000"/>
          <w:kern w:val="0"/>
          <w:sz w:val="32"/>
          <w:szCs w:val="32"/>
        </w:rPr>
        <w:t>年</w:t>
      </w:r>
      <w:r>
        <w:rPr>
          <w:rFonts w:hint="eastAsia" w:eastAsia="仿宋_GB2312"/>
          <w:color w:val="000000"/>
          <w:kern w:val="0"/>
          <w:sz w:val="32"/>
          <w:szCs w:val="32"/>
        </w:rPr>
        <w:t>2</w:t>
      </w:r>
      <w:r>
        <w:rPr>
          <w:rFonts w:eastAsia="仿宋_GB2312"/>
          <w:color w:val="000000"/>
          <w:kern w:val="0"/>
          <w:sz w:val="32"/>
          <w:szCs w:val="32"/>
        </w:rPr>
        <w:t>月该项目预算随</w:t>
      </w:r>
      <w:r>
        <w:rPr>
          <w:rFonts w:eastAsia="仿宋_GB2312"/>
          <w:bCs/>
          <w:kern w:val="44"/>
          <w:sz w:val="32"/>
          <w:szCs w:val="32"/>
        </w:rPr>
        <w:t>市人社局202</w:t>
      </w:r>
      <w:r>
        <w:rPr>
          <w:rFonts w:hint="eastAsia" w:eastAsia="仿宋_GB2312"/>
          <w:bCs/>
          <w:kern w:val="44"/>
          <w:sz w:val="32"/>
          <w:szCs w:val="32"/>
        </w:rPr>
        <w:t>4</w:t>
      </w:r>
      <w:r>
        <w:rPr>
          <w:rFonts w:eastAsia="仿宋_GB2312"/>
          <w:bCs/>
          <w:kern w:val="44"/>
          <w:sz w:val="32"/>
          <w:szCs w:val="32"/>
        </w:rPr>
        <w:t>年度部门预算一并批复</w:t>
      </w:r>
      <w:r>
        <w:rPr>
          <w:rFonts w:hint="eastAsia" w:eastAsia="仿宋_GB2312"/>
          <w:bCs/>
          <w:kern w:val="44"/>
          <w:sz w:val="32"/>
          <w:szCs w:val="32"/>
        </w:rPr>
        <w:t>。</w:t>
      </w:r>
      <w:r>
        <w:rPr>
          <w:rFonts w:eastAsia="仿宋_GB2312"/>
          <w:bCs/>
          <w:kern w:val="44"/>
          <w:sz w:val="32"/>
          <w:szCs w:val="32"/>
        </w:rPr>
        <w:t>预算年度内，资金</w:t>
      </w:r>
      <w:r>
        <w:rPr>
          <w:rFonts w:hint="eastAsia" w:eastAsia="仿宋_GB2312"/>
          <w:bCs/>
          <w:kern w:val="44"/>
          <w:sz w:val="32"/>
          <w:szCs w:val="32"/>
        </w:rPr>
        <w:t>足额、及时</w:t>
      </w:r>
      <w:r>
        <w:rPr>
          <w:rFonts w:eastAsia="仿宋_GB2312"/>
          <w:bCs/>
          <w:kern w:val="44"/>
          <w:sz w:val="32"/>
          <w:szCs w:val="32"/>
        </w:rPr>
        <w:t>到位，</w:t>
      </w:r>
      <w:r>
        <w:rPr>
          <w:rFonts w:eastAsia="仿宋_GB2312"/>
          <w:color w:val="000000"/>
          <w:kern w:val="0"/>
          <w:sz w:val="32"/>
          <w:szCs w:val="32"/>
        </w:rPr>
        <w:t>对项目实施起到了有效保障作用。</w:t>
      </w:r>
    </w:p>
    <w:p>
      <w:pPr>
        <w:adjustRightInd w:val="0"/>
        <w:snapToGrid w:val="0"/>
        <w:spacing w:line="580" w:lineRule="exact"/>
        <w:ind w:firstLine="640"/>
        <w:rPr>
          <w:rFonts w:eastAsia="仿宋_GB2312"/>
          <w:bCs/>
          <w:sz w:val="32"/>
          <w:szCs w:val="32"/>
        </w:rPr>
      </w:pPr>
      <w:r>
        <w:rPr>
          <w:rFonts w:eastAsia="仿宋_GB2312"/>
          <w:bCs/>
          <w:sz w:val="32"/>
          <w:szCs w:val="32"/>
        </w:rPr>
        <w:t>（2）预算执行率</w:t>
      </w:r>
    </w:p>
    <w:p>
      <w:pPr>
        <w:adjustRightInd w:val="0"/>
        <w:snapToGrid w:val="0"/>
        <w:spacing w:line="580" w:lineRule="exact"/>
        <w:ind w:firstLine="640"/>
        <w:rPr>
          <w:rFonts w:eastAsia="仿宋_GB2312"/>
          <w:color w:val="000000"/>
          <w:kern w:val="0"/>
          <w:sz w:val="32"/>
          <w:szCs w:val="32"/>
        </w:rPr>
      </w:pPr>
      <w:r>
        <w:rPr>
          <w:rFonts w:hint="eastAsia" w:eastAsia="仿宋_GB2312"/>
          <w:color w:val="000000"/>
          <w:kern w:val="0"/>
          <w:sz w:val="32"/>
          <w:szCs w:val="32"/>
        </w:rPr>
        <w:t>2024年该项目年初预算资金602.00万元，经调剂后全年预算资金601.045万元，均为财政资金，截至2024年12月31日实际支出597.691412万元，</w:t>
      </w:r>
      <w:r>
        <w:rPr>
          <w:rFonts w:eastAsia="仿宋_GB2312"/>
          <w:color w:val="000000"/>
          <w:kern w:val="0"/>
          <w:sz w:val="32"/>
          <w:szCs w:val="32"/>
        </w:rPr>
        <w:t>预算执行率99.</w:t>
      </w:r>
      <w:r>
        <w:rPr>
          <w:rFonts w:hint="eastAsia" w:eastAsia="仿宋_GB2312"/>
          <w:color w:val="000000"/>
          <w:kern w:val="0"/>
          <w:sz w:val="32"/>
          <w:szCs w:val="32"/>
        </w:rPr>
        <w:t>44</w:t>
      </w:r>
      <w:r>
        <w:rPr>
          <w:rFonts w:eastAsia="仿宋_GB2312"/>
          <w:color w:val="000000"/>
          <w:kern w:val="0"/>
          <w:sz w:val="32"/>
          <w:szCs w:val="32"/>
        </w:rPr>
        <w:t>%。</w:t>
      </w:r>
      <w:r>
        <w:rPr>
          <w:rFonts w:hint="eastAsia" w:eastAsia="仿宋_GB2312"/>
          <w:color w:val="000000"/>
          <w:kern w:val="0"/>
          <w:sz w:val="32"/>
          <w:szCs w:val="32"/>
        </w:rPr>
        <w:t>项目预算执行具体情况</w:t>
      </w:r>
      <w:r>
        <w:rPr>
          <w:rFonts w:eastAsia="仿宋_GB2312"/>
          <w:color w:val="000000"/>
          <w:kern w:val="0"/>
          <w:sz w:val="32"/>
          <w:szCs w:val="32"/>
        </w:rPr>
        <w:t>详见</w:t>
      </w:r>
      <w:r>
        <w:rPr>
          <w:rFonts w:hint="eastAsia" w:eastAsia="仿宋_GB2312"/>
          <w:color w:val="000000"/>
          <w:kern w:val="0"/>
          <w:sz w:val="32"/>
          <w:szCs w:val="32"/>
        </w:rPr>
        <w:t>表4。</w:t>
      </w:r>
    </w:p>
    <w:p>
      <w:pPr>
        <w:adjustRightInd w:val="0"/>
        <w:snapToGrid w:val="0"/>
        <w:spacing w:line="580" w:lineRule="exact"/>
        <w:ind w:firstLine="0" w:firstLineChars="0"/>
        <w:jc w:val="center"/>
        <w:rPr>
          <w:rFonts w:eastAsia="仿宋_GB2312"/>
          <w:bCs/>
          <w:kern w:val="44"/>
          <w:sz w:val="30"/>
          <w:szCs w:val="30"/>
        </w:rPr>
      </w:pPr>
      <w:r>
        <w:rPr>
          <w:rFonts w:hint="eastAsia" w:asciiTheme="majorEastAsia" w:hAnsiTheme="majorEastAsia" w:eastAsiaTheme="majorEastAsia" w:cstheme="majorEastAsia"/>
          <w:color w:val="000000"/>
          <w:kern w:val="0"/>
          <w:sz w:val="30"/>
          <w:szCs w:val="30"/>
        </w:rPr>
        <w:t>表4：项目预算执行情况表</w:t>
      </w:r>
      <w:r>
        <w:rPr>
          <w:rFonts w:hint="eastAsia" w:eastAsia="仿宋_GB2312"/>
          <w:bCs/>
          <w:kern w:val="44"/>
          <w:sz w:val="30"/>
          <w:szCs w:val="30"/>
        </w:rPr>
        <w:t xml:space="preserve">     </w:t>
      </w:r>
    </w:p>
    <w:p>
      <w:pPr>
        <w:pStyle w:val="5"/>
        <w:jc w:val="right"/>
        <w:rPr>
          <w:rFonts w:eastAsia="仿宋_GB2312"/>
          <w:bCs/>
          <w:kern w:val="44"/>
          <w:sz w:val="32"/>
          <w:szCs w:val="32"/>
        </w:rPr>
      </w:pPr>
      <w:r>
        <w:rPr>
          <w:rFonts w:hint="eastAsia" w:eastAsia="仿宋_GB2312"/>
          <w:bCs/>
          <w:kern w:val="44"/>
          <w:sz w:val="30"/>
          <w:szCs w:val="30"/>
        </w:rPr>
        <w:t xml:space="preserve">  </w:t>
      </w:r>
      <w:r>
        <w:rPr>
          <w:rFonts w:hint="eastAsia" w:eastAsia="仿宋_GB2312"/>
          <w:bCs/>
          <w:kern w:val="44"/>
          <w:sz w:val="28"/>
          <w:szCs w:val="28"/>
        </w:rPr>
        <w:t xml:space="preserve">  </w:t>
      </w:r>
      <w:r>
        <w:rPr>
          <w:rFonts w:hint="eastAsia" w:asciiTheme="majorEastAsia" w:hAnsiTheme="majorEastAsia" w:eastAsiaTheme="majorEastAsia" w:cstheme="majorEastAsia"/>
          <w:bCs/>
          <w:kern w:val="44"/>
          <w:sz w:val="28"/>
          <w:szCs w:val="28"/>
        </w:rPr>
        <w:t>单位：万元</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3103"/>
        <w:gridCol w:w="1194"/>
        <w:gridCol w:w="1574"/>
        <w:gridCol w:w="1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blHeader/>
          <w:jc w:val="center"/>
        </w:trPr>
        <w:tc>
          <w:tcPr>
            <w:tcW w:w="728" w:type="dxa"/>
            <w:vAlign w:val="center"/>
          </w:tcPr>
          <w:p>
            <w:pPr>
              <w:spacing w:line="320" w:lineRule="exact"/>
              <w:ind w:firstLine="0" w:firstLineChars="0"/>
              <w:jc w:val="center"/>
              <w:rPr>
                <w:rFonts w:hint="eastAsia" w:asciiTheme="minorEastAsia" w:hAnsiTheme="minorEastAsia" w:eastAsiaTheme="minorEastAsia" w:cstheme="minorEastAsia"/>
                <w:b/>
                <w:kern w:val="44"/>
                <w:sz w:val="21"/>
                <w:szCs w:val="21"/>
              </w:rPr>
            </w:pPr>
            <w:r>
              <w:rPr>
                <w:rFonts w:hint="eastAsia" w:asciiTheme="minorEastAsia" w:hAnsiTheme="minorEastAsia" w:eastAsiaTheme="minorEastAsia" w:cstheme="minorEastAsia"/>
                <w:b/>
                <w:kern w:val="44"/>
                <w:sz w:val="21"/>
                <w:szCs w:val="21"/>
              </w:rPr>
              <w:t>序号</w:t>
            </w:r>
          </w:p>
        </w:tc>
        <w:tc>
          <w:tcPr>
            <w:tcW w:w="3103" w:type="dxa"/>
            <w:vAlign w:val="center"/>
          </w:tcPr>
          <w:p>
            <w:pPr>
              <w:spacing w:line="320" w:lineRule="exact"/>
              <w:ind w:firstLine="0" w:firstLineChars="0"/>
              <w:jc w:val="center"/>
              <w:rPr>
                <w:rFonts w:hint="eastAsia" w:asciiTheme="minorEastAsia" w:hAnsiTheme="minorEastAsia" w:eastAsiaTheme="minorEastAsia" w:cstheme="minorEastAsia"/>
                <w:b/>
                <w:kern w:val="44"/>
                <w:sz w:val="21"/>
                <w:szCs w:val="21"/>
              </w:rPr>
            </w:pPr>
            <w:r>
              <w:rPr>
                <w:rFonts w:hint="eastAsia" w:asciiTheme="minorEastAsia" w:hAnsiTheme="minorEastAsia" w:eastAsiaTheme="minorEastAsia" w:cstheme="minorEastAsia"/>
                <w:b/>
                <w:kern w:val="44"/>
                <w:sz w:val="21"/>
                <w:szCs w:val="21"/>
              </w:rPr>
              <w:t>项目内容</w:t>
            </w:r>
          </w:p>
        </w:tc>
        <w:tc>
          <w:tcPr>
            <w:tcW w:w="1194" w:type="dxa"/>
            <w:vAlign w:val="center"/>
          </w:tcPr>
          <w:p>
            <w:pPr>
              <w:spacing w:line="320" w:lineRule="exact"/>
              <w:ind w:firstLine="0" w:firstLineChars="0"/>
              <w:jc w:val="center"/>
              <w:rPr>
                <w:rFonts w:hint="eastAsia" w:asciiTheme="minorEastAsia" w:hAnsiTheme="minorEastAsia" w:eastAsiaTheme="minorEastAsia" w:cstheme="minorEastAsia"/>
                <w:b/>
                <w:kern w:val="44"/>
                <w:sz w:val="21"/>
                <w:szCs w:val="21"/>
              </w:rPr>
            </w:pPr>
            <w:r>
              <w:rPr>
                <w:rFonts w:hint="eastAsia" w:asciiTheme="minorEastAsia" w:hAnsiTheme="minorEastAsia" w:eastAsiaTheme="minorEastAsia" w:cstheme="minorEastAsia"/>
                <w:b/>
                <w:kern w:val="44"/>
                <w:sz w:val="21"/>
                <w:szCs w:val="21"/>
              </w:rPr>
              <w:t>预算金额</w:t>
            </w:r>
          </w:p>
        </w:tc>
        <w:tc>
          <w:tcPr>
            <w:tcW w:w="1574" w:type="dxa"/>
            <w:vAlign w:val="center"/>
          </w:tcPr>
          <w:p>
            <w:pPr>
              <w:spacing w:line="320" w:lineRule="exact"/>
              <w:ind w:firstLine="0" w:firstLineChars="0"/>
              <w:jc w:val="center"/>
              <w:rPr>
                <w:rFonts w:hint="eastAsia" w:asciiTheme="minorEastAsia" w:hAnsiTheme="minorEastAsia" w:eastAsiaTheme="minorEastAsia" w:cstheme="minorEastAsia"/>
                <w:b/>
                <w:kern w:val="44"/>
                <w:sz w:val="21"/>
                <w:szCs w:val="21"/>
              </w:rPr>
            </w:pPr>
            <w:r>
              <w:rPr>
                <w:rFonts w:hint="eastAsia" w:asciiTheme="minorEastAsia" w:hAnsiTheme="minorEastAsia" w:eastAsiaTheme="minorEastAsia" w:cstheme="minorEastAsia"/>
                <w:b/>
                <w:kern w:val="44"/>
                <w:sz w:val="21"/>
                <w:szCs w:val="21"/>
              </w:rPr>
              <w:t>实际支出金额</w:t>
            </w:r>
          </w:p>
        </w:tc>
        <w:tc>
          <w:tcPr>
            <w:tcW w:w="1500" w:type="dxa"/>
            <w:vAlign w:val="center"/>
          </w:tcPr>
          <w:p>
            <w:pPr>
              <w:spacing w:line="320" w:lineRule="exact"/>
              <w:ind w:firstLine="0" w:firstLineChars="0"/>
              <w:jc w:val="center"/>
              <w:rPr>
                <w:rFonts w:hint="eastAsia" w:asciiTheme="minorEastAsia" w:hAnsiTheme="minorEastAsia" w:eastAsiaTheme="minorEastAsia" w:cstheme="minorEastAsia"/>
                <w:b/>
                <w:kern w:val="44"/>
                <w:sz w:val="21"/>
                <w:szCs w:val="21"/>
              </w:rPr>
            </w:pPr>
            <w:r>
              <w:rPr>
                <w:rFonts w:hint="eastAsia" w:asciiTheme="minorEastAsia" w:hAnsiTheme="minorEastAsia" w:eastAsiaTheme="minorEastAsia" w:cstheme="minorEastAsia"/>
                <w:b/>
                <w:kern w:val="44"/>
                <w:sz w:val="21"/>
                <w:szCs w:val="21"/>
              </w:rPr>
              <w:t>预算执行率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831" w:type="dxa"/>
            <w:gridSpan w:val="2"/>
            <w:vAlign w:val="center"/>
          </w:tcPr>
          <w:p>
            <w:pPr>
              <w:ind w:firstLine="0" w:firstLineChars="0"/>
              <w:jc w:val="center"/>
              <w:rPr>
                <w:rFonts w:hint="eastAsia" w:asciiTheme="minorEastAsia" w:hAnsiTheme="minorEastAsia" w:eastAsiaTheme="minorEastAsia" w:cstheme="minorEastAsia"/>
                <w:bCs/>
                <w:kern w:val="44"/>
                <w:sz w:val="21"/>
                <w:szCs w:val="21"/>
              </w:rPr>
            </w:pPr>
            <w:r>
              <w:rPr>
                <w:rFonts w:hint="eastAsia" w:asciiTheme="minorEastAsia" w:hAnsiTheme="minorEastAsia" w:eastAsiaTheme="minorEastAsia" w:cstheme="minorEastAsia"/>
                <w:b/>
                <w:kern w:val="44"/>
                <w:sz w:val="21"/>
                <w:szCs w:val="21"/>
              </w:rPr>
              <w:t>合    计</w:t>
            </w:r>
          </w:p>
        </w:tc>
        <w:tc>
          <w:tcPr>
            <w:tcW w:w="1194" w:type="dxa"/>
            <w:vAlign w:val="center"/>
          </w:tcPr>
          <w:p>
            <w:pPr>
              <w:ind w:firstLine="0" w:firstLineChars="0"/>
              <w:jc w:val="right"/>
              <w:rPr>
                <w:rFonts w:hint="eastAsia" w:asciiTheme="minorEastAsia" w:hAnsiTheme="minorEastAsia" w:eastAsiaTheme="minorEastAsia" w:cstheme="minorEastAsia"/>
                <w:b/>
                <w:kern w:val="44"/>
                <w:sz w:val="21"/>
                <w:szCs w:val="21"/>
              </w:rPr>
            </w:pPr>
            <w:r>
              <w:rPr>
                <w:rFonts w:hint="eastAsia" w:asciiTheme="minorEastAsia" w:hAnsiTheme="minorEastAsia" w:eastAsiaTheme="minorEastAsia" w:cstheme="minorEastAsia"/>
                <w:b/>
                <w:kern w:val="44"/>
                <w:sz w:val="21"/>
                <w:szCs w:val="21"/>
              </w:rPr>
              <w:t>602.00</w:t>
            </w:r>
          </w:p>
        </w:tc>
        <w:tc>
          <w:tcPr>
            <w:tcW w:w="1574" w:type="dxa"/>
            <w:vAlign w:val="center"/>
          </w:tcPr>
          <w:p>
            <w:pPr>
              <w:ind w:firstLine="0" w:firstLineChars="0"/>
              <w:jc w:val="right"/>
              <w:rPr>
                <w:rFonts w:hint="eastAsia" w:asciiTheme="minorEastAsia" w:hAnsiTheme="minorEastAsia" w:eastAsiaTheme="minorEastAsia" w:cstheme="minorEastAsia"/>
                <w:b/>
                <w:kern w:val="44"/>
                <w:sz w:val="21"/>
                <w:szCs w:val="21"/>
              </w:rPr>
            </w:pPr>
            <w:r>
              <w:rPr>
                <w:rFonts w:hint="eastAsia" w:asciiTheme="minorEastAsia" w:hAnsiTheme="minorEastAsia" w:eastAsiaTheme="minorEastAsia" w:cstheme="minorEastAsia"/>
                <w:b/>
                <w:kern w:val="44"/>
                <w:sz w:val="21"/>
                <w:szCs w:val="21"/>
              </w:rPr>
              <w:t>597.691412</w:t>
            </w:r>
          </w:p>
        </w:tc>
        <w:tc>
          <w:tcPr>
            <w:tcW w:w="1500" w:type="dxa"/>
            <w:vAlign w:val="center"/>
          </w:tcPr>
          <w:p>
            <w:pPr>
              <w:ind w:firstLine="0" w:firstLineChars="0"/>
              <w:jc w:val="right"/>
              <w:rPr>
                <w:rFonts w:hint="eastAsia" w:asciiTheme="minorEastAsia" w:hAnsiTheme="minorEastAsia" w:eastAsiaTheme="minorEastAsia" w:cstheme="minorEastAsia"/>
                <w:b/>
                <w:kern w:val="44"/>
                <w:sz w:val="21"/>
                <w:szCs w:val="21"/>
              </w:rPr>
            </w:pPr>
            <w:r>
              <w:rPr>
                <w:rFonts w:hint="eastAsia" w:asciiTheme="minorEastAsia" w:hAnsiTheme="minorEastAsia" w:eastAsiaTheme="minorEastAsia" w:cstheme="minorEastAsia"/>
                <w:b/>
                <w:kern w:val="44"/>
                <w:sz w:val="21"/>
                <w:szCs w:val="21"/>
              </w:rPr>
              <w:t>99.44%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spacing w:line="320" w:lineRule="exact"/>
              <w:ind w:firstLine="0" w:firstLineChars="0"/>
              <w:jc w:val="center"/>
              <w:rPr>
                <w:rFonts w:hint="eastAsia" w:asciiTheme="minorEastAsia" w:hAnsiTheme="minorEastAsia" w:eastAsiaTheme="minorEastAsia" w:cstheme="minorEastAsia"/>
                <w:b/>
                <w:kern w:val="44"/>
                <w:sz w:val="21"/>
                <w:szCs w:val="21"/>
              </w:rPr>
            </w:pPr>
            <w:r>
              <w:rPr>
                <w:rFonts w:hint="eastAsia" w:asciiTheme="minorEastAsia" w:hAnsiTheme="minorEastAsia" w:eastAsiaTheme="minorEastAsia" w:cstheme="minorEastAsia"/>
                <w:b/>
                <w:kern w:val="44"/>
                <w:sz w:val="21"/>
                <w:szCs w:val="21"/>
              </w:rPr>
              <w:t>1</w:t>
            </w:r>
          </w:p>
        </w:tc>
        <w:tc>
          <w:tcPr>
            <w:tcW w:w="3103" w:type="dxa"/>
            <w:vAlign w:val="center"/>
          </w:tcPr>
          <w:p>
            <w:pPr>
              <w:spacing w:line="320" w:lineRule="exact"/>
              <w:ind w:firstLine="0" w:firstLineChars="0"/>
              <w:jc w:val="center"/>
              <w:rPr>
                <w:rFonts w:hint="eastAsia" w:asciiTheme="minorEastAsia" w:hAnsiTheme="minorEastAsia" w:eastAsiaTheme="minorEastAsia" w:cstheme="minorEastAsia"/>
                <w:bCs/>
                <w:kern w:val="44"/>
                <w:sz w:val="21"/>
                <w:szCs w:val="21"/>
              </w:rPr>
            </w:pPr>
            <w:r>
              <w:rPr>
                <w:rFonts w:hint="eastAsia" w:asciiTheme="minorEastAsia" w:hAnsiTheme="minorEastAsia" w:eastAsiaTheme="minorEastAsia" w:cstheme="minorEastAsia"/>
                <w:bCs/>
                <w:kern w:val="44"/>
                <w:sz w:val="21"/>
                <w:szCs w:val="21"/>
              </w:rPr>
              <w:t>北京市高级研修班资助经费</w:t>
            </w:r>
          </w:p>
        </w:tc>
        <w:tc>
          <w:tcPr>
            <w:tcW w:w="1194" w:type="dxa"/>
            <w:vAlign w:val="center"/>
          </w:tcPr>
          <w:p>
            <w:pPr>
              <w:spacing w:line="320" w:lineRule="exact"/>
              <w:ind w:firstLine="0" w:firstLineChars="0"/>
              <w:jc w:val="right"/>
              <w:rPr>
                <w:rFonts w:hint="eastAsia" w:asciiTheme="minorEastAsia" w:hAnsiTheme="minorEastAsia" w:eastAsiaTheme="minorEastAsia" w:cstheme="minorEastAsia"/>
                <w:bCs/>
                <w:kern w:val="44"/>
                <w:sz w:val="21"/>
                <w:szCs w:val="21"/>
              </w:rPr>
            </w:pPr>
            <w:r>
              <w:rPr>
                <w:rFonts w:hint="eastAsia" w:asciiTheme="minorEastAsia" w:hAnsiTheme="minorEastAsia" w:eastAsiaTheme="minorEastAsia" w:cstheme="minorEastAsia"/>
                <w:bCs/>
                <w:kern w:val="44"/>
                <w:sz w:val="21"/>
                <w:szCs w:val="21"/>
              </w:rPr>
              <w:t>600.00</w:t>
            </w:r>
          </w:p>
        </w:tc>
        <w:tc>
          <w:tcPr>
            <w:tcW w:w="1574" w:type="dxa"/>
            <w:vAlign w:val="center"/>
          </w:tcPr>
          <w:p>
            <w:pPr>
              <w:spacing w:line="320" w:lineRule="exact"/>
              <w:ind w:firstLine="0" w:firstLineChars="0"/>
              <w:jc w:val="right"/>
              <w:rPr>
                <w:rFonts w:hint="eastAsia" w:asciiTheme="minorEastAsia" w:hAnsiTheme="minorEastAsia" w:eastAsiaTheme="minorEastAsia" w:cstheme="minorEastAsia"/>
                <w:bCs/>
                <w:kern w:val="44"/>
                <w:sz w:val="21"/>
                <w:szCs w:val="21"/>
              </w:rPr>
            </w:pPr>
            <w:r>
              <w:rPr>
                <w:rFonts w:hint="eastAsia" w:asciiTheme="minorEastAsia" w:hAnsiTheme="minorEastAsia" w:eastAsiaTheme="minorEastAsia" w:cstheme="minorEastAsia"/>
                <w:bCs/>
                <w:kern w:val="44"/>
                <w:sz w:val="21"/>
                <w:szCs w:val="21"/>
              </w:rPr>
              <w:t>595.646412</w:t>
            </w:r>
          </w:p>
        </w:tc>
        <w:tc>
          <w:tcPr>
            <w:tcW w:w="1500" w:type="dxa"/>
            <w:vAlign w:val="center"/>
          </w:tcPr>
          <w:p>
            <w:pPr>
              <w:spacing w:line="320" w:lineRule="exact"/>
              <w:ind w:firstLine="0" w:firstLineChars="0"/>
              <w:jc w:val="right"/>
              <w:rPr>
                <w:rFonts w:hint="eastAsia" w:asciiTheme="minorEastAsia" w:hAnsiTheme="minorEastAsia" w:eastAsiaTheme="minorEastAsia" w:cstheme="minorEastAsia"/>
                <w:bCs/>
                <w:kern w:val="44"/>
                <w:sz w:val="21"/>
                <w:szCs w:val="21"/>
              </w:rPr>
            </w:pPr>
            <w:r>
              <w:rPr>
                <w:rFonts w:hint="eastAsia" w:asciiTheme="minorEastAsia" w:hAnsiTheme="minorEastAsia" w:eastAsiaTheme="minorEastAsia" w:cstheme="minorEastAsia"/>
                <w:bCs/>
                <w:kern w:val="44"/>
                <w:sz w:val="21"/>
                <w:szCs w:val="21"/>
              </w:rPr>
              <w:t>99.99%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spacing w:line="320" w:lineRule="exact"/>
              <w:ind w:firstLine="0" w:firstLineChars="0"/>
              <w:jc w:val="center"/>
              <w:rPr>
                <w:rFonts w:hint="eastAsia" w:asciiTheme="minorEastAsia" w:hAnsiTheme="minorEastAsia" w:eastAsiaTheme="minorEastAsia" w:cstheme="minorEastAsia"/>
                <w:b/>
                <w:kern w:val="44"/>
                <w:sz w:val="21"/>
                <w:szCs w:val="21"/>
              </w:rPr>
            </w:pPr>
            <w:r>
              <w:rPr>
                <w:rFonts w:hint="eastAsia" w:asciiTheme="minorEastAsia" w:hAnsiTheme="minorEastAsia" w:eastAsiaTheme="minorEastAsia" w:cstheme="minorEastAsia"/>
                <w:b/>
                <w:kern w:val="44"/>
                <w:sz w:val="21"/>
                <w:szCs w:val="21"/>
              </w:rPr>
              <w:t>2</w:t>
            </w:r>
          </w:p>
        </w:tc>
        <w:tc>
          <w:tcPr>
            <w:tcW w:w="3103" w:type="dxa"/>
            <w:vAlign w:val="center"/>
          </w:tcPr>
          <w:p>
            <w:pPr>
              <w:spacing w:line="320" w:lineRule="exact"/>
              <w:ind w:firstLine="0" w:firstLineChars="0"/>
              <w:jc w:val="center"/>
              <w:rPr>
                <w:rFonts w:hint="eastAsia" w:asciiTheme="minorEastAsia" w:hAnsiTheme="minorEastAsia" w:eastAsiaTheme="minorEastAsia" w:cstheme="minorEastAsia"/>
                <w:bCs/>
                <w:kern w:val="44"/>
                <w:sz w:val="21"/>
                <w:szCs w:val="21"/>
              </w:rPr>
            </w:pPr>
            <w:r>
              <w:rPr>
                <w:rFonts w:hint="eastAsia" w:asciiTheme="minorEastAsia" w:hAnsiTheme="minorEastAsia" w:eastAsiaTheme="minorEastAsia" w:cstheme="minorEastAsia"/>
                <w:bCs/>
                <w:kern w:val="44"/>
                <w:sz w:val="21"/>
                <w:szCs w:val="21"/>
              </w:rPr>
              <w:t>高级研修班专家评审劳务费</w:t>
            </w:r>
          </w:p>
        </w:tc>
        <w:tc>
          <w:tcPr>
            <w:tcW w:w="1194" w:type="dxa"/>
            <w:vAlign w:val="center"/>
          </w:tcPr>
          <w:p>
            <w:pPr>
              <w:spacing w:line="320" w:lineRule="exact"/>
              <w:ind w:firstLine="0" w:firstLineChars="0"/>
              <w:jc w:val="right"/>
              <w:rPr>
                <w:rFonts w:hint="eastAsia" w:asciiTheme="minorEastAsia" w:hAnsiTheme="minorEastAsia" w:eastAsiaTheme="minorEastAsia" w:cstheme="minorEastAsia"/>
                <w:bCs/>
                <w:kern w:val="44"/>
                <w:sz w:val="21"/>
                <w:szCs w:val="21"/>
              </w:rPr>
            </w:pPr>
            <w:r>
              <w:rPr>
                <w:rFonts w:hint="eastAsia" w:asciiTheme="minorEastAsia" w:hAnsiTheme="minorEastAsia" w:eastAsiaTheme="minorEastAsia" w:cstheme="minorEastAsia"/>
                <w:bCs/>
                <w:kern w:val="44"/>
                <w:sz w:val="21"/>
                <w:szCs w:val="21"/>
              </w:rPr>
              <w:t>2.00</w:t>
            </w:r>
          </w:p>
        </w:tc>
        <w:tc>
          <w:tcPr>
            <w:tcW w:w="1574" w:type="dxa"/>
            <w:vAlign w:val="center"/>
          </w:tcPr>
          <w:p>
            <w:pPr>
              <w:spacing w:line="320" w:lineRule="exact"/>
              <w:ind w:firstLine="0" w:firstLineChars="0"/>
              <w:jc w:val="right"/>
              <w:rPr>
                <w:rFonts w:hint="eastAsia" w:asciiTheme="minorEastAsia" w:hAnsiTheme="minorEastAsia" w:eastAsiaTheme="minorEastAsia" w:cstheme="minorEastAsia"/>
                <w:bCs/>
                <w:kern w:val="44"/>
                <w:sz w:val="21"/>
                <w:szCs w:val="21"/>
              </w:rPr>
            </w:pPr>
            <w:r>
              <w:rPr>
                <w:rFonts w:hint="eastAsia" w:asciiTheme="minorEastAsia" w:hAnsiTheme="minorEastAsia" w:eastAsiaTheme="minorEastAsia" w:cstheme="minorEastAsia"/>
                <w:bCs/>
                <w:kern w:val="44"/>
                <w:sz w:val="21"/>
                <w:szCs w:val="21"/>
              </w:rPr>
              <w:t>0.525</w:t>
            </w:r>
          </w:p>
        </w:tc>
        <w:tc>
          <w:tcPr>
            <w:tcW w:w="1500" w:type="dxa"/>
            <w:vAlign w:val="center"/>
          </w:tcPr>
          <w:p>
            <w:pPr>
              <w:spacing w:line="320" w:lineRule="exact"/>
              <w:ind w:firstLine="0" w:firstLineChars="0"/>
              <w:jc w:val="right"/>
              <w:rPr>
                <w:rFonts w:hint="eastAsia" w:asciiTheme="minorEastAsia" w:hAnsiTheme="minorEastAsia" w:eastAsiaTheme="minorEastAsia" w:cstheme="minorEastAsia"/>
                <w:bCs/>
                <w:kern w:val="44"/>
                <w:sz w:val="21"/>
                <w:szCs w:val="21"/>
              </w:rPr>
            </w:pPr>
            <w:r>
              <w:rPr>
                <w:rFonts w:hint="eastAsia" w:asciiTheme="minorEastAsia" w:hAnsiTheme="minorEastAsia" w:eastAsiaTheme="minorEastAsia" w:cstheme="minorEastAsia"/>
                <w:bCs/>
                <w:kern w:val="44"/>
                <w:sz w:val="21"/>
                <w:szCs w:val="21"/>
                <w:lang w:val="en-US" w:eastAsia="zh-CN"/>
              </w:rPr>
              <w:t>26.25</w:t>
            </w:r>
            <w:r>
              <w:rPr>
                <w:rFonts w:hint="eastAsia" w:asciiTheme="minorEastAsia" w:hAnsiTheme="minorEastAsia" w:eastAsiaTheme="minorEastAsia" w:cstheme="minorEastAsia"/>
                <w:bCs/>
                <w:kern w:val="44"/>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ind w:firstLine="0" w:firstLineChars="0"/>
              <w:jc w:val="center"/>
              <w:rPr>
                <w:rFonts w:hint="eastAsia" w:asciiTheme="minorEastAsia" w:hAnsiTheme="minorEastAsia" w:eastAsiaTheme="minorEastAsia" w:cstheme="minorEastAsia"/>
                <w:b/>
                <w:kern w:val="44"/>
                <w:sz w:val="21"/>
                <w:szCs w:val="21"/>
              </w:rPr>
            </w:pPr>
            <w:r>
              <w:rPr>
                <w:rFonts w:hint="eastAsia" w:asciiTheme="minorEastAsia" w:hAnsiTheme="minorEastAsia" w:eastAsiaTheme="minorEastAsia" w:cstheme="minorEastAsia"/>
                <w:b/>
                <w:kern w:val="44"/>
                <w:sz w:val="21"/>
                <w:szCs w:val="21"/>
              </w:rPr>
              <w:t>3</w:t>
            </w:r>
          </w:p>
        </w:tc>
        <w:tc>
          <w:tcPr>
            <w:tcW w:w="3103" w:type="dxa"/>
            <w:vAlign w:val="center"/>
          </w:tcPr>
          <w:p>
            <w:pPr>
              <w:spacing w:line="320" w:lineRule="exact"/>
              <w:ind w:firstLine="0" w:firstLineChars="0"/>
              <w:jc w:val="center"/>
              <w:rPr>
                <w:rFonts w:hint="eastAsia" w:asciiTheme="minorEastAsia" w:hAnsiTheme="minorEastAsia" w:eastAsiaTheme="minorEastAsia" w:cstheme="minorEastAsia"/>
                <w:bCs/>
                <w:kern w:val="44"/>
                <w:sz w:val="21"/>
                <w:szCs w:val="21"/>
              </w:rPr>
            </w:pPr>
            <w:r>
              <w:rPr>
                <w:rFonts w:hint="eastAsia" w:asciiTheme="minorEastAsia" w:hAnsiTheme="minorEastAsia" w:eastAsiaTheme="minorEastAsia" w:cstheme="minorEastAsia"/>
                <w:bCs/>
                <w:kern w:val="44"/>
                <w:sz w:val="21"/>
                <w:szCs w:val="21"/>
              </w:rPr>
              <w:t>印刷费</w:t>
            </w:r>
          </w:p>
        </w:tc>
        <w:tc>
          <w:tcPr>
            <w:tcW w:w="1194" w:type="dxa"/>
            <w:vAlign w:val="center"/>
          </w:tcPr>
          <w:p>
            <w:pPr>
              <w:spacing w:line="320" w:lineRule="exact"/>
              <w:ind w:firstLine="0" w:firstLineChars="0"/>
              <w:jc w:val="right"/>
              <w:rPr>
                <w:rFonts w:hint="eastAsia" w:asciiTheme="minorEastAsia" w:hAnsiTheme="minorEastAsia" w:eastAsiaTheme="minorEastAsia" w:cstheme="minorEastAsia"/>
                <w:bCs/>
                <w:kern w:val="44"/>
                <w:sz w:val="21"/>
                <w:szCs w:val="21"/>
              </w:rPr>
            </w:pPr>
            <w:r>
              <w:rPr>
                <w:rFonts w:hint="eastAsia" w:asciiTheme="minorEastAsia" w:hAnsiTheme="minorEastAsia" w:eastAsiaTheme="minorEastAsia" w:cstheme="minorEastAsia"/>
                <w:bCs/>
                <w:kern w:val="44"/>
                <w:sz w:val="21"/>
                <w:szCs w:val="21"/>
              </w:rPr>
              <w:t>0.00</w:t>
            </w:r>
          </w:p>
        </w:tc>
        <w:tc>
          <w:tcPr>
            <w:tcW w:w="1574" w:type="dxa"/>
            <w:vAlign w:val="center"/>
          </w:tcPr>
          <w:p>
            <w:pPr>
              <w:spacing w:line="320" w:lineRule="exact"/>
              <w:ind w:firstLine="0" w:firstLineChars="0"/>
              <w:jc w:val="right"/>
              <w:rPr>
                <w:rFonts w:hint="eastAsia" w:asciiTheme="minorEastAsia" w:hAnsiTheme="minorEastAsia" w:eastAsiaTheme="minorEastAsia" w:cstheme="minorEastAsia"/>
                <w:bCs/>
                <w:kern w:val="44"/>
                <w:sz w:val="21"/>
                <w:szCs w:val="21"/>
              </w:rPr>
            </w:pPr>
            <w:r>
              <w:rPr>
                <w:rFonts w:hint="eastAsia" w:asciiTheme="minorEastAsia" w:hAnsiTheme="minorEastAsia" w:eastAsiaTheme="minorEastAsia" w:cstheme="minorEastAsia"/>
                <w:bCs/>
                <w:kern w:val="44"/>
                <w:sz w:val="21"/>
                <w:szCs w:val="21"/>
              </w:rPr>
              <w:t>1.52</w:t>
            </w:r>
          </w:p>
        </w:tc>
        <w:tc>
          <w:tcPr>
            <w:tcW w:w="1500" w:type="dxa"/>
            <w:vAlign w:val="center"/>
          </w:tcPr>
          <w:p>
            <w:pPr>
              <w:spacing w:line="320" w:lineRule="exact"/>
              <w:ind w:firstLine="0" w:firstLineChars="0"/>
              <w:jc w:val="right"/>
              <w:rPr>
                <w:rFonts w:hint="eastAsia" w:asciiTheme="minorEastAsia" w:hAnsiTheme="minorEastAsia" w:eastAsiaTheme="minorEastAsia" w:cstheme="minorEastAsia"/>
                <w:bCs/>
                <w:kern w:val="44"/>
                <w:sz w:val="21"/>
                <w:szCs w:val="21"/>
              </w:rPr>
            </w:pPr>
            <w:r>
              <w:rPr>
                <w:rFonts w:hint="eastAsia" w:asciiTheme="minorEastAsia" w:hAnsiTheme="minorEastAsia" w:eastAsiaTheme="minorEastAsia" w:cstheme="minorEastAsia"/>
                <w:bCs/>
                <w:kern w:val="44"/>
                <w:sz w:val="21"/>
                <w:szCs w:val="21"/>
              </w:rPr>
              <w:t>-</w:t>
            </w:r>
          </w:p>
        </w:tc>
      </w:tr>
    </w:tbl>
    <w:p>
      <w:pPr>
        <w:adjustRightInd w:val="0"/>
        <w:snapToGrid w:val="0"/>
        <w:spacing w:line="580" w:lineRule="exact"/>
        <w:ind w:firstLine="640"/>
        <w:rPr>
          <w:rFonts w:eastAsia="仿宋_GB2312"/>
          <w:bCs/>
          <w:sz w:val="32"/>
          <w:szCs w:val="32"/>
        </w:rPr>
      </w:pPr>
      <w:r>
        <w:rPr>
          <w:rFonts w:eastAsia="仿宋_GB2312"/>
          <w:bCs/>
          <w:sz w:val="32"/>
          <w:szCs w:val="32"/>
        </w:rPr>
        <w:t>（3）资金使用合规性</w:t>
      </w:r>
    </w:p>
    <w:p>
      <w:pPr>
        <w:shd w:val="clear" w:color="auto" w:fill="FFFFFF" w:themeFill="background1"/>
        <w:adjustRightInd w:val="0"/>
        <w:snapToGrid w:val="0"/>
        <w:spacing w:line="580" w:lineRule="exact"/>
        <w:ind w:firstLine="640"/>
        <w:rPr>
          <w:rFonts w:eastAsia="仿宋_GB2312"/>
          <w:color w:val="000000"/>
          <w:kern w:val="0"/>
          <w:sz w:val="32"/>
          <w:szCs w:val="32"/>
        </w:rPr>
      </w:pPr>
      <w:r>
        <w:rPr>
          <w:rFonts w:eastAsia="仿宋_GB2312"/>
          <w:color w:val="000000"/>
          <w:kern w:val="0"/>
          <w:sz w:val="32"/>
          <w:szCs w:val="32"/>
        </w:rPr>
        <w:t>该项目资金使用根据市人社局内控手册及相关内部财务制度执行。实际发生支出时，业务经办人员填制《支出报销单》，根据内部审批权限，经各级审核审批人员签字确认后，由财务人员根据审核结果履行资金支出手续。</w:t>
      </w:r>
      <w:r>
        <w:rPr>
          <w:rFonts w:hint="eastAsia" w:eastAsia="仿宋_GB2312"/>
          <w:color w:val="000000"/>
          <w:kern w:val="0"/>
          <w:sz w:val="32"/>
          <w:szCs w:val="32"/>
        </w:rPr>
        <w:t>各承办单位遵循《关于加强2024年北京市高级研修班以及资助经费管理工作的通知》（京人社专技字〔2024〕67号）、</w:t>
      </w:r>
      <w:r>
        <w:rPr>
          <w:rFonts w:hint="eastAsia" w:eastAsia="仿宋_GB2312"/>
          <w:bCs/>
          <w:sz w:val="32"/>
          <w:szCs w:val="32"/>
        </w:rPr>
        <w:t>《北京市市级党政机关事业单位培训费管理办法》（京财预〔2017〕1389号）等文件，严格按照资助经费开支范围和标准使用，市级高研班资助经费用于组织高级研修班直接发生的费用支出，包括师资费</w:t>
      </w:r>
      <w:r>
        <w:rPr>
          <w:rFonts w:hint="eastAsia" w:eastAsia="仿宋_GB2312"/>
          <w:bCs/>
          <w:sz w:val="32"/>
          <w:szCs w:val="32"/>
          <w:lang w:eastAsia="zh-CN"/>
        </w:rPr>
        <w:t>、</w:t>
      </w:r>
      <w:r>
        <w:rPr>
          <w:rFonts w:hint="eastAsia" w:eastAsia="仿宋_GB2312"/>
          <w:bCs/>
          <w:sz w:val="32"/>
          <w:szCs w:val="32"/>
        </w:rPr>
        <w:t>住宿费、伙食费、培训场地费、培训资料费和其他费用。2024年</w:t>
      </w:r>
      <w:r>
        <w:rPr>
          <w:rFonts w:hint="eastAsia" w:ascii="仿宋_GB2312" w:eastAsia="仿宋_GB2312"/>
          <w:sz w:val="32"/>
          <w:szCs w:val="32"/>
        </w:rPr>
        <w:t>部分班次结余经费，为确保专款专用，各办班单位已将结余经费通过银行</w:t>
      </w:r>
      <w:r>
        <w:rPr>
          <w:rFonts w:ascii="仿宋_GB2312" w:eastAsia="仿宋_GB2312"/>
          <w:sz w:val="32"/>
          <w:szCs w:val="32"/>
        </w:rPr>
        <w:t>转账到市人力资源社会保障局</w:t>
      </w:r>
      <w:r>
        <w:rPr>
          <w:rFonts w:hint="eastAsia" w:ascii="仿宋_GB2312" w:eastAsia="仿宋_GB2312"/>
          <w:sz w:val="32"/>
          <w:szCs w:val="32"/>
        </w:rPr>
        <w:t>账户。</w:t>
      </w:r>
    </w:p>
    <w:p>
      <w:pPr>
        <w:shd w:val="clear" w:color="auto" w:fill="FFFFFF" w:themeFill="background1"/>
        <w:adjustRightInd w:val="0"/>
        <w:snapToGrid w:val="0"/>
        <w:spacing w:line="580" w:lineRule="exact"/>
        <w:ind w:firstLine="640"/>
        <w:rPr>
          <w:rFonts w:eastAsia="仿宋_GB2312"/>
          <w:color w:val="000000"/>
          <w:kern w:val="0"/>
          <w:sz w:val="32"/>
          <w:szCs w:val="32"/>
        </w:rPr>
      </w:pPr>
      <w:r>
        <w:rPr>
          <w:rFonts w:hint="eastAsia" w:eastAsia="仿宋_GB2312"/>
          <w:color w:val="000000"/>
          <w:kern w:val="0"/>
          <w:sz w:val="32"/>
          <w:szCs w:val="32"/>
        </w:rPr>
        <w:t>评价分析认为：该项目</w:t>
      </w:r>
      <w:r>
        <w:rPr>
          <w:rFonts w:eastAsia="仿宋_GB2312"/>
          <w:color w:val="000000"/>
          <w:kern w:val="0"/>
          <w:sz w:val="32"/>
          <w:szCs w:val="32"/>
        </w:rPr>
        <w:t>资金使用符合项目预算批复规定的用途；资金使用合理合规，未发现存在截留、挤占、挪用、虚列支出等情况。</w:t>
      </w:r>
      <w:r>
        <w:rPr>
          <w:rFonts w:hint="eastAsia" w:eastAsia="仿宋_GB2312"/>
          <w:color w:val="000000"/>
          <w:kern w:val="0"/>
          <w:sz w:val="32"/>
          <w:szCs w:val="32"/>
        </w:rPr>
        <w:t>建议加强事后审计，每年抽查监督研修班资金使用情况。</w:t>
      </w:r>
    </w:p>
    <w:p>
      <w:pPr>
        <w:adjustRightInd w:val="0"/>
        <w:snapToGrid w:val="0"/>
        <w:spacing w:line="580" w:lineRule="exact"/>
        <w:ind w:firstLine="640"/>
        <w:rPr>
          <w:rFonts w:eastAsia="仿宋_GB2312"/>
          <w:b/>
          <w:sz w:val="32"/>
          <w:szCs w:val="32"/>
        </w:rPr>
      </w:pPr>
      <w:r>
        <w:rPr>
          <w:rFonts w:eastAsia="仿宋_GB2312"/>
          <w:b/>
          <w:sz w:val="32"/>
          <w:szCs w:val="32"/>
        </w:rPr>
        <w:t>2.组织实施情况评价分析</w:t>
      </w:r>
    </w:p>
    <w:p>
      <w:pPr>
        <w:adjustRightInd w:val="0"/>
        <w:snapToGrid w:val="0"/>
        <w:spacing w:line="580" w:lineRule="exact"/>
        <w:ind w:firstLine="640"/>
        <w:rPr>
          <w:rFonts w:eastAsia="仿宋_GB2312"/>
          <w:bCs/>
          <w:sz w:val="32"/>
          <w:szCs w:val="32"/>
        </w:rPr>
      </w:pPr>
      <w:r>
        <w:rPr>
          <w:rFonts w:eastAsia="仿宋_GB2312"/>
          <w:bCs/>
          <w:sz w:val="32"/>
          <w:szCs w:val="32"/>
        </w:rPr>
        <w:t>（1）管理制度健全性</w:t>
      </w:r>
    </w:p>
    <w:p>
      <w:pPr>
        <w:adjustRightInd w:val="0"/>
        <w:snapToGrid w:val="0"/>
        <w:spacing w:line="580" w:lineRule="exact"/>
        <w:ind w:firstLine="640"/>
        <w:rPr>
          <w:rFonts w:eastAsia="仿宋_GB2312"/>
          <w:color w:val="000000"/>
          <w:kern w:val="0"/>
          <w:sz w:val="32"/>
          <w:szCs w:val="32"/>
        </w:rPr>
      </w:pPr>
      <w:r>
        <w:rPr>
          <w:rFonts w:eastAsia="仿宋_GB2312"/>
          <w:color w:val="000000"/>
          <w:kern w:val="0"/>
          <w:sz w:val="32"/>
          <w:szCs w:val="32"/>
        </w:rPr>
        <w:t>该项目实施的过程中，</w:t>
      </w:r>
      <w:r>
        <w:rPr>
          <w:rFonts w:hint="eastAsia" w:eastAsia="仿宋_GB2312"/>
          <w:color w:val="000000"/>
          <w:kern w:val="0"/>
          <w:sz w:val="32"/>
          <w:szCs w:val="32"/>
        </w:rPr>
        <w:t>项目承担处室</w:t>
      </w:r>
      <w:r>
        <w:rPr>
          <w:rFonts w:hint="eastAsia" w:eastAsia="仿宋_GB2312"/>
          <w:bCs/>
          <w:kern w:val="44"/>
          <w:sz w:val="32"/>
          <w:szCs w:val="32"/>
        </w:rPr>
        <w:t>专业技术人员管理处</w:t>
      </w:r>
      <w:r>
        <w:rPr>
          <w:rFonts w:eastAsia="仿宋_GB2312"/>
          <w:color w:val="000000"/>
          <w:kern w:val="0"/>
          <w:sz w:val="32"/>
          <w:szCs w:val="32"/>
        </w:rPr>
        <w:t>遵循《北京市人力资源和社会保障局机关关于规范项目资金管理使用办法》（京人社内部发〔2022〕22号）</w:t>
      </w:r>
      <w:r>
        <w:rPr>
          <w:rFonts w:hint="eastAsia" w:eastAsia="仿宋_GB2312"/>
          <w:color w:val="000000"/>
          <w:kern w:val="0"/>
          <w:sz w:val="32"/>
          <w:szCs w:val="32"/>
        </w:rPr>
        <w:t>《北京市人力资源和社会保障局机关预算管理办法》《北京市人力资源和社会保障局机关资金支出管理办法》《北京市人力资源和社会保障局预算绩效管理办法》</w:t>
      </w:r>
      <w:r>
        <w:rPr>
          <w:rFonts w:eastAsia="仿宋_GB2312"/>
          <w:color w:val="000000"/>
          <w:kern w:val="0"/>
          <w:sz w:val="32"/>
          <w:szCs w:val="32"/>
        </w:rPr>
        <w:t>等一系列管理制度，</w:t>
      </w:r>
      <w:r>
        <w:rPr>
          <w:rFonts w:hint="eastAsia" w:eastAsia="仿宋_GB2312"/>
          <w:color w:val="000000"/>
          <w:kern w:val="0"/>
          <w:sz w:val="32"/>
          <w:szCs w:val="32"/>
        </w:rPr>
        <w:t>制定了《关于加强2024年北京市高级研修班以及资助经费管理工作的通知》（京人社专技字〔2024〕67号）、关于印发《北京市专业技术人才知识更新工程实施方案》的通知（京人社专技字〔2022〕24号），明确了目标任务、实施项目、组织实施等内容，</w:t>
      </w:r>
      <w:r>
        <w:rPr>
          <w:rFonts w:eastAsia="仿宋_GB2312"/>
          <w:color w:val="000000"/>
          <w:kern w:val="0"/>
          <w:sz w:val="32"/>
          <w:szCs w:val="32"/>
        </w:rPr>
        <w:t>规</w:t>
      </w:r>
      <w:r>
        <w:rPr>
          <w:rFonts w:hint="eastAsia" w:eastAsia="仿宋_GB2312"/>
          <w:color w:val="000000"/>
          <w:kern w:val="0"/>
          <w:sz w:val="32"/>
          <w:szCs w:val="32"/>
        </w:rPr>
        <w:t>范有序开展项目实施。</w:t>
      </w:r>
    </w:p>
    <w:p>
      <w:pPr>
        <w:adjustRightInd w:val="0"/>
        <w:snapToGrid w:val="0"/>
        <w:spacing w:line="580" w:lineRule="exact"/>
        <w:ind w:firstLine="640"/>
        <w:rPr>
          <w:rFonts w:eastAsia="仿宋_GB2312"/>
          <w:color w:val="000000"/>
          <w:kern w:val="0"/>
          <w:sz w:val="32"/>
          <w:szCs w:val="32"/>
        </w:rPr>
      </w:pPr>
      <w:r>
        <w:rPr>
          <w:rFonts w:hint="eastAsia" w:eastAsia="仿宋_GB2312"/>
          <w:color w:val="000000"/>
          <w:kern w:val="0"/>
          <w:sz w:val="32"/>
          <w:szCs w:val="32"/>
        </w:rPr>
        <w:t>评价分析认为：该项目具有相应的财务和业务管理制度，依据的制度较为健全，财务和业务管理制度合法、合规、完整，从制度层面有效保障了项目的顺利实施。</w:t>
      </w:r>
    </w:p>
    <w:p>
      <w:pPr>
        <w:adjustRightInd w:val="0"/>
        <w:snapToGrid w:val="0"/>
        <w:spacing w:line="580" w:lineRule="exact"/>
        <w:ind w:firstLine="640"/>
        <w:rPr>
          <w:rFonts w:eastAsia="仿宋_GB2312"/>
          <w:color w:val="000000"/>
          <w:kern w:val="0"/>
          <w:sz w:val="32"/>
          <w:szCs w:val="32"/>
        </w:rPr>
      </w:pPr>
      <w:r>
        <w:rPr>
          <w:rFonts w:hint="eastAsia" w:eastAsia="仿宋_GB2312"/>
          <w:color w:val="000000"/>
          <w:kern w:val="0"/>
          <w:sz w:val="32"/>
          <w:szCs w:val="32"/>
        </w:rPr>
        <w:t>（2）制度执行有效性</w:t>
      </w:r>
    </w:p>
    <w:p>
      <w:pPr>
        <w:adjustRightInd w:val="0"/>
        <w:snapToGrid w:val="0"/>
        <w:spacing w:line="580" w:lineRule="exact"/>
        <w:ind w:firstLine="640"/>
        <w:rPr>
          <w:rFonts w:eastAsia="仿宋_GB2312"/>
          <w:color w:val="000000"/>
          <w:kern w:val="0"/>
          <w:sz w:val="32"/>
          <w:szCs w:val="32"/>
        </w:rPr>
      </w:pPr>
      <w:r>
        <w:rPr>
          <w:rFonts w:hint="eastAsia" w:eastAsia="仿宋_GB2312"/>
          <w:color w:val="000000"/>
          <w:kern w:val="0"/>
          <w:sz w:val="32"/>
          <w:szCs w:val="32"/>
        </w:rPr>
        <w:t>为做好专业技术人才知识更新工程，北京市市人社局不断加强制度化、规范化建设，切实提升北京市高级研修班选题质量，制定《北京市高级研修班评审办法》对评审程序（包括：选题申报、选题初审、专家评审、组织实施）、评审要素（保证专业领域覆盖、支持区级人才培养、发挥教育基地作用、鼓励非公经济企业）进行细化。</w:t>
      </w:r>
      <w:r>
        <w:rPr>
          <w:rFonts w:hint="eastAsia" w:eastAsia="仿宋_GB2312"/>
          <w:color w:val="000000"/>
          <w:kern w:val="0"/>
          <w:sz w:val="32"/>
          <w:szCs w:val="32"/>
          <w:lang w:eastAsia="zh-CN"/>
        </w:rPr>
        <w:t>市人社局</w:t>
      </w:r>
      <w:r>
        <w:rPr>
          <w:rFonts w:ascii="仿宋_GB2312" w:hAnsi="仿宋" w:eastAsia="仿宋_GB2312"/>
          <w:sz w:val="32"/>
          <w:szCs w:val="32"/>
        </w:rPr>
        <w:t>对标国家专业技术人才知识更新工程管理经验，全面</w:t>
      </w:r>
      <w:r>
        <w:rPr>
          <w:rFonts w:hint="eastAsia" w:ascii="仿宋_GB2312" w:hAnsi="仿宋" w:eastAsia="仿宋_GB2312" w:cs="仿宋_GB2312"/>
          <w:sz w:val="32"/>
          <w:szCs w:val="32"/>
        </w:rPr>
        <w:t>推广使用“北京市专业技术人才知识更新工程高级研修班管理系统”，通过信息化手段</w:t>
      </w:r>
      <w:r>
        <w:rPr>
          <w:rFonts w:hint="eastAsia" w:ascii="仿宋_GB2312" w:hAnsi="仿宋" w:eastAsia="仿宋_GB2312"/>
          <w:sz w:val="32"/>
          <w:szCs w:val="32"/>
        </w:rPr>
        <w:t>实现项目申报、课程审核、通知发布、结业备案、证书打印等业务的全过程管理。</w:t>
      </w:r>
    </w:p>
    <w:p>
      <w:pPr>
        <w:spacing w:line="580" w:lineRule="exact"/>
        <w:ind w:firstLine="640"/>
        <w:rPr>
          <w:rFonts w:eastAsia="仿宋_GB2312"/>
          <w:color w:val="000000"/>
          <w:kern w:val="0"/>
          <w:sz w:val="32"/>
          <w:szCs w:val="32"/>
        </w:rPr>
      </w:pPr>
      <w:r>
        <w:rPr>
          <w:rFonts w:hint="eastAsia" w:eastAsia="仿宋_GB2312"/>
          <w:color w:val="000000"/>
          <w:kern w:val="0"/>
          <w:sz w:val="32"/>
          <w:szCs w:val="32"/>
        </w:rPr>
        <w:t>为提高资助经费使用效益，市人社局组织召开高级研修班工作会议，对申报单位和承办单位相关负责同志进行业务培训，部署研修任务，提出工作要求，强调办班</w:t>
      </w:r>
      <w:r>
        <w:rPr>
          <w:rFonts w:hint="eastAsia" w:eastAsia="仿宋_GB2312"/>
          <w:color w:val="000000"/>
          <w:kern w:val="0"/>
          <w:sz w:val="32"/>
          <w:szCs w:val="32"/>
          <w:lang w:eastAsia="zh-CN"/>
        </w:rPr>
        <w:t>规范</w:t>
      </w:r>
      <w:r>
        <w:rPr>
          <w:rFonts w:hint="eastAsia" w:eastAsia="仿宋_GB2312"/>
          <w:color w:val="000000"/>
          <w:kern w:val="0"/>
          <w:sz w:val="32"/>
          <w:szCs w:val="32"/>
        </w:rPr>
        <w:t>。加强经费管理，要求申报单位提交经费使用承诺书并报送《北京市高级研修班课程审核表》。对标国家专业技术人才知识更新工程高级研修班项目管理经验，规范市级高级研修班结业证书格式。要求各单位密切关注国家及北京市最新要求，完善研修方案，做好培训签到、考勤等记录，严格按照《北京市市级党政机关事业单位培训费管理办法》的开支范围和标准使用资助经费。</w:t>
      </w:r>
    </w:p>
    <w:p>
      <w:pPr>
        <w:spacing w:line="580" w:lineRule="exact"/>
        <w:ind w:firstLine="640"/>
        <w:rPr>
          <w:color w:val="000000"/>
          <w:kern w:val="0"/>
          <w:sz w:val="32"/>
          <w:szCs w:val="32"/>
        </w:rPr>
      </w:pPr>
      <w:r>
        <w:rPr>
          <w:rFonts w:eastAsia="仿宋_GB2312"/>
          <w:color w:val="000000"/>
          <w:kern w:val="0"/>
          <w:sz w:val="32"/>
          <w:szCs w:val="32"/>
        </w:rPr>
        <w:t>评价分析认为：</w:t>
      </w:r>
      <w:r>
        <w:rPr>
          <w:rFonts w:hint="eastAsia" w:ascii="仿宋_GB2312" w:hAnsi="仿宋" w:eastAsia="仿宋_GB2312" w:cs="仿宋_GB2312"/>
          <w:sz w:val="32"/>
          <w:szCs w:val="32"/>
        </w:rPr>
        <w:t>该项目通过信息化手段从项目申报、项目实施、项目结课依托“北京市专业技术人才知识更新工程高级研修班管理系统”全过程管理，遵守相关国家级和北京市相关管理规定，制度执行较为良好。但过程管理需加强。一是缺少本项目的年度《实施方案》，从预算单位的角度明确资金使用、过程监管、风险防控等内容；二是该项目的事前宣传体现不足；三是存在部分单位未严格按照研修方案确定的时间组织研修和报备。</w:t>
      </w:r>
    </w:p>
    <w:bookmarkEnd w:id="104"/>
    <w:p>
      <w:pPr>
        <w:pStyle w:val="4"/>
        <w:adjustRightInd w:val="0"/>
        <w:snapToGrid w:val="0"/>
        <w:spacing w:line="580" w:lineRule="exact"/>
        <w:ind w:firstLine="642" w:firstLineChars="200"/>
        <w:jc w:val="both"/>
        <w:rPr>
          <w:rFonts w:ascii="Times New Roman" w:hAnsi="Times New Roman" w:eastAsia="楷体_GB2312"/>
          <w:bCs w:val="0"/>
          <w:sz w:val="32"/>
        </w:rPr>
      </w:pPr>
      <w:bookmarkStart w:id="115" w:name="_Toc13927"/>
      <w:bookmarkStart w:id="116" w:name="_Toc25021723"/>
      <w:bookmarkStart w:id="117" w:name="_Toc19157"/>
      <w:bookmarkStart w:id="118" w:name="_Toc14405"/>
      <w:bookmarkStart w:id="119" w:name="_Toc13763"/>
      <w:bookmarkStart w:id="120" w:name="_Toc26879"/>
      <w:bookmarkStart w:id="121" w:name="_Toc4876"/>
      <w:bookmarkStart w:id="122" w:name="_Toc14613"/>
      <w:bookmarkStart w:id="123" w:name="_Toc1092192230_WPSOffice_Level2"/>
      <w:r>
        <w:rPr>
          <w:rFonts w:ascii="Times New Roman" w:hAnsi="Times New Roman" w:eastAsia="楷体_GB2312"/>
          <w:bCs w:val="0"/>
          <w:sz w:val="32"/>
        </w:rPr>
        <w:t>（三）项目产出情况</w:t>
      </w:r>
      <w:bookmarkEnd w:id="115"/>
    </w:p>
    <w:p>
      <w:pPr>
        <w:adjustRightInd w:val="0"/>
        <w:snapToGrid w:val="0"/>
        <w:spacing w:line="580" w:lineRule="exact"/>
        <w:ind w:firstLine="640"/>
        <w:rPr>
          <w:rFonts w:eastAsia="仿宋_GB2312"/>
          <w:b/>
          <w:bCs/>
          <w:color w:val="000000"/>
          <w:kern w:val="0"/>
          <w:sz w:val="32"/>
          <w:szCs w:val="32"/>
        </w:rPr>
      </w:pPr>
      <w:r>
        <w:rPr>
          <w:rFonts w:eastAsia="仿宋_GB2312"/>
          <w:b/>
          <w:bCs/>
          <w:color w:val="000000"/>
          <w:kern w:val="0"/>
          <w:sz w:val="32"/>
          <w:szCs w:val="32"/>
        </w:rPr>
        <w:t>1.产出数量情况</w:t>
      </w:r>
      <w:r>
        <w:rPr>
          <w:rFonts w:eastAsia="仿宋_GB2312"/>
          <w:b/>
          <w:sz w:val="32"/>
          <w:szCs w:val="32"/>
        </w:rPr>
        <w:t>评价分析</w:t>
      </w:r>
    </w:p>
    <w:p>
      <w:pPr>
        <w:adjustRightInd w:val="0"/>
        <w:snapToGrid w:val="0"/>
        <w:spacing w:line="580" w:lineRule="exact"/>
        <w:ind w:firstLine="640"/>
        <w:rPr>
          <w:rFonts w:eastAsia="仿宋_GB2312"/>
          <w:color w:val="000000"/>
          <w:kern w:val="0"/>
          <w:sz w:val="32"/>
          <w:szCs w:val="32"/>
        </w:rPr>
      </w:pPr>
      <w:r>
        <w:rPr>
          <w:rFonts w:eastAsia="仿宋_GB2312"/>
          <w:color w:val="000000"/>
          <w:kern w:val="0"/>
          <w:sz w:val="32"/>
          <w:szCs w:val="32"/>
        </w:rPr>
        <w:t>2024年北京市高级研修班紧扣国家战略与区域发展，聚焦数字技术，围绕 14 个重点领域及 10 个现代服务业领域开展研修，全年举办99期，培训6222人。高研班创新组织、课程与管理模式，扩大申报主体范围。同时，积极推动京津冀协同发展，于雄安新区办班，并面向津冀招生，培训当地中高级人才548 人。</w:t>
      </w:r>
    </w:p>
    <w:p>
      <w:pPr>
        <w:adjustRightInd w:val="0"/>
        <w:snapToGrid w:val="0"/>
        <w:spacing w:line="580" w:lineRule="exact"/>
        <w:ind w:firstLine="640"/>
        <w:rPr>
          <w:rFonts w:eastAsia="仿宋_GB2312"/>
          <w:color w:val="000000"/>
          <w:kern w:val="0"/>
          <w:sz w:val="32"/>
          <w:szCs w:val="32"/>
        </w:rPr>
      </w:pPr>
      <w:r>
        <w:rPr>
          <w:rFonts w:eastAsia="仿宋_GB2312"/>
          <w:color w:val="000000"/>
          <w:kern w:val="0"/>
          <w:sz w:val="32"/>
          <w:szCs w:val="32"/>
        </w:rPr>
        <w:t>评价分析认为：该项目全部完成年度工作，完成率100%。</w:t>
      </w:r>
    </w:p>
    <w:p>
      <w:pPr>
        <w:adjustRightInd w:val="0"/>
        <w:snapToGrid w:val="0"/>
        <w:spacing w:line="580" w:lineRule="exact"/>
        <w:ind w:firstLine="640"/>
        <w:rPr>
          <w:rFonts w:eastAsia="仿宋_GB2312"/>
          <w:b/>
          <w:sz w:val="32"/>
          <w:szCs w:val="32"/>
        </w:rPr>
      </w:pPr>
      <w:r>
        <w:rPr>
          <w:rFonts w:eastAsia="仿宋_GB2312"/>
          <w:b/>
          <w:sz w:val="32"/>
          <w:szCs w:val="32"/>
        </w:rPr>
        <w:t>2.</w:t>
      </w:r>
      <w:r>
        <w:rPr>
          <w:rFonts w:eastAsia="仿宋_GB2312"/>
          <w:b/>
          <w:bCs/>
          <w:color w:val="000000"/>
          <w:kern w:val="0"/>
          <w:sz w:val="32"/>
          <w:szCs w:val="32"/>
        </w:rPr>
        <w:t>产出质量情况</w:t>
      </w:r>
      <w:r>
        <w:rPr>
          <w:rFonts w:eastAsia="仿宋_GB2312"/>
          <w:b/>
          <w:sz w:val="32"/>
          <w:szCs w:val="32"/>
        </w:rPr>
        <w:t>评价分析</w:t>
      </w:r>
    </w:p>
    <w:p>
      <w:pPr>
        <w:adjustRightInd w:val="0"/>
        <w:snapToGrid w:val="0"/>
        <w:spacing w:line="580" w:lineRule="exact"/>
        <w:ind w:firstLine="64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该项目聚焦高技术领域前沿知识与核心技术，精准设定</w:t>
      </w:r>
      <w:r>
        <w:rPr>
          <w:rFonts w:eastAsia="仿宋_GB2312"/>
          <w:color w:val="000000"/>
          <w:kern w:val="0"/>
          <w:sz w:val="32"/>
          <w:szCs w:val="32"/>
        </w:rPr>
        <w:t>90%的培</w:t>
      </w:r>
      <w:r>
        <w:rPr>
          <w:rFonts w:hint="eastAsia" w:ascii="仿宋_GB2312" w:hAnsi="仿宋_GB2312" w:eastAsia="仿宋_GB2312" w:cs="仿宋_GB2312"/>
          <w:color w:val="000000"/>
          <w:kern w:val="0"/>
          <w:sz w:val="32"/>
          <w:szCs w:val="32"/>
        </w:rPr>
        <w:t>训合格率目标，最终以99% 的优异成绩超额达成。依托“双师</w:t>
      </w:r>
      <w:bookmarkStart w:id="164" w:name="_GoBack"/>
      <w:bookmarkEnd w:id="164"/>
      <w:r>
        <w:rPr>
          <w:rFonts w:hint="eastAsia" w:ascii="仿宋_GB2312" w:hAnsi="仿宋_GB2312" w:eastAsia="仿宋_GB2312" w:cs="仿宋_GB2312"/>
          <w:color w:val="000000"/>
          <w:kern w:val="0"/>
          <w:sz w:val="32"/>
          <w:szCs w:val="32"/>
        </w:rPr>
        <w:t>型”顶尖师资团队，课程深度融合人工智能、集成电路等战略性新兴产业的最新技术成果与实践案例；通过采取政策解读、专题辅导、现场教学等形式，有的还采取了考察、评议、研讨等方式，线上+线下、集中或分段组织研修的多元教学模式，帮助学员突破技术瓶颈。同时，全程实施精细化管理，确保每位高技术人才实现知识更新与能力进阶，不仅为北京储备了大批技术骨干，更强化了关键领域的人才自主供给能力，对推动产业链升级、提升区域创新竞争力具有重大战略意义。</w:t>
      </w:r>
    </w:p>
    <w:p>
      <w:pPr>
        <w:adjustRightInd w:val="0"/>
        <w:snapToGrid w:val="0"/>
        <w:spacing w:line="580" w:lineRule="exact"/>
        <w:ind w:firstLine="640"/>
        <w:rPr>
          <w:rFonts w:hint="eastAsia" w:ascii="仿宋_GB2312" w:hAnsi="仿宋_GB2312" w:eastAsia="仿宋_GB2312" w:cs="仿宋_GB2312"/>
          <w:color w:val="000000"/>
          <w:kern w:val="0"/>
          <w:sz w:val="32"/>
          <w:szCs w:val="32"/>
          <w:highlight w:val="cyan"/>
        </w:rPr>
      </w:pPr>
      <w:r>
        <w:rPr>
          <w:rFonts w:hint="eastAsia" w:ascii="仿宋_GB2312" w:hAnsi="仿宋_GB2312" w:eastAsia="仿宋_GB2312" w:cs="仿宋_GB2312"/>
          <w:color w:val="000000"/>
          <w:kern w:val="0"/>
          <w:sz w:val="32"/>
          <w:szCs w:val="32"/>
        </w:rPr>
        <w:t>评价分析认为：该项目参与高级研修班的学员通过学习技能，成功获取市级</w:t>
      </w:r>
      <w:r>
        <w:rPr>
          <w:rFonts w:eastAsia="仿宋_GB2312"/>
          <w:color w:val="000000"/>
          <w:kern w:val="0"/>
          <w:sz w:val="32"/>
          <w:szCs w:val="32"/>
        </w:rPr>
        <w:t>高级研修班结业证书，培训合格率较高，</w:t>
      </w:r>
      <w:r>
        <w:rPr>
          <w:rFonts w:eastAsia="仿宋_GB2312"/>
          <w:sz w:val="32"/>
          <w:szCs w:val="32"/>
        </w:rPr>
        <w:t>取得了很好的研修效果。但教学方式单一，实践环节不足，并且培训人员的合格率设定为90%，指</w:t>
      </w:r>
      <w:r>
        <w:rPr>
          <w:rFonts w:hint="eastAsia" w:ascii="仿宋_GB2312" w:hAnsi="仿宋_GB2312" w:eastAsia="仿宋_GB2312" w:cs="仿宋_GB2312"/>
          <w:sz w:val="32"/>
          <w:szCs w:val="32"/>
        </w:rPr>
        <w:t>标值设置偏低。</w:t>
      </w:r>
    </w:p>
    <w:p>
      <w:pPr>
        <w:adjustRightInd w:val="0"/>
        <w:snapToGrid w:val="0"/>
        <w:spacing w:line="580" w:lineRule="exact"/>
        <w:ind w:firstLine="640"/>
        <w:rPr>
          <w:rFonts w:eastAsia="仿宋_GB2312"/>
          <w:b/>
          <w:sz w:val="32"/>
          <w:szCs w:val="32"/>
        </w:rPr>
      </w:pPr>
      <w:r>
        <w:rPr>
          <w:rFonts w:eastAsia="仿宋_GB2312"/>
          <w:b/>
          <w:sz w:val="32"/>
          <w:szCs w:val="32"/>
        </w:rPr>
        <w:t>3.产出时效情况评价分析</w:t>
      </w:r>
    </w:p>
    <w:p>
      <w:pPr>
        <w:adjustRightInd w:val="0"/>
        <w:snapToGrid w:val="0"/>
        <w:spacing w:line="580" w:lineRule="exact"/>
        <w:ind w:firstLine="640"/>
        <w:rPr>
          <w:rFonts w:eastAsia="仿宋_GB2312"/>
          <w:color w:val="000000"/>
          <w:kern w:val="0"/>
          <w:sz w:val="32"/>
          <w:szCs w:val="32"/>
        </w:rPr>
      </w:pPr>
      <w:r>
        <w:rPr>
          <w:rFonts w:hint="eastAsia" w:eastAsia="仿宋_GB2312"/>
          <w:color w:val="000000"/>
          <w:kern w:val="0"/>
          <w:sz w:val="32"/>
          <w:szCs w:val="32"/>
        </w:rPr>
        <w:t>根据《北京市专业技术人员高级研修班管理办法》的要求各单位要严格按照计划组织实施，每个班次培训人数不少于50人，研修时间不少于3天，并在10月31日前完成研修任务。依托 “北京市专业技术人才知识更新工程公共服务平台”，实现项目申报、实施、验收全流程数字化管理。各承办单位基本按时完成研修任务并办班结束后30日内提交高级研修班总结报告、资助经费决算表、结业登记备案名册、学员满意度测评统计表、学员论文或经验材料等材料。项目实施过程中注重把握工作节奏，协调配合，序时推进，基本完成了年初设定的目标任务。</w:t>
      </w:r>
    </w:p>
    <w:p>
      <w:pPr>
        <w:adjustRightInd w:val="0"/>
        <w:snapToGrid w:val="0"/>
        <w:spacing w:line="580" w:lineRule="exact"/>
        <w:ind w:firstLine="640"/>
        <w:rPr>
          <w:rFonts w:eastAsia="仿宋_GB2312"/>
          <w:color w:val="000000"/>
          <w:kern w:val="0"/>
          <w:sz w:val="32"/>
          <w:szCs w:val="32"/>
        </w:rPr>
      </w:pPr>
      <w:r>
        <w:rPr>
          <w:rFonts w:hint="eastAsia" w:eastAsia="仿宋_GB2312"/>
          <w:color w:val="000000"/>
          <w:kern w:val="0"/>
          <w:sz w:val="32"/>
          <w:szCs w:val="32"/>
        </w:rPr>
        <w:t>评价分析认为：该项目年度任务基本按照方案确定的时间、节点完成研修任务，但部分研修班因客观原因延迟开展了研修班，未按照研修方案确定的时间组织研修和报备。</w:t>
      </w:r>
    </w:p>
    <w:p>
      <w:pPr>
        <w:adjustRightInd w:val="0"/>
        <w:snapToGrid w:val="0"/>
        <w:spacing w:line="580" w:lineRule="exact"/>
        <w:ind w:firstLine="640"/>
      </w:pPr>
      <w:r>
        <w:rPr>
          <w:rFonts w:eastAsia="仿宋_GB2312"/>
          <w:b/>
          <w:sz w:val="32"/>
          <w:szCs w:val="32"/>
        </w:rPr>
        <w:t>4.产出成本情况评价分析</w:t>
      </w:r>
    </w:p>
    <w:p>
      <w:pPr>
        <w:adjustRightInd w:val="0"/>
        <w:snapToGrid w:val="0"/>
        <w:spacing w:line="580" w:lineRule="exact"/>
        <w:ind w:firstLine="640"/>
        <w:rPr>
          <w:rFonts w:eastAsia="仿宋_GB2312"/>
          <w:color w:val="000000"/>
          <w:kern w:val="0"/>
          <w:sz w:val="32"/>
          <w:szCs w:val="32"/>
        </w:rPr>
      </w:pPr>
      <w:r>
        <w:rPr>
          <w:rFonts w:hint="eastAsia" w:eastAsia="仿宋_GB2312"/>
          <w:color w:val="000000"/>
          <w:kern w:val="0"/>
          <w:sz w:val="32"/>
          <w:szCs w:val="32"/>
        </w:rPr>
        <w:t>市人社局确定2024年专业技术人才知识更新工程项目经费拨付到99家高级研修班申报（承办）单位总额为599万元。</w:t>
      </w:r>
    </w:p>
    <w:p>
      <w:pPr>
        <w:adjustRightInd w:val="0"/>
        <w:snapToGrid w:val="0"/>
        <w:spacing w:line="580" w:lineRule="exact"/>
        <w:ind w:firstLine="640"/>
        <w:rPr>
          <w:rFonts w:eastAsia="仿宋_GB2312"/>
          <w:color w:val="000000"/>
          <w:kern w:val="0"/>
          <w:sz w:val="32"/>
          <w:szCs w:val="32"/>
        </w:rPr>
      </w:pPr>
      <w:r>
        <w:rPr>
          <w:rFonts w:hint="eastAsia" w:eastAsia="仿宋_GB2312"/>
          <w:color w:val="000000"/>
          <w:kern w:val="0"/>
          <w:sz w:val="32"/>
          <w:szCs w:val="32"/>
        </w:rPr>
        <w:t>各申报（承办）单位按照《北京市人力资源和社会保障局关于加强2024年北京市高级研修班以及资助经费管理工作的通知》（京人社专技字〔2024〕67号）要求，承办单位依据《北京市市级党政机关事业单位培训费管理办法》（京财预〔2017〕1389号），控制经费开支范围，各办班单位将结余经费21.35万元通过银行转账到市人社局账户。</w:t>
      </w:r>
    </w:p>
    <w:p>
      <w:pPr>
        <w:pStyle w:val="45"/>
        <w:autoSpaceDN w:val="0"/>
        <w:spacing w:line="580" w:lineRule="exact"/>
        <w:ind w:firstLine="640" w:firstLineChars="200"/>
        <w:jc w:val="both"/>
        <w:rPr>
          <w:rFonts w:hint="eastAsia" w:ascii="宋体" w:hAnsi="宋体" w:eastAsia="宋体" w:cs="宋体"/>
          <w:bCs/>
          <w:sz w:val="24"/>
          <w:szCs w:val="24"/>
          <w:lang w:eastAsia="zh-CN"/>
        </w:rPr>
      </w:pPr>
      <w:r>
        <w:rPr>
          <w:color w:val="000000"/>
          <w:sz w:val="32"/>
          <w:szCs w:val="32"/>
          <w:lang w:eastAsia="zh-CN"/>
        </w:rPr>
        <w:t>评价分析认为</w:t>
      </w:r>
      <w:r>
        <w:rPr>
          <w:rFonts w:hint="eastAsia" w:ascii="Times New Roman" w:hAnsi="Times New Roman" w:cs="Times New Roman"/>
          <w:color w:val="000000"/>
          <w:sz w:val="32"/>
          <w:szCs w:val="32"/>
          <w:lang w:eastAsia="zh-CN"/>
        </w:rPr>
        <w:t>：该项目较计划成本有所节约，但缺少成本节约和成本控制措施。</w:t>
      </w:r>
    </w:p>
    <w:p>
      <w:pPr>
        <w:pStyle w:val="4"/>
        <w:adjustRightInd w:val="0"/>
        <w:snapToGrid w:val="0"/>
        <w:spacing w:line="580" w:lineRule="exact"/>
        <w:ind w:firstLine="642" w:firstLineChars="200"/>
        <w:jc w:val="both"/>
        <w:rPr>
          <w:rFonts w:ascii="Times New Roman" w:hAnsi="Times New Roman" w:eastAsia="楷体_GB2312"/>
          <w:bCs w:val="0"/>
          <w:sz w:val="32"/>
        </w:rPr>
      </w:pPr>
      <w:bookmarkStart w:id="124" w:name="_Toc7860"/>
      <w:r>
        <w:rPr>
          <w:rFonts w:ascii="Times New Roman" w:hAnsi="Times New Roman" w:eastAsia="楷体_GB2312"/>
          <w:bCs w:val="0"/>
          <w:sz w:val="32"/>
        </w:rPr>
        <w:t>（四）项目效益情况</w:t>
      </w:r>
      <w:bookmarkEnd w:id="116"/>
      <w:bookmarkEnd w:id="117"/>
      <w:bookmarkEnd w:id="118"/>
      <w:bookmarkEnd w:id="119"/>
      <w:bookmarkEnd w:id="120"/>
      <w:bookmarkEnd w:id="121"/>
      <w:bookmarkEnd w:id="122"/>
      <w:bookmarkEnd w:id="123"/>
      <w:bookmarkEnd w:id="124"/>
    </w:p>
    <w:p>
      <w:pPr>
        <w:adjustRightInd w:val="0"/>
        <w:snapToGrid w:val="0"/>
        <w:spacing w:line="580" w:lineRule="exact"/>
        <w:ind w:firstLine="640"/>
        <w:rPr>
          <w:rFonts w:eastAsia="仿宋_GB2312"/>
          <w:b/>
          <w:bCs/>
          <w:color w:val="000000"/>
          <w:kern w:val="0"/>
          <w:sz w:val="32"/>
          <w:szCs w:val="32"/>
        </w:rPr>
      </w:pPr>
      <w:bookmarkStart w:id="125" w:name="_Toc15382"/>
      <w:r>
        <w:rPr>
          <w:rFonts w:eastAsia="仿宋_GB2312"/>
          <w:b/>
          <w:bCs/>
          <w:color w:val="000000"/>
          <w:kern w:val="0"/>
          <w:sz w:val="32"/>
          <w:szCs w:val="32"/>
        </w:rPr>
        <w:t>1.实施效益情况分析</w:t>
      </w:r>
    </w:p>
    <w:p>
      <w:pPr>
        <w:adjustRightInd w:val="0"/>
        <w:snapToGrid w:val="0"/>
        <w:spacing w:line="580" w:lineRule="exact"/>
        <w:ind w:firstLine="640"/>
        <w:rPr>
          <w:rFonts w:eastAsia="仿宋_GB2312"/>
          <w:color w:val="000000"/>
          <w:kern w:val="0"/>
          <w:sz w:val="32"/>
          <w:szCs w:val="32"/>
        </w:rPr>
      </w:pPr>
      <w:r>
        <w:rPr>
          <w:rFonts w:hint="eastAsia" w:eastAsia="仿宋_GB2312"/>
          <w:color w:val="000000"/>
          <w:kern w:val="0"/>
          <w:sz w:val="32"/>
          <w:szCs w:val="32"/>
        </w:rPr>
        <w:t>该项目实施过程中，依托高级研修班教学评估统计表，对培训方案、实施与效果进行系统性量化评估，为绩效提升提供精准指引。评估结果显示，教学方案紧密围绕新一代信息技术等14个重点领域及10个现代服务业领域的技术迭代需求，</w:t>
      </w:r>
      <w:r>
        <w:rPr>
          <w:rFonts w:hint="eastAsia" w:eastAsia="仿宋_GB2312"/>
          <w:color w:val="000000"/>
          <w:kern w:val="0"/>
          <w:sz w:val="32"/>
          <w:szCs w:val="32"/>
          <w:lang w:eastAsia="zh-CN"/>
        </w:rPr>
        <w:t>教学方案</w:t>
      </w:r>
      <w:r>
        <w:rPr>
          <w:rFonts w:hint="eastAsia" w:eastAsia="仿宋_GB2312"/>
          <w:color w:val="000000"/>
          <w:kern w:val="0"/>
          <w:sz w:val="32"/>
          <w:szCs w:val="32"/>
        </w:rPr>
        <w:t>与课程目标</w:t>
      </w:r>
      <w:r>
        <w:rPr>
          <w:rFonts w:hint="eastAsia" w:eastAsia="仿宋_GB2312"/>
          <w:color w:val="000000"/>
          <w:kern w:val="0"/>
          <w:sz w:val="32"/>
          <w:szCs w:val="32"/>
          <w:lang w:eastAsia="zh-CN"/>
        </w:rPr>
        <w:t>的</w:t>
      </w:r>
      <w:r>
        <w:rPr>
          <w:rFonts w:hint="eastAsia" w:eastAsia="仿宋_GB2312"/>
          <w:color w:val="000000"/>
          <w:kern w:val="0"/>
          <w:sz w:val="32"/>
          <w:szCs w:val="32"/>
        </w:rPr>
        <w:t>实现高度契合，充分体现其前瞻性与专业性；由外聘专家与行业骨干组成的 “双师型” 师资团队，凭借深厚的专业功底与出色的教学能力，获得学员广泛认可。​</w:t>
      </w:r>
    </w:p>
    <w:p>
      <w:pPr>
        <w:adjustRightInd w:val="0"/>
        <w:snapToGrid w:val="0"/>
        <w:spacing w:line="580" w:lineRule="exact"/>
        <w:ind w:firstLine="640"/>
        <w:rPr>
          <w:rFonts w:eastAsia="仿宋_GB2312"/>
          <w:color w:val="000000"/>
          <w:kern w:val="0"/>
          <w:sz w:val="32"/>
          <w:szCs w:val="32"/>
        </w:rPr>
      </w:pPr>
      <w:r>
        <w:rPr>
          <w:rFonts w:hint="eastAsia" w:eastAsia="仿宋_GB2312"/>
          <w:color w:val="000000"/>
          <w:kern w:val="0"/>
          <w:sz w:val="32"/>
          <w:szCs w:val="32"/>
        </w:rPr>
        <w:t>在培训效果评估中，学员普遍反馈专业知识与实践技能得到显著提升，大量学员将所学知识成功应用于实际工作，助力所在单位解决诸多技术难题，充分验证培训内容的实用性与高转化价值。各研修班总体评估优秀率达100%，全方位彰显课程质量、教学管理、成果转化的卓越成效。此外，</w:t>
      </w:r>
      <w:r>
        <w:rPr>
          <w:rFonts w:hint="eastAsia" w:eastAsia="仿宋_GB2312"/>
          <w:color w:val="000000"/>
          <w:kern w:val="0"/>
          <w:sz w:val="32"/>
          <w:szCs w:val="32"/>
          <w:lang w:eastAsia="zh-CN"/>
        </w:rPr>
        <w:t>该项目</w:t>
      </w:r>
      <w:r>
        <w:rPr>
          <w:rFonts w:hint="eastAsia" w:eastAsia="仿宋_GB2312"/>
          <w:color w:val="000000"/>
          <w:kern w:val="0"/>
          <w:sz w:val="32"/>
          <w:szCs w:val="32"/>
        </w:rPr>
        <w:t>通过京津冀协同招生机制，切实带动津冀地区 548 名中高级人才能力升级，有力促进区域人才资源均衡发展，为北京高技术人才建设与京津冀产业协同发展提供坚实的人才支撑与智力保障。</w:t>
      </w:r>
    </w:p>
    <w:p>
      <w:pPr>
        <w:adjustRightInd w:val="0"/>
        <w:snapToGrid w:val="0"/>
        <w:spacing w:line="580" w:lineRule="exact"/>
        <w:ind w:firstLine="640"/>
        <w:rPr>
          <w:rFonts w:eastAsia="仿宋_GB2312"/>
          <w:color w:val="000000"/>
          <w:kern w:val="0"/>
          <w:sz w:val="32"/>
          <w:szCs w:val="32"/>
        </w:rPr>
      </w:pPr>
      <w:r>
        <w:rPr>
          <w:rFonts w:eastAsia="仿宋_GB2312"/>
          <w:color w:val="000000"/>
          <w:kern w:val="0"/>
          <w:sz w:val="32"/>
          <w:szCs w:val="32"/>
        </w:rPr>
        <w:t>评价分析认为：项目</w:t>
      </w:r>
      <w:r>
        <w:rPr>
          <w:rFonts w:hint="eastAsia" w:eastAsia="仿宋_GB2312"/>
          <w:color w:val="000000"/>
          <w:kern w:val="0"/>
          <w:sz w:val="32"/>
          <w:szCs w:val="32"/>
        </w:rPr>
        <w:t>实现的效益较好，但项目培训效果呈现不充分，对于学员培训效果的检验需进一步加强。作为延续性项目，从项目角度来看，年度绩效和多年累计绩效的边界不清晰；从受训人员能力提升角度来看，未见针对专业技术人才知识更新参加人员的培训台账、每个参加培训培养人员能力逐年提高的支撑文件。</w:t>
      </w:r>
    </w:p>
    <w:p>
      <w:pPr>
        <w:adjustRightInd w:val="0"/>
        <w:snapToGrid w:val="0"/>
        <w:spacing w:line="580" w:lineRule="exact"/>
        <w:ind w:firstLine="640"/>
        <w:rPr>
          <w:rFonts w:eastAsia="仿宋_GB2312"/>
          <w:b/>
          <w:bCs/>
          <w:color w:val="000000"/>
          <w:kern w:val="0"/>
          <w:sz w:val="32"/>
          <w:szCs w:val="32"/>
        </w:rPr>
      </w:pPr>
      <w:r>
        <w:rPr>
          <w:rFonts w:eastAsia="仿宋_GB2312"/>
          <w:b/>
          <w:bCs/>
          <w:color w:val="000000"/>
          <w:kern w:val="0"/>
          <w:sz w:val="32"/>
          <w:szCs w:val="32"/>
        </w:rPr>
        <w:t>2.满意度情况分析</w:t>
      </w:r>
    </w:p>
    <w:bookmarkEnd w:id="125"/>
    <w:p>
      <w:pPr>
        <w:adjustRightInd w:val="0"/>
        <w:snapToGrid w:val="0"/>
        <w:spacing w:line="580" w:lineRule="exact"/>
        <w:ind w:firstLine="640"/>
        <w:rPr>
          <w:rFonts w:eastAsia="仿宋_GB2312"/>
          <w:color w:val="000000"/>
          <w:kern w:val="0"/>
          <w:sz w:val="32"/>
          <w:szCs w:val="32"/>
        </w:rPr>
      </w:pPr>
      <w:bookmarkStart w:id="126" w:name="_Toc23399"/>
      <w:bookmarkStart w:id="127" w:name="_Toc19455"/>
      <w:r>
        <w:rPr>
          <w:rFonts w:hint="eastAsia" w:eastAsia="仿宋_GB2312"/>
          <w:color w:val="000000"/>
          <w:kern w:val="0"/>
          <w:sz w:val="32"/>
          <w:szCs w:val="32"/>
        </w:rPr>
        <w:t>2024年高级研修班严格对标“参训人员满意度≥90%” 的绩效指标，在研修结束后，通过发放问卷对师资、教学、服务管理三大核心维度开展满意度测评。本次调查面向全体参训学员，共发放问卷7504份，回收有效问卷6592 份，数据显示，95% 的学员对研修班给予 “非常满意” 或 “满意” 评价，超额完成既定目标，充分彰显研修班在课程质量、师资水平与服务保障上的优异表现。​</w:t>
      </w:r>
    </w:p>
    <w:p>
      <w:pPr>
        <w:adjustRightInd w:val="0"/>
        <w:snapToGrid w:val="0"/>
        <w:spacing w:line="580" w:lineRule="exact"/>
        <w:ind w:firstLine="640"/>
        <w:rPr>
          <w:rFonts w:eastAsia="仿宋_GB2312"/>
          <w:color w:val="000000"/>
          <w:kern w:val="0"/>
          <w:sz w:val="32"/>
          <w:szCs w:val="32"/>
        </w:rPr>
      </w:pPr>
      <w:r>
        <w:rPr>
          <w:rFonts w:eastAsia="仿宋_GB2312"/>
          <w:color w:val="000000"/>
          <w:kern w:val="0"/>
          <w:sz w:val="32"/>
          <w:szCs w:val="32"/>
        </w:rPr>
        <w:t>评价分析认为</w:t>
      </w:r>
      <w:r>
        <w:rPr>
          <w:rFonts w:hint="eastAsia" w:eastAsia="仿宋_GB2312"/>
          <w:color w:val="000000"/>
          <w:kern w:val="0"/>
          <w:sz w:val="32"/>
          <w:szCs w:val="32"/>
        </w:rPr>
        <w:t>：该项目整体满意度较高。同时，学员也为后续优化指明方向：部分学员建议延长单节培训时长至3小时以上，以深化知识学习；部分学员提出完善培训设施配置，增加培训桌等硬件设备；另有学员呼吁增加年度办班频次，满足持续学习需求。这些反馈表明，在研修方式、培训设施优化、时长科学规划及班次拓展等方面仍存在提升空间。</w:t>
      </w:r>
    </w:p>
    <w:p>
      <w:pPr>
        <w:adjustRightInd w:val="0"/>
        <w:snapToGrid w:val="0"/>
        <w:spacing w:line="580" w:lineRule="exact"/>
        <w:ind w:firstLine="640"/>
        <w:outlineLvl w:val="0"/>
        <w:rPr>
          <w:rFonts w:eastAsia="黑体"/>
          <w:sz w:val="32"/>
          <w:szCs w:val="32"/>
        </w:rPr>
      </w:pPr>
      <w:bookmarkStart w:id="128" w:name="_Toc16722"/>
      <w:bookmarkStart w:id="129" w:name="_Toc1932078701_WPSOffice_Level1"/>
      <w:bookmarkStart w:id="130" w:name="_Toc1780787296"/>
      <w:bookmarkStart w:id="131" w:name="_Toc13755"/>
      <w:bookmarkStart w:id="132" w:name="_Toc14467"/>
      <w:bookmarkStart w:id="133" w:name="_Toc22214"/>
      <w:bookmarkStart w:id="134" w:name="_Toc8724"/>
      <w:r>
        <w:rPr>
          <w:rFonts w:eastAsia="黑体"/>
          <w:sz w:val="32"/>
          <w:szCs w:val="32"/>
        </w:rPr>
        <w:t>五、主要</w:t>
      </w:r>
      <w:bookmarkEnd w:id="126"/>
      <w:bookmarkEnd w:id="127"/>
      <w:r>
        <w:rPr>
          <w:rFonts w:eastAsia="黑体"/>
          <w:sz w:val="32"/>
          <w:szCs w:val="32"/>
        </w:rPr>
        <w:t>经验及做法、存在的问题及原因分析</w:t>
      </w:r>
      <w:bookmarkEnd w:id="128"/>
      <w:bookmarkEnd w:id="129"/>
      <w:bookmarkEnd w:id="130"/>
      <w:bookmarkEnd w:id="131"/>
      <w:bookmarkEnd w:id="132"/>
      <w:bookmarkEnd w:id="133"/>
      <w:bookmarkEnd w:id="134"/>
      <w:bookmarkStart w:id="135" w:name="_Toc12899"/>
    </w:p>
    <w:p>
      <w:pPr>
        <w:adjustRightInd w:val="0"/>
        <w:snapToGrid w:val="0"/>
        <w:spacing w:line="580" w:lineRule="exact"/>
        <w:ind w:firstLine="640"/>
        <w:outlineLvl w:val="1"/>
        <w:rPr>
          <w:rFonts w:eastAsia="楷体_GB2312"/>
          <w:bCs/>
          <w:sz w:val="32"/>
          <w:szCs w:val="32"/>
        </w:rPr>
      </w:pPr>
      <w:bookmarkStart w:id="136" w:name="_Toc14802"/>
      <w:bookmarkStart w:id="137" w:name="_Toc346501420_WPSOffice_Level2"/>
      <w:bookmarkStart w:id="138" w:name="_Toc22706"/>
      <w:bookmarkStart w:id="139" w:name="_Toc17483"/>
      <w:bookmarkStart w:id="140" w:name="_Toc212495633"/>
      <w:bookmarkStart w:id="141" w:name="_Toc18245"/>
      <w:bookmarkStart w:id="142" w:name="_Toc13924"/>
      <w:r>
        <w:rPr>
          <w:rFonts w:eastAsia="楷体_GB2312"/>
          <w:b/>
          <w:bCs/>
          <w:kern w:val="0"/>
          <w:sz w:val="32"/>
          <w:szCs w:val="32"/>
        </w:rPr>
        <w:t>（一）主要经验及做法</w:t>
      </w:r>
      <w:bookmarkEnd w:id="136"/>
      <w:bookmarkEnd w:id="137"/>
      <w:bookmarkEnd w:id="138"/>
      <w:bookmarkEnd w:id="139"/>
      <w:bookmarkEnd w:id="140"/>
      <w:bookmarkEnd w:id="141"/>
      <w:bookmarkEnd w:id="142"/>
    </w:p>
    <w:p>
      <w:pPr>
        <w:spacing w:line="578" w:lineRule="exact"/>
        <w:ind w:firstLine="640"/>
        <w:rPr>
          <w:rFonts w:hint="eastAsia" w:ascii="仿宋_GB2312" w:hAnsi="仿宋_GB2312" w:eastAsia="仿宋_GB2312" w:cs="仿宋_GB2312"/>
          <w:sz w:val="32"/>
          <w:szCs w:val="32"/>
        </w:rPr>
      </w:pPr>
      <w:bookmarkStart w:id="143" w:name="_Toc148798870"/>
      <w:r>
        <w:rPr>
          <w:rFonts w:hint="eastAsia" w:eastAsia="仿宋_GB2312"/>
          <w:b/>
          <w:bCs/>
          <w:color w:val="000000"/>
          <w:kern w:val="0"/>
          <w:sz w:val="32"/>
          <w:szCs w:val="32"/>
        </w:rPr>
        <w:t>1.强化部门联动，协力推进项目工作落实。</w:t>
      </w:r>
      <w:r>
        <w:rPr>
          <w:rFonts w:hint="eastAsia" w:ascii="仿宋_GB2312" w:hAnsi="楷体" w:eastAsia="仿宋_GB2312"/>
          <w:b/>
          <w:sz w:val="32"/>
          <w:szCs w:val="32"/>
        </w:rPr>
        <w:t>一是办班单位重视。</w:t>
      </w:r>
      <w:r>
        <w:rPr>
          <w:rFonts w:hint="eastAsia" w:ascii="仿宋_GB2312" w:hAnsi="仿宋" w:eastAsia="仿宋_GB2312" w:cs="仿宋_GB2312"/>
          <w:sz w:val="32"/>
          <w:szCs w:val="32"/>
        </w:rPr>
        <w:t>各办班单位科学统筹，精心组织，专人负责，全力保障。尤其</w:t>
      </w:r>
      <w:r>
        <w:rPr>
          <w:rFonts w:ascii="仿宋_GB2312" w:hAnsi="仿宋" w:eastAsia="仿宋_GB2312" w:cs="仿宋_GB2312"/>
          <w:sz w:val="32"/>
          <w:szCs w:val="32"/>
        </w:rPr>
        <w:t>是</w:t>
      </w:r>
      <w:r>
        <w:rPr>
          <w:rFonts w:hint="eastAsia" w:ascii="仿宋_GB2312" w:hAnsi="仿宋" w:eastAsia="仿宋_GB2312" w:cs="仿宋_GB2312"/>
          <w:sz w:val="32"/>
          <w:szCs w:val="32"/>
        </w:rPr>
        <w:t>首次办班的单位，特别重视，高位推动，高质推进，高效落实，</w:t>
      </w:r>
      <w:r>
        <w:rPr>
          <w:rFonts w:hint="eastAsia" w:ascii="仿宋_GB2312" w:hAnsi="仿宋" w:eastAsia="仿宋_GB2312"/>
          <w:sz w:val="32"/>
          <w:szCs w:val="32"/>
        </w:rPr>
        <w:t>认真组织实施。</w:t>
      </w:r>
      <w:r>
        <w:rPr>
          <w:rFonts w:hint="eastAsia" w:ascii="仿宋_GB2312" w:hAnsi="楷体" w:eastAsia="仿宋_GB2312"/>
          <w:b/>
          <w:sz w:val="32"/>
          <w:szCs w:val="32"/>
        </w:rPr>
        <w:t>二是研修重点明确。</w:t>
      </w:r>
      <w:r>
        <w:rPr>
          <w:rFonts w:hint="eastAsia" w:ascii="仿宋_GB2312" w:hAnsi="仿宋" w:eastAsia="仿宋_GB2312"/>
          <w:sz w:val="32"/>
          <w:szCs w:val="32"/>
        </w:rPr>
        <w:t>各单位能够围</w:t>
      </w:r>
      <w:r>
        <w:rPr>
          <w:rFonts w:hint="eastAsia" w:ascii="仿宋" w:hAnsi="仿宋" w:eastAsia="仿宋"/>
          <w:kern w:val="0"/>
          <w:sz w:val="32"/>
          <w:szCs w:val="32"/>
        </w:rPr>
        <w:t>绕服务国家重大战略、区域协调发展和重点产业发展，</w:t>
      </w:r>
      <w:r>
        <w:rPr>
          <w:rFonts w:hint="eastAsia" w:ascii="仿宋_GB2312" w:hAnsi="仿宋" w:eastAsia="仿宋_GB2312"/>
          <w:sz w:val="32"/>
          <w:szCs w:val="32"/>
        </w:rPr>
        <w:t>结合本行业本领域组织研修，大部分班次还组织与天津、河北同行交流，</w:t>
      </w:r>
      <w:r>
        <w:rPr>
          <w:rFonts w:hint="eastAsia" w:ascii="仿宋_GB2312" w:eastAsia="仿宋_GB2312" w:cs="仿宋_GB2312"/>
          <w:sz w:val="32"/>
          <w:szCs w:val="32"/>
        </w:rPr>
        <w:t>目标明确，针对性很强。</w:t>
      </w:r>
      <w:r>
        <w:rPr>
          <w:rFonts w:hint="eastAsia" w:ascii="仿宋_GB2312" w:hAnsi="楷体" w:eastAsia="仿宋_GB2312"/>
          <w:b/>
          <w:sz w:val="32"/>
          <w:szCs w:val="32"/>
        </w:rPr>
        <w:t>三是研修方式多样。</w:t>
      </w:r>
      <w:r>
        <w:rPr>
          <w:rFonts w:hint="eastAsia" w:ascii="仿宋_GB2312" w:hAnsi="仿宋" w:eastAsia="仿宋_GB2312"/>
          <w:sz w:val="32"/>
          <w:szCs w:val="32"/>
        </w:rPr>
        <w:t>各单位高级研修班的办班形式灵活多样，普遍采取了政策解读、专题辅导、现场教学等形式，有的还采取了考察、评议、研讨等方式，线上+线下、集中或分段组织研修。</w:t>
      </w:r>
      <w:r>
        <w:rPr>
          <w:rFonts w:hint="eastAsia" w:ascii="仿宋_GB2312" w:hAnsi="楷体" w:eastAsia="仿宋_GB2312"/>
          <w:b/>
          <w:sz w:val="32"/>
          <w:szCs w:val="32"/>
        </w:rPr>
        <w:t>四是研修效果良好。</w:t>
      </w:r>
      <w:r>
        <w:rPr>
          <w:rFonts w:hint="eastAsia" w:ascii="仿宋_GB2312" w:hAnsi="仿宋" w:eastAsia="仿宋_GB2312"/>
          <w:sz w:val="32"/>
          <w:szCs w:val="32"/>
        </w:rPr>
        <w:t>大部分单位聘请了较高理论水平和丰富实践经验的专家学者承担授课任务，选编高质量的教材和参考资料。通过交流，有些问题第一时间就得到解决，取得了</w:t>
      </w:r>
      <w:r>
        <w:rPr>
          <w:rFonts w:ascii="仿宋_GB2312" w:hAnsi="仿宋" w:eastAsia="仿宋_GB2312"/>
          <w:sz w:val="32"/>
          <w:szCs w:val="32"/>
        </w:rPr>
        <w:t>良好效果。</w:t>
      </w:r>
    </w:p>
    <w:bookmarkEnd w:id="143"/>
    <w:p>
      <w:pPr>
        <w:adjustRightInd w:val="0"/>
        <w:snapToGrid w:val="0"/>
        <w:spacing w:line="580" w:lineRule="exact"/>
        <w:ind w:firstLine="640"/>
        <w:outlineLvl w:val="1"/>
        <w:rPr>
          <w:rFonts w:eastAsia="楷体_GB2312"/>
          <w:b/>
          <w:bCs/>
          <w:kern w:val="0"/>
          <w:sz w:val="32"/>
          <w:szCs w:val="32"/>
        </w:rPr>
      </w:pPr>
      <w:bookmarkStart w:id="144" w:name="_Toc27118"/>
      <w:bookmarkStart w:id="145" w:name="_Toc25960"/>
      <w:bookmarkStart w:id="146" w:name="_Toc1821198923_WPSOffice_Level2"/>
      <w:bookmarkStart w:id="147" w:name="_Toc18669"/>
      <w:bookmarkStart w:id="148" w:name="_Toc26459"/>
      <w:bookmarkStart w:id="149" w:name="_Toc1191642982"/>
      <w:bookmarkStart w:id="150" w:name="_Toc23526"/>
      <w:r>
        <w:rPr>
          <w:rFonts w:eastAsia="楷体_GB2312"/>
          <w:b/>
          <w:bCs/>
          <w:kern w:val="0"/>
          <w:sz w:val="32"/>
          <w:szCs w:val="32"/>
        </w:rPr>
        <w:t>（二）存在的问题及原因分析</w:t>
      </w:r>
      <w:bookmarkEnd w:id="144"/>
      <w:bookmarkEnd w:id="145"/>
      <w:bookmarkEnd w:id="146"/>
      <w:bookmarkEnd w:id="147"/>
      <w:bookmarkEnd w:id="148"/>
      <w:bookmarkEnd w:id="149"/>
      <w:bookmarkEnd w:id="150"/>
    </w:p>
    <w:bookmarkEnd w:id="135"/>
    <w:p>
      <w:pPr>
        <w:adjustRightInd w:val="0"/>
        <w:snapToGrid w:val="0"/>
        <w:spacing w:line="580" w:lineRule="exact"/>
        <w:ind w:firstLine="640"/>
        <w:rPr>
          <w:rFonts w:eastAsia="仿宋_GB2312"/>
          <w:kern w:val="0"/>
          <w:sz w:val="32"/>
          <w:szCs w:val="32"/>
        </w:rPr>
      </w:pPr>
      <w:bookmarkStart w:id="151" w:name="_Toc20926"/>
      <w:bookmarkStart w:id="152" w:name="_Toc5371"/>
      <w:r>
        <w:rPr>
          <w:rFonts w:eastAsia="仿宋_GB2312"/>
          <w:b/>
          <w:bCs/>
          <w:kern w:val="0"/>
          <w:sz w:val="32"/>
          <w:szCs w:val="32"/>
        </w:rPr>
        <w:t>1.</w:t>
      </w:r>
      <w:r>
        <w:rPr>
          <w:rFonts w:hint="eastAsia" w:eastAsia="仿宋_GB2312"/>
          <w:b/>
          <w:bCs/>
          <w:kern w:val="0"/>
          <w:sz w:val="32"/>
          <w:szCs w:val="32"/>
        </w:rPr>
        <w:t>前期论证调研不足。一</w:t>
      </w:r>
      <w:r>
        <w:rPr>
          <w:rFonts w:hint="eastAsia" w:eastAsia="仿宋_GB2312"/>
          <w:b/>
          <w:bCs/>
          <w:kern w:val="0"/>
          <w:sz w:val="32"/>
          <w:szCs w:val="32"/>
          <w:lang w:eastAsia="zh-CN"/>
        </w:rPr>
        <w:t>、</w:t>
      </w:r>
      <w:r>
        <w:rPr>
          <w:rFonts w:hint="eastAsia" w:ascii="仿宋_GB2312" w:hAnsi="仿宋" w:eastAsia="仿宋_GB2312"/>
          <w:sz w:val="32"/>
          <w:szCs w:val="32"/>
        </w:rPr>
        <w:t>缺少总体培训规划方案，对不同类型、不同层级、不同专业的技术人才进行整体培训规划；二</w:t>
      </w:r>
      <w:r>
        <w:rPr>
          <w:rFonts w:hint="eastAsia" w:ascii="仿宋_GB2312" w:hAnsi="仿宋" w:eastAsia="仿宋_GB2312"/>
          <w:sz w:val="32"/>
          <w:szCs w:val="32"/>
          <w:lang w:eastAsia="zh-CN"/>
        </w:rPr>
        <w:t>、</w:t>
      </w:r>
      <w:r>
        <w:rPr>
          <w:rFonts w:hint="eastAsia" w:ascii="仿宋_GB2312" w:hAnsi="仿宋" w:eastAsia="仿宋_GB2312"/>
          <w:sz w:val="32"/>
          <w:szCs w:val="32"/>
        </w:rPr>
        <w:t>年度重点培训方向的选择论证过程资料提供不够充分，缺少</w:t>
      </w:r>
      <w:r>
        <w:rPr>
          <w:rFonts w:hint="eastAsia" w:ascii="仿宋_GB2312" w:hAnsi="仿宋" w:eastAsia="仿宋_GB2312"/>
          <w:sz w:val="32"/>
          <w:szCs w:val="32"/>
          <w:lang w:eastAsia="zh-CN"/>
        </w:rPr>
        <w:t>向</w:t>
      </w:r>
      <w:r>
        <w:rPr>
          <w:rFonts w:hint="eastAsia" w:ascii="仿宋_GB2312" w:hAnsi="仿宋" w:eastAsia="仿宋_GB2312"/>
          <w:sz w:val="32"/>
          <w:szCs w:val="32"/>
        </w:rPr>
        <w:t>专业技术人员征求培训需求</w:t>
      </w:r>
      <w:r>
        <w:rPr>
          <w:rFonts w:hint="eastAsia" w:ascii="仿宋_GB2312" w:hAnsi="仿宋" w:eastAsia="仿宋_GB2312"/>
          <w:sz w:val="32"/>
          <w:szCs w:val="32"/>
          <w:lang w:eastAsia="zh-CN"/>
        </w:rPr>
        <w:t>的记录</w:t>
      </w:r>
      <w:r>
        <w:rPr>
          <w:rFonts w:hint="eastAsia" w:ascii="仿宋_GB2312" w:hAnsi="仿宋" w:eastAsia="仿宋_GB2312"/>
          <w:sz w:val="32"/>
          <w:szCs w:val="32"/>
        </w:rPr>
        <w:t>；三</w:t>
      </w:r>
      <w:r>
        <w:rPr>
          <w:rFonts w:hint="eastAsia" w:ascii="仿宋_GB2312" w:hAnsi="仿宋" w:eastAsia="仿宋_GB2312"/>
          <w:sz w:val="32"/>
          <w:szCs w:val="32"/>
          <w:lang w:eastAsia="zh-CN"/>
        </w:rPr>
        <w:t>、</w:t>
      </w:r>
      <w:r>
        <w:rPr>
          <w:rFonts w:hint="eastAsia" w:ascii="仿宋_GB2312" w:hAnsi="仿宋" w:eastAsia="仿宋_GB2312"/>
          <w:sz w:val="32"/>
          <w:szCs w:val="32"/>
        </w:rPr>
        <w:t>是业务需求呈现不足，2024年北京市高级研修班选题与“14+10”重点领域大规模知识更新继续教育的</w:t>
      </w:r>
      <w:r>
        <w:rPr>
          <w:rFonts w:hint="eastAsia" w:ascii="仿宋_GB2312" w:hAnsi="仿宋" w:eastAsia="仿宋_GB2312"/>
          <w:sz w:val="32"/>
          <w:szCs w:val="32"/>
          <w:lang w:eastAsia="zh-CN"/>
        </w:rPr>
        <w:t>契合度</w:t>
      </w:r>
      <w:r>
        <w:rPr>
          <w:rFonts w:hint="eastAsia" w:ascii="仿宋_GB2312" w:hAnsi="仿宋" w:eastAsia="仿宋_GB2312"/>
          <w:sz w:val="32"/>
          <w:szCs w:val="32"/>
        </w:rPr>
        <w:t>细化</w:t>
      </w:r>
      <w:r>
        <w:rPr>
          <w:rFonts w:hint="eastAsia" w:ascii="仿宋_GB2312" w:hAnsi="仿宋" w:eastAsia="仿宋_GB2312"/>
          <w:sz w:val="32"/>
          <w:szCs w:val="32"/>
          <w:lang w:eastAsia="zh-CN"/>
        </w:rPr>
        <w:t>性</w:t>
      </w:r>
      <w:r>
        <w:rPr>
          <w:rFonts w:hint="eastAsia" w:ascii="仿宋_GB2312" w:hAnsi="仿宋" w:eastAsia="仿宋_GB2312"/>
          <w:sz w:val="32"/>
          <w:szCs w:val="32"/>
        </w:rPr>
        <w:t>不足。</w:t>
      </w:r>
    </w:p>
    <w:p>
      <w:pPr>
        <w:adjustRightInd w:val="0"/>
        <w:snapToGrid w:val="0"/>
        <w:spacing w:line="580" w:lineRule="exact"/>
        <w:ind w:firstLine="640"/>
        <w:rPr>
          <w:rFonts w:eastAsia="仿宋_GB2312"/>
          <w:bCs/>
          <w:sz w:val="32"/>
          <w:szCs w:val="32"/>
        </w:rPr>
      </w:pPr>
      <w:r>
        <w:rPr>
          <w:rFonts w:hint="eastAsia" w:eastAsia="仿宋_GB2312"/>
          <w:b/>
          <w:bCs/>
          <w:kern w:val="0"/>
          <w:sz w:val="32"/>
          <w:szCs w:val="32"/>
        </w:rPr>
        <w:t>2.预算编制不够规范。</w:t>
      </w:r>
      <w:r>
        <w:rPr>
          <w:rFonts w:hint="eastAsia" w:eastAsia="仿宋_GB2312"/>
          <w:bCs/>
          <w:sz w:val="32"/>
          <w:szCs w:val="32"/>
        </w:rPr>
        <w:t>高级研修班平均每班给予6万元资助、高级研修班专家评审劳务费2000元/人没有预算编制依据。项目预算执行与编制内容对应性不足。例如，每期按照550元/人天* 3天*50人进行资助测算，未见到每期培训整体费用构成，以及本项目在整体费用中发挥</w:t>
      </w:r>
      <w:r>
        <w:rPr>
          <w:rFonts w:hint="eastAsia" w:eastAsia="仿宋_GB2312"/>
          <w:bCs/>
          <w:sz w:val="32"/>
          <w:szCs w:val="32"/>
          <w:lang w:eastAsia="zh-CN"/>
        </w:rPr>
        <w:t>的</w:t>
      </w:r>
      <w:r>
        <w:rPr>
          <w:rFonts w:hint="eastAsia" w:eastAsia="仿宋_GB2312"/>
          <w:bCs/>
          <w:sz w:val="32"/>
          <w:szCs w:val="32"/>
        </w:rPr>
        <w:t>作用。</w:t>
      </w:r>
    </w:p>
    <w:p>
      <w:pPr>
        <w:pStyle w:val="45"/>
        <w:autoSpaceDN w:val="0"/>
        <w:spacing w:line="580" w:lineRule="exact"/>
        <w:ind w:firstLine="642" w:firstLineChars="200"/>
        <w:jc w:val="both"/>
        <w:rPr>
          <w:rFonts w:ascii="Times New Roman" w:hAnsi="Times New Roman" w:cs="Times New Roman"/>
          <w:sz w:val="32"/>
          <w:szCs w:val="32"/>
          <w:lang w:eastAsia="zh-CN"/>
        </w:rPr>
      </w:pPr>
      <w:r>
        <w:rPr>
          <w:rFonts w:hint="eastAsia" w:ascii="Times New Roman" w:hAnsi="Times New Roman" w:cs="Times New Roman"/>
          <w:b/>
          <w:bCs/>
          <w:sz w:val="32"/>
          <w:szCs w:val="32"/>
          <w:lang w:eastAsia="zh-CN"/>
        </w:rPr>
        <w:t>3.绩效指标设置不合理。</w:t>
      </w:r>
      <w:r>
        <w:rPr>
          <w:rFonts w:hint="eastAsia" w:ascii="Times New Roman" w:hAnsi="Times New Roman" w:cs="Times New Roman"/>
          <w:sz w:val="32"/>
          <w:szCs w:val="32"/>
          <w:lang w:eastAsia="zh-CN"/>
        </w:rPr>
        <w:t>绩效目标申报表中，培训人员的合格率设置的是90%，存在一定的不科学性，培训合格率应该达到100%，对培训的专业领域未进行描述和界定，对不同专业的技术人才培训班培训期数和人数未明确描述。效益指标不够量化；满意度指标应增设“承办单位满意度”。</w:t>
      </w:r>
    </w:p>
    <w:p>
      <w:pPr>
        <w:adjustRightInd w:val="0"/>
        <w:snapToGrid w:val="0"/>
        <w:spacing w:line="580" w:lineRule="exact"/>
        <w:ind w:firstLine="640"/>
        <w:outlineLvl w:val="0"/>
        <w:rPr>
          <w:rFonts w:eastAsia="黑体"/>
          <w:sz w:val="32"/>
          <w:szCs w:val="32"/>
        </w:rPr>
      </w:pPr>
      <w:bookmarkStart w:id="153" w:name="_Toc5416"/>
      <w:bookmarkStart w:id="154" w:name="_Toc10644"/>
      <w:bookmarkStart w:id="155" w:name="_Toc1096674552"/>
      <w:bookmarkStart w:id="156" w:name="_Toc805878170_WPSOffice_Level1"/>
      <w:bookmarkStart w:id="157" w:name="_Toc11236"/>
      <w:bookmarkStart w:id="158" w:name="_Toc9420"/>
      <w:bookmarkStart w:id="159" w:name="_Toc3259"/>
      <w:r>
        <w:rPr>
          <w:rFonts w:eastAsia="黑体"/>
          <w:sz w:val="32"/>
          <w:szCs w:val="32"/>
        </w:rPr>
        <w:t>六、有关建议</w:t>
      </w:r>
      <w:bookmarkEnd w:id="151"/>
      <w:bookmarkEnd w:id="152"/>
      <w:bookmarkEnd w:id="153"/>
      <w:bookmarkEnd w:id="154"/>
      <w:bookmarkEnd w:id="155"/>
      <w:bookmarkEnd w:id="156"/>
      <w:bookmarkEnd w:id="157"/>
      <w:bookmarkEnd w:id="158"/>
      <w:bookmarkEnd w:id="159"/>
    </w:p>
    <w:p>
      <w:pPr>
        <w:adjustRightInd w:val="0"/>
        <w:snapToGrid w:val="0"/>
        <w:spacing w:line="580" w:lineRule="exact"/>
        <w:ind w:firstLine="643"/>
        <w:textAlignment w:val="baseline"/>
        <w:rPr>
          <w:rFonts w:hint="eastAsia" w:ascii="楷体" w:hAnsi="楷体" w:eastAsia="楷体" w:cs="楷体"/>
          <w:b/>
          <w:bCs/>
          <w:kern w:val="0"/>
          <w:sz w:val="32"/>
          <w:szCs w:val="32"/>
        </w:rPr>
      </w:pPr>
      <w:bookmarkStart w:id="160" w:name="_Toc1229741495"/>
      <w:r>
        <w:rPr>
          <w:rFonts w:hint="eastAsia" w:ascii="楷体" w:hAnsi="楷体" w:eastAsia="楷体" w:cs="楷体"/>
          <w:b/>
          <w:bCs/>
          <w:kern w:val="0"/>
          <w:sz w:val="32"/>
          <w:szCs w:val="32"/>
        </w:rPr>
        <w:t>（一）加强项目前期需求论证</w:t>
      </w:r>
    </w:p>
    <w:p>
      <w:pPr>
        <w:adjustRightInd w:val="0"/>
        <w:snapToGrid w:val="0"/>
        <w:spacing w:line="580" w:lineRule="exact"/>
        <w:ind w:firstLine="640"/>
        <w:textAlignment w:val="baseline"/>
        <w:rPr>
          <w:rFonts w:eastAsia="仿宋_GB2312"/>
          <w:color w:val="000000"/>
          <w:kern w:val="0"/>
          <w:sz w:val="32"/>
          <w:szCs w:val="32"/>
        </w:rPr>
      </w:pPr>
      <w:r>
        <w:rPr>
          <w:rFonts w:hint="eastAsia" w:eastAsia="仿宋_GB2312"/>
          <w:color w:val="000000"/>
          <w:kern w:val="0"/>
          <w:sz w:val="32"/>
          <w:szCs w:val="32"/>
        </w:rPr>
        <w:t>建议针对北京市“14+10”重点领域的专业技术人才知识更新近几年的研修班投入规划和具体研修重点清单。建议建立一套全面且系统的需求分析征求机制，该机制需涵盖自上而下、自下而上两个维度，通过这样双向的征求方式，能够充分且深入地了解受益群体的培训需求，从而提升培训效益。分析行业人才缺口变化趋势，以需求导向、绩效产出、财政效能为核心指标，实时监测研修班开展情况。实施阶梯式调整，对战略新兴且符合市场需求的领域从优资助。</w:t>
      </w:r>
    </w:p>
    <w:bookmarkEnd w:id="160"/>
    <w:p>
      <w:pPr>
        <w:adjustRightInd w:val="0"/>
        <w:snapToGrid w:val="0"/>
        <w:spacing w:line="580" w:lineRule="exact"/>
        <w:ind w:firstLine="643"/>
        <w:textAlignment w:val="baseline"/>
        <w:rPr>
          <w:rFonts w:hint="eastAsia" w:ascii="楷体" w:hAnsi="楷体" w:eastAsia="楷体" w:cs="楷体"/>
          <w:b/>
          <w:bCs/>
          <w:kern w:val="0"/>
          <w:sz w:val="32"/>
          <w:szCs w:val="32"/>
        </w:rPr>
      </w:pPr>
      <w:bookmarkStart w:id="161" w:name="_Hlk167556589"/>
      <w:bookmarkStart w:id="162" w:name="_Toc821993324_WPSOffice_Level2"/>
      <w:bookmarkStart w:id="163" w:name="_Toc283979570_WPSOffice_Level2"/>
      <w:r>
        <w:rPr>
          <w:rFonts w:hint="eastAsia" w:ascii="楷体" w:hAnsi="楷体" w:eastAsia="楷体" w:cs="楷体"/>
          <w:b/>
          <w:bCs/>
          <w:kern w:val="0"/>
          <w:sz w:val="32"/>
          <w:szCs w:val="32"/>
        </w:rPr>
        <w:t>（二）优化项目预算编制</w:t>
      </w:r>
    </w:p>
    <w:p>
      <w:pPr>
        <w:pStyle w:val="5"/>
        <w:spacing w:line="580" w:lineRule="exact"/>
        <w:ind w:firstLineChars="200"/>
        <w:rPr>
          <w:rFonts w:eastAsia="仿宋_GB2312"/>
          <w:color w:val="000000"/>
          <w:kern w:val="0"/>
          <w:sz w:val="32"/>
          <w:szCs w:val="32"/>
        </w:rPr>
      </w:pPr>
      <w:r>
        <w:rPr>
          <w:rFonts w:hint="eastAsia"/>
        </w:rPr>
        <w:t xml:space="preserve">   </w:t>
      </w:r>
      <w:r>
        <w:rPr>
          <w:rFonts w:hint="eastAsia" w:eastAsia="仿宋_GB2312"/>
          <w:color w:val="000000"/>
          <w:kern w:val="0"/>
          <w:sz w:val="32"/>
          <w:szCs w:val="32"/>
        </w:rPr>
        <w:t>建议加强对项目预算编制</w:t>
      </w:r>
      <w:r>
        <w:rPr>
          <w:rFonts w:hint="eastAsia" w:eastAsia="仿宋_GB2312"/>
          <w:color w:val="000000"/>
          <w:kern w:val="0"/>
          <w:sz w:val="32"/>
          <w:szCs w:val="32"/>
          <w:lang w:eastAsia="zh-CN"/>
        </w:rPr>
        <w:t>的管理</w:t>
      </w:r>
      <w:r>
        <w:rPr>
          <w:rFonts w:hint="eastAsia" w:eastAsia="仿宋_GB2312"/>
          <w:color w:val="000000"/>
          <w:kern w:val="0"/>
          <w:sz w:val="32"/>
          <w:szCs w:val="32"/>
        </w:rPr>
        <w:t>，充分考虑政策延续性、年度重点领域变化情况及预算执行等因素，建立科学合理的预算标准，细化预算测算，提高预算编制的合理性，预算从“编制-执行-考核”的全链条闭环管理，强化预算管理的统筹力度，进一步提高资源配置使用效率。</w:t>
      </w:r>
    </w:p>
    <w:p>
      <w:pPr>
        <w:adjustRightInd w:val="0"/>
        <w:snapToGrid w:val="0"/>
        <w:spacing w:line="580" w:lineRule="exact"/>
        <w:ind w:firstLine="643"/>
        <w:textAlignment w:val="baseline"/>
        <w:rPr>
          <w:rFonts w:hint="eastAsia" w:ascii="楷体" w:hAnsi="楷体" w:eastAsia="楷体" w:cs="楷体"/>
          <w:b/>
          <w:bCs/>
          <w:kern w:val="0"/>
          <w:sz w:val="32"/>
          <w:szCs w:val="32"/>
        </w:rPr>
      </w:pPr>
      <w:r>
        <w:rPr>
          <w:rFonts w:hint="eastAsia" w:ascii="楷体" w:hAnsi="楷体" w:eastAsia="楷体" w:cs="楷体"/>
          <w:b/>
          <w:bCs/>
          <w:kern w:val="0"/>
          <w:sz w:val="32"/>
          <w:szCs w:val="32"/>
        </w:rPr>
        <w:t>（三）进一步规范绩效指标设置</w:t>
      </w:r>
    </w:p>
    <w:p>
      <w:pPr>
        <w:adjustRightInd w:val="0"/>
        <w:snapToGrid w:val="0"/>
        <w:spacing w:line="580" w:lineRule="exact"/>
        <w:ind w:firstLine="640"/>
        <w:textAlignment w:val="baseline"/>
        <w:rPr>
          <w:rFonts w:eastAsia="仿宋_GB2312"/>
          <w:color w:val="000000"/>
          <w:kern w:val="0"/>
          <w:sz w:val="32"/>
          <w:szCs w:val="32"/>
        </w:rPr>
      </w:pPr>
      <w:r>
        <w:rPr>
          <w:rFonts w:hint="eastAsia" w:eastAsia="仿宋_GB2312"/>
          <w:color w:val="000000"/>
          <w:kern w:val="0"/>
          <w:sz w:val="32"/>
          <w:szCs w:val="32"/>
        </w:rPr>
        <w:t>建议根据北京市对绩效目标和指标的编报要求，结合项目工作特点和实施内容，细化绩效目标填报，实现与项目目标和内容的对应，做到目标明确、细化、量化可衡量，如质量指标可以从“培训合格率”和“培训优秀率”两个维度进行考核高技术人才培训要求；效益指标可以设置“成果转化率”“获奖、升职、创新创业”，满意度可以增设“承办单位满意度”，更加全面地体现项目产出效益，提升绩效目标管理科学化和规范化水平，规范预算绩效目标管理，进一步强化财政资金支出绩效管理理念。</w:t>
      </w:r>
    </w:p>
    <w:bookmarkEnd w:id="161"/>
    <w:p>
      <w:pPr>
        <w:spacing w:line="580" w:lineRule="exact"/>
        <w:ind w:firstLine="640"/>
        <w:rPr>
          <w:rFonts w:eastAsia="仿宋_GB2312"/>
          <w:b/>
          <w:bCs/>
          <w:color w:val="000000"/>
          <w:kern w:val="0"/>
          <w:sz w:val="32"/>
          <w:szCs w:val="32"/>
        </w:rPr>
      </w:pPr>
    </w:p>
    <w:p>
      <w:pPr>
        <w:spacing w:line="580" w:lineRule="exact"/>
        <w:ind w:firstLine="640"/>
        <w:rPr>
          <w:rFonts w:eastAsia="仿宋_GB2312"/>
          <w:color w:val="000000"/>
          <w:kern w:val="0"/>
          <w:sz w:val="32"/>
          <w:szCs w:val="32"/>
        </w:rPr>
      </w:pPr>
      <w:r>
        <w:rPr>
          <w:rFonts w:eastAsia="仿宋_GB2312"/>
          <w:b/>
          <w:bCs/>
          <w:color w:val="000000"/>
          <w:kern w:val="0"/>
          <w:sz w:val="32"/>
          <w:szCs w:val="32"/>
        </w:rPr>
        <w:t>附件：</w:t>
      </w:r>
      <w:bookmarkEnd w:id="162"/>
      <w:bookmarkEnd w:id="163"/>
      <w:r>
        <w:rPr>
          <w:rFonts w:eastAsia="仿宋_GB2312"/>
          <w:color w:val="000000"/>
          <w:kern w:val="0"/>
          <w:sz w:val="32"/>
          <w:szCs w:val="32"/>
        </w:rPr>
        <w:t>1.项目绩效评价指标体系及评分表</w:t>
      </w:r>
    </w:p>
    <w:p>
      <w:pPr>
        <w:adjustRightInd w:val="0"/>
        <w:snapToGrid w:val="0"/>
        <w:spacing w:line="560" w:lineRule="exact"/>
        <w:ind w:firstLine="0" w:firstLineChars="0"/>
        <w:jc w:val="left"/>
        <w:rPr>
          <w:rFonts w:eastAsia="仿宋_GB2312"/>
          <w:color w:val="000000"/>
          <w:kern w:val="0"/>
          <w:sz w:val="32"/>
          <w:szCs w:val="32"/>
        </w:rPr>
      </w:pPr>
    </w:p>
    <w:p>
      <w:pPr>
        <w:adjustRightInd w:val="0"/>
        <w:snapToGrid w:val="0"/>
        <w:spacing w:line="560" w:lineRule="exact"/>
        <w:ind w:firstLine="640"/>
        <w:jc w:val="left"/>
        <w:rPr>
          <w:rFonts w:eastAsia="仿宋_GB2312"/>
          <w:color w:val="000000"/>
          <w:kern w:val="0"/>
          <w:sz w:val="32"/>
          <w:szCs w:val="32"/>
        </w:rPr>
      </w:pPr>
      <w:r>
        <w:rPr>
          <w:rFonts w:eastAsia="仿宋_GB2312"/>
          <w:color w:val="000000"/>
          <w:kern w:val="0"/>
          <w:sz w:val="32"/>
          <w:szCs w:val="32"/>
        </w:rPr>
        <w:t>附件1</w:t>
      </w:r>
    </w:p>
    <w:p>
      <w:pPr>
        <w:adjustRightInd w:val="0"/>
        <w:snapToGrid w:val="0"/>
        <w:spacing w:after="163" w:afterLines="50"/>
        <w:ind w:firstLine="723"/>
        <w:jc w:val="center"/>
        <w:rPr>
          <w:b/>
          <w:sz w:val="36"/>
          <w:szCs w:val="36"/>
        </w:rPr>
      </w:pPr>
      <w:r>
        <w:rPr>
          <w:b/>
          <w:sz w:val="36"/>
          <w:szCs w:val="36"/>
        </w:rPr>
        <w:t>项目绩效评价指标体系及评分表</w:t>
      </w:r>
    </w:p>
    <w:tbl>
      <w:tblPr>
        <w:tblStyle w:val="19"/>
        <w:tblW w:w="4998" w:type="pct"/>
        <w:tblInd w:w="0" w:type="dxa"/>
        <w:tblLayout w:type="fixed"/>
        <w:tblCellMar>
          <w:top w:w="0" w:type="dxa"/>
          <w:left w:w="108" w:type="dxa"/>
          <w:bottom w:w="0" w:type="dxa"/>
          <w:right w:w="108" w:type="dxa"/>
        </w:tblCellMar>
      </w:tblPr>
      <w:tblGrid>
        <w:gridCol w:w="656"/>
        <w:gridCol w:w="1077"/>
        <w:gridCol w:w="781"/>
        <w:gridCol w:w="1681"/>
        <w:gridCol w:w="783"/>
        <w:gridCol w:w="5077"/>
        <w:gridCol w:w="857"/>
        <w:gridCol w:w="2735"/>
      </w:tblGrid>
      <w:tr>
        <w:tblPrEx>
          <w:tblCellMar>
            <w:top w:w="0" w:type="dxa"/>
            <w:left w:w="108" w:type="dxa"/>
            <w:bottom w:w="0" w:type="dxa"/>
            <w:right w:w="108" w:type="dxa"/>
          </w:tblCellMar>
        </w:tblPrEx>
        <w:trPr>
          <w:trHeight w:val="310" w:hRule="atLeast"/>
        </w:trPr>
        <w:tc>
          <w:tcPr>
            <w:tcW w:w="240"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一级指标</w:t>
            </w:r>
          </w:p>
        </w:tc>
        <w:tc>
          <w:tcPr>
            <w:tcW w:w="39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二级指标</w:t>
            </w:r>
          </w:p>
        </w:tc>
        <w:tc>
          <w:tcPr>
            <w:tcW w:w="2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分值</w:t>
            </w:r>
          </w:p>
        </w:tc>
        <w:tc>
          <w:tcPr>
            <w:tcW w:w="61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三级指标</w:t>
            </w:r>
          </w:p>
        </w:tc>
        <w:tc>
          <w:tcPr>
            <w:tcW w:w="2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分值</w:t>
            </w:r>
          </w:p>
        </w:tc>
        <w:tc>
          <w:tcPr>
            <w:tcW w:w="18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指标解释</w:t>
            </w:r>
          </w:p>
        </w:tc>
        <w:tc>
          <w:tcPr>
            <w:tcW w:w="31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得分</w:t>
            </w:r>
          </w:p>
        </w:tc>
        <w:tc>
          <w:tcPr>
            <w:tcW w:w="10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扣分理由</w:t>
            </w:r>
          </w:p>
        </w:tc>
      </w:tr>
      <w:tr>
        <w:tblPrEx>
          <w:tblCellMar>
            <w:top w:w="0" w:type="dxa"/>
            <w:left w:w="108" w:type="dxa"/>
            <w:bottom w:w="0" w:type="dxa"/>
            <w:right w:w="108" w:type="dxa"/>
          </w:tblCellMar>
        </w:tblPrEx>
        <w:trPr>
          <w:trHeight w:val="778" w:hRule="atLeast"/>
        </w:trPr>
        <w:tc>
          <w:tcPr>
            <w:tcW w:w="240"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决策</w:t>
            </w:r>
          </w:p>
        </w:tc>
        <w:tc>
          <w:tcPr>
            <w:tcW w:w="393"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项目立项</w:t>
            </w:r>
          </w:p>
        </w:tc>
        <w:tc>
          <w:tcPr>
            <w:tcW w:w="286"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w:t>
            </w:r>
          </w:p>
        </w:tc>
        <w:tc>
          <w:tcPr>
            <w:tcW w:w="61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立项依据充分性</w:t>
            </w:r>
          </w:p>
        </w:tc>
        <w:tc>
          <w:tcPr>
            <w:tcW w:w="2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18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项目立项是否符合法律法规、相关政策、发展规划以及部门职责，用以反映和考核项目立项依据情况。</w:t>
            </w:r>
          </w:p>
        </w:tc>
        <w:tc>
          <w:tcPr>
            <w:tcW w:w="314" w:type="pc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rPr>
                <w:rFonts w:hint="eastAsia" w:ascii="宋体" w:hAnsi="宋体" w:cs="宋体"/>
                <w:color w:val="000000"/>
                <w:kern w:val="0"/>
                <w:sz w:val="20"/>
                <w:szCs w:val="20"/>
              </w:rPr>
            </w:pPr>
            <w:r>
              <w:rPr>
                <w:rFonts w:ascii="宋体" w:hAnsi="宋体" w:cs="宋体"/>
                <w:color w:val="000000"/>
                <w:kern w:val="0"/>
                <w:sz w:val="20"/>
                <w:szCs w:val="20"/>
              </w:rPr>
              <w:fldChar w:fldCharType="begin"/>
            </w:r>
            <w:r>
              <w:rPr>
                <w:rFonts w:ascii="宋体" w:hAnsi="宋体" w:cs="宋体"/>
                <w:color w:val="000000"/>
                <w:kern w:val="0"/>
                <w:sz w:val="20"/>
                <w:szCs w:val="20"/>
              </w:rPr>
              <w:instrText xml:space="preserve"> = average(D3:H3) \* MERGEFORMAT </w:instrText>
            </w:r>
            <w:r>
              <w:rPr>
                <w:rFonts w:ascii="宋体" w:hAnsi="宋体" w:cs="宋体"/>
                <w:color w:val="000000"/>
                <w:kern w:val="0"/>
                <w:sz w:val="20"/>
                <w:szCs w:val="20"/>
              </w:rPr>
              <w:fldChar w:fldCharType="separate"/>
            </w:r>
            <w:r>
              <w:rPr>
                <w:rFonts w:ascii="宋体" w:hAnsi="宋体" w:cs="宋体"/>
                <w:color w:val="000000"/>
                <w:kern w:val="0"/>
                <w:sz w:val="20"/>
                <w:szCs w:val="20"/>
              </w:rPr>
              <w:t>1.8</w:t>
            </w:r>
            <w:r>
              <w:rPr>
                <w:rFonts w:ascii="宋体" w:hAnsi="宋体" w:cs="宋体"/>
                <w:color w:val="000000"/>
                <w:kern w:val="0"/>
                <w:sz w:val="20"/>
                <w:szCs w:val="20"/>
              </w:rPr>
              <w:fldChar w:fldCharType="end"/>
            </w:r>
          </w:p>
        </w:tc>
        <w:tc>
          <w:tcPr>
            <w:tcW w:w="1001" w:type="pc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left"/>
              <w:textAlignment w:val="center"/>
              <w:rPr>
                <w:rFonts w:hint="eastAsia" w:ascii="宋体" w:hAnsi="宋体" w:cs="宋体"/>
                <w:color w:val="000000"/>
                <w:sz w:val="20"/>
                <w:szCs w:val="20"/>
              </w:rPr>
            </w:pPr>
          </w:p>
        </w:tc>
      </w:tr>
      <w:tr>
        <w:tblPrEx>
          <w:tblCellMar>
            <w:top w:w="0" w:type="dxa"/>
            <w:left w:w="108" w:type="dxa"/>
            <w:bottom w:w="0" w:type="dxa"/>
            <w:right w:w="108" w:type="dxa"/>
          </w:tblCellMar>
        </w:tblPrEx>
        <w:trPr>
          <w:trHeight w:val="737" w:hRule="atLeast"/>
        </w:trPr>
        <w:tc>
          <w:tcPr>
            <w:tcW w:w="24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393"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p>
        </w:tc>
        <w:tc>
          <w:tcPr>
            <w:tcW w:w="286"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61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立项程序规范性</w:t>
            </w:r>
          </w:p>
        </w:tc>
        <w:tc>
          <w:tcPr>
            <w:tcW w:w="2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18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项目申请、设立过程是否符合相关要求，用以反映和考核项目立项的规范情况。</w:t>
            </w:r>
          </w:p>
        </w:tc>
        <w:tc>
          <w:tcPr>
            <w:tcW w:w="314" w:type="pc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rPr>
                <w:rFonts w:hint="eastAsia" w:ascii="宋体" w:hAnsi="宋体" w:cs="宋体"/>
                <w:color w:val="000000"/>
                <w:kern w:val="0"/>
                <w:sz w:val="20"/>
                <w:szCs w:val="20"/>
              </w:rPr>
            </w:pPr>
            <w:r>
              <w:rPr>
                <w:rFonts w:ascii="宋体" w:hAnsi="宋体" w:cs="宋体"/>
                <w:color w:val="000000"/>
                <w:kern w:val="0"/>
                <w:sz w:val="20"/>
                <w:szCs w:val="20"/>
              </w:rPr>
              <w:fldChar w:fldCharType="begin"/>
            </w:r>
            <w:r>
              <w:rPr>
                <w:rFonts w:ascii="宋体" w:hAnsi="宋体" w:cs="宋体"/>
                <w:color w:val="000000"/>
                <w:kern w:val="0"/>
                <w:sz w:val="20"/>
                <w:szCs w:val="20"/>
              </w:rPr>
              <w:instrText xml:space="preserve"> = average(D4:H4) \* MERGEFORMAT </w:instrText>
            </w:r>
            <w:r>
              <w:rPr>
                <w:rFonts w:ascii="宋体" w:hAnsi="宋体" w:cs="宋体"/>
                <w:color w:val="000000"/>
                <w:kern w:val="0"/>
                <w:sz w:val="20"/>
                <w:szCs w:val="20"/>
              </w:rPr>
              <w:fldChar w:fldCharType="separate"/>
            </w:r>
            <w:r>
              <w:rPr>
                <w:rFonts w:ascii="宋体" w:hAnsi="宋体" w:cs="宋体"/>
                <w:color w:val="000000"/>
                <w:kern w:val="0"/>
                <w:sz w:val="20"/>
                <w:szCs w:val="20"/>
              </w:rPr>
              <w:t>1.66</w:t>
            </w:r>
            <w:r>
              <w:rPr>
                <w:rFonts w:ascii="宋体" w:hAnsi="宋体" w:cs="宋体"/>
                <w:color w:val="000000"/>
                <w:kern w:val="0"/>
                <w:sz w:val="20"/>
                <w:szCs w:val="20"/>
              </w:rPr>
              <w:fldChar w:fldCharType="end"/>
            </w:r>
          </w:p>
        </w:tc>
        <w:tc>
          <w:tcPr>
            <w:tcW w:w="10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r>
              <w:rPr>
                <w:rFonts w:hint="eastAsia" w:ascii="宋体" w:hAnsi="宋体" w:cs="宋体"/>
                <w:color w:val="000000"/>
                <w:sz w:val="20"/>
                <w:szCs w:val="20"/>
              </w:rPr>
              <w:t>需求论证充分性不足</w:t>
            </w:r>
          </w:p>
        </w:tc>
      </w:tr>
      <w:tr>
        <w:tblPrEx>
          <w:tblCellMar>
            <w:top w:w="0" w:type="dxa"/>
            <w:left w:w="108" w:type="dxa"/>
            <w:bottom w:w="0" w:type="dxa"/>
            <w:right w:w="108" w:type="dxa"/>
          </w:tblCellMar>
        </w:tblPrEx>
        <w:trPr>
          <w:trHeight w:val="1079" w:hRule="atLeast"/>
        </w:trPr>
        <w:tc>
          <w:tcPr>
            <w:tcW w:w="24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393"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绩效目标</w:t>
            </w:r>
          </w:p>
        </w:tc>
        <w:tc>
          <w:tcPr>
            <w:tcW w:w="286"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w:t>
            </w:r>
          </w:p>
        </w:tc>
        <w:tc>
          <w:tcPr>
            <w:tcW w:w="61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绩效目标合理性</w:t>
            </w:r>
          </w:p>
        </w:tc>
        <w:tc>
          <w:tcPr>
            <w:tcW w:w="2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w:t>
            </w:r>
          </w:p>
        </w:tc>
        <w:tc>
          <w:tcPr>
            <w:tcW w:w="18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项目所设定的绩效目标是否依据充分，是否符合客观实际，用以反映和考核项目绩效目标与项目实施的相符情况。</w:t>
            </w:r>
          </w:p>
        </w:tc>
        <w:tc>
          <w:tcPr>
            <w:tcW w:w="314" w:type="pc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rPr>
                <w:rFonts w:hint="eastAsia" w:ascii="宋体" w:hAnsi="宋体" w:cs="宋体"/>
                <w:color w:val="000000"/>
                <w:kern w:val="0"/>
                <w:sz w:val="22"/>
              </w:rPr>
            </w:pPr>
            <w:r>
              <w:rPr>
                <w:rFonts w:ascii="宋体" w:hAnsi="宋体" w:cs="宋体"/>
                <w:color w:val="000000"/>
                <w:kern w:val="0"/>
                <w:sz w:val="22"/>
              </w:rPr>
              <w:fldChar w:fldCharType="begin"/>
            </w:r>
            <w:r>
              <w:rPr>
                <w:rFonts w:ascii="宋体" w:hAnsi="宋体" w:cs="宋体"/>
                <w:color w:val="000000"/>
                <w:kern w:val="0"/>
                <w:sz w:val="22"/>
              </w:rPr>
              <w:instrText xml:space="preserve"> = average(D6:H6) \* MERGEFORMAT </w:instrText>
            </w:r>
            <w:r>
              <w:rPr>
                <w:rFonts w:ascii="宋体" w:hAnsi="宋体" w:cs="宋体"/>
                <w:color w:val="000000"/>
                <w:kern w:val="0"/>
                <w:sz w:val="22"/>
              </w:rPr>
              <w:fldChar w:fldCharType="separate"/>
            </w:r>
            <w:r>
              <w:rPr>
                <w:rFonts w:ascii="宋体" w:hAnsi="宋体" w:cs="宋体"/>
                <w:color w:val="000000"/>
                <w:kern w:val="0"/>
                <w:sz w:val="22"/>
              </w:rPr>
              <w:t>4.3</w:t>
            </w:r>
            <w:r>
              <w:rPr>
                <w:rFonts w:ascii="宋体" w:hAnsi="宋体" w:cs="宋体"/>
                <w:color w:val="000000"/>
                <w:kern w:val="0"/>
                <w:sz w:val="22"/>
              </w:rPr>
              <w:fldChar w:fldCharType="end"/>
            </w:r>
          </w:p>
        </w:tc>
        <w:tc>
          <w:tcPr>
            <w:tcW w:w="10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r>
              <w:rPr>
                <w:rFonts w:hint="eastAsia" w:ascii="宋体" w:hAnsi="宋体" w:cs="宋体"/>
                <w:color w:val="000000"/>
                <w:kern w:val="0"/>
                <w:sz w:val="20"/>
                <w:szCs w:val="20"/>
                <w:lang w:bidi="ar"/>
              </w:rPr>
              <w:t>部分指标不够合理</w:t>
            </w:r>
          </w:p>
        </w:tc>
      </w:tr>
      <w:tr>
        <w:tblPrEx>
          <w:tblCellMar>
            <w:top w:w="0" w:type="dxa"/>
            <w:left w:w="108" w:type="dxa"/>
            <w:bottom w:w="0" w:type="dxa"/>
            <w:right w:w="108" w:type="dxa"/>
          </w:tblCellMar>
        </w:tblPrEx>
        <w:trPr>
          <w:trHeight w:val="770" w:hRule="atLeast"/>
        </w:trPr>
        <w:tc>
          <w:tcPr>
            <w:tcW w:w="24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393"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p>
        </w:tc>
        <w:tc>
          <w:tcPr>
            <w:tcW w:w="286"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61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绩效指标明确性</w:t>
            </w:r>
          </w:p>
        </w:tc>
        <w:tc>
          <w:tcPr>
            <w:tcW w:w="2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w:t>
            </w:r>
          </w:p>
        </w:tc>
        <w:tc>
          <w:tcPr>
            <w:tcW w:w="18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依据绩效目标设定的绩效指标是否清晰、细化、可衡量等，用以反映和考核项目绩效目标的细化情况。</w:t>
            </w:r>
          </w:p>
        </w:tc>
        <w:tc>
          <w:tcPr>
            <w:tcW w:w="314" w:type="pc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rPr>
                <w:rFonts w:hint="eastAsia" w:ascii="宋体" w:hAnsi="宋体" w:cs="宋体"/>
                <w:color w:val="000000"/>
                <w:kern w:val="0"/>
                <w:sz w:val="22"/>
              </w:rPr>
            </w:pPr>
            <w:r>
              <w:rPr>
                <w:rFonts w:ascii="宋体" w:hAnsi="宋体" w:cs="宋体"/>
                <w:color w:val="000000"/>
                <w:kern w:val="0"/>
                <w:sz w:val="22"/>
              </w:rPr>
              <w:fldChar w:fldCharType="begin"/>
            </w:r>
            <w:r>
              <w:rPr>
                <w:rFonts w:ascii="宋体" w:hAnsi="宋体" w:cs="宋体"/>
                <w:color w:val="000000"/>
                <w:kern w:val="0"/>
                <w:sz w:val="22"/>
              </w:rPr>
              <w:instrText xml:space="preserve"> = average(D7:H7) \* MERGEFORMAT </w:instrText>
            </w:r>
            <w:r>
              <w:rPr>
                <w:rFonts w:ascii="宋体" w:hAnsi="宋体" w:cs="宋体"/>
                <w:color w:val="000000"/>
                <w:kern w:val="0"/>
                <w:sz w:val="22"/>
              </w:rPr>
              <w:fldChar w:fldCharType="separate"/>
            </w:r>
            <w:r>
              <w:rPr>
                <w:rFonts w:ascii="宋体" w:hAnsi="宋体" w:cs="宋体"/>
                <w:color w:val="000000"/>
                <w:kern w:val="0"/>
                <w:sz w:val="22"/>
              </w:rPr>
              <w:t>4</w:t>
            </w:r>
            <w:r>
              <w:rPr>
                <w:rFonts w:ascii="宋体" w:hAnsi="宋体" w:cs="宋体"/>
                <w:color w:val="000000"/>
                <w:kern w:val="0"/>
                <w:sz w:val="22"/>
              </w:rPr>
              <w:fldChar w:fldCharType="end"/>
            </w:r>
          </w:p>
        </w:tc>
        <w:tc>
          <w:tcPr>
            <w:tcW w:w="1001" w:type="pc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部分指标不够合理</w:t>
            </w:r>
          </w:p>
        </w:tc>
      </w:tr>
      <w:tr>
        <w:tblPrEx>
          <w:tblCellMar>
            <w:top w:w="0" w:type="dxa"/>
            <w:left w:w="108" w:type="dxa"/>
            <w:bottom w:w="0" w:type="dxa"/>
            <w:right w:w="108" w:type="dxa"/>
          </w:tblCellMar>
        </w:tblPrEx>
        <w:trPr>
          <w:trHeight w:val="1113" w:hRule="atLeast"/>
        </w:trPr>
        <w:tc>
          <w:tcPr>
            <w:tcW w:w="24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393"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资金投入</w:t>
            </w:r>
          </w:p>
        </w:tc>
        <w:tc>
          <w:tcPr>
            <w:tcW w:w="286"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6</w:t>
            </w:r>
          </w:p>
        </w:tc>
        <w:tc>
          <w:tcPr>
            <w:tcW w:w="61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预算编制科学性</w:t>
            </w:r>
          </w:p>
        </w:tc>
        <w:tc>
          <w:tcPr>
            <w:tcW w:w="2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w:t>
            </w:r>
          </w:p>
        </w:tc>
        <w:tc>
          <w:tcPr>
            <w:tcW w:w="18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项目预算编制是否经过科学论证、有明确标准，资金额度与年度目标是否相适应，用以反映和考核项目预算编制的科学性、合理性情况。</w:t>
            </w:r>
          </w:p>
        </w:tc>
        <w:tc>
          <w:tcPr>
            <w:tcW w:w="314" w:type="pc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rPr>
                <w:rFonts w:hint="eastAsia" w:ascii="宋体" w:hAnsi="宋体" w:cs="宋体"/>
                <w:color w:val="000000"/>
                <w:kern w:val="0"/>
                <w:sz w:val="20"/>
                <w:szCs w:val="20"/>
              </w:rPr>
            </w:pPr>
            <w:r>
              <w:rPr>
                <w:rFonts w:ascii="宋体" w:hAnsi="宋体" w:cs="宋体"/>
                <w:color w:val="000000"/>
                <w:kern w:val="0"/>
                <w:sz w:val="20"/>
                <w:szCs w:val="20"/>
              </w:rPr>
              <w:fldChar w:fldCharType="begin"/>
            </w:r>
            <w:r>
              <w:rPr>
                <w:rFonts w:ascii="宋体" w:hAnsi="宋体" w:cs="宋体"/>
                <w:color w:val="000000"/>
                <w:kern w:val="0"/>
                <w:sz w:val="20"/>
                <w:szCs w:val="20"/>
              </w:rPr>
              <w:instrText xml:space="preserve"> = average(D9:H9) \* MERGEFORMAT </w:instrText>
            </w:r>
            <w:r>
              <w:rPr>
                <w:rFonts w:ascii="宋体" w:hAnsi="宋体" w:cs="宋体"/>
                <w:color w:val="000000"/>
                <w:kern w:val="0"/>
                <w:sz w:val="20"/>
                <w:szCs w:val="20"/>
              </w:rPr>
              <w:fldChar w:fldCharType="separate"/>
            </w:r>
            <w:r>
              <w:rPr>
                <w:rFonts w:ascii="宋体" w:hAnsi="宋体" w:cs="宋体"/>
                <w:color w:val="000000"/>
                <w:kern w:val="0"/>
                <w:sz w:val="20"/>
                <w:szCs w:val="20"/>
              </w:rPr>
              <w:t>2.14</w:t>
            </w:r>
            <w:r>
              <w:rPr>
                <w:rFonts w:ascii="宋体" w:hAnsi="宋体" w:cs="宋体"/>
                <w:color w:val="000000"/>
                <w:kern w:val="0"/>
                <w:sz w:val="20"/>
                <w:szCs w:val="20"/>
              </w:rPr>
              <w:fldChar w:fldCharType="end"/>
            </w:r>
          </w:p>
        </w:tc>
        <w:tc>
          <w:tcPr>
            <w:tcW w:w="10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r>
              <w:rPr>
                <w:rFonts w:hint="eastAsia" w:ascii="宋体" w:hAnsi="宋体" w:cs="宋体"/>
                <w:color w:val="000000"/>
                <w:sz w:val="20"/>
                <w:szCs w:val="20"/>
              </w:rPr>
              <w:t>预算编制依据较合理</w:t>
            </w:r>
          </w:p>
        </w:tc>
      </w:tr>
      <w:tr>
        <w:tblPrEx>
          <w:tblCellMar>
            <w:top w:w="0" w:type="dxa"/>
            <w:left w:w="108" w:type="dxa"/>
            <w:bottom w:w="0" w:type="dxa"/>
            <w:right w:w="108" w:type="dxa"/>
          </w:tblCellMar>
        </w:tblPrEx>
        <w:trPr>
          <w:trHeight w:val="1104" w:hRule="atLeast"/>
        </w:trPr>
        <w:tc>
          <w:tcPr>
            <w:tcW w:w="24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393"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p>
        </w:tc>
        <w:tc>
          <w:tcPr>
            <w:tcW w:w="286"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61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资金分配合理性</w:t>
            </w:r>
          </w:p>
        </w:tc>
        <w:tc>
          <w:tcPr>
            <w:tcW w:w="2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w:t>
            </w:r>
          </w:p>
        </w:tc>
        <w:tc>
          <w:tcPr>
            <w:tcW w:w="18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项目预算资金分配是否有测算依据，与补助单位或地方实际是否相适应，用以反映和考核项目预算资金分配的科学性、合理性情况。</w:t>
            </w:r>
          </w:p>
        </w:tc>
        <w:tc>
          <w:tcPr>
            <w:tcW w:w="314" w:type="pc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rPr>
                <w:rFonts w:hint="eastAsia" w:ascii="宋体" w:hAnsi="宋体" w:cs="宋体"/>
                <w:color w:val="000000"/>
                <w:kern w:val="0"/>
                <w:sz w:val="20"/>
                <w:szCs w:val="20"/>
              </w:rPr>
            </w:pPr>
            <w:r>
              <w:rPr>
                <w:rFonts w:ascii="宋体" w:hAnsi="宋体" w:cs="宋体"/>
                <w:color w:val="000000"/>
                <w:kern w:val="0"/>
                <w:sz w:val="20"/>
                <w:szCs w:val="20"/>
              </w:rPr>
              <w:fldChar w:fldCharType="begin"/>
            </w:r>
            <w:r>
              <w:rPr>
                <w:rFonts w:ascii="宋体" w:hAnsi="宋体" w:cs="宋体"/>
                <w:color w:val="000000"/>
                <w:kern w:val="0"/>
                <w:sz w:val="20"/>
                <w:szCs w:val="20"/>
              </w:rPr>
              <w:instrText xml:space="preserve"> = average(D10:H10) \* MERGEFORMAT </w:instrText>
            </w:r>
            <w:r>
              <w:rPr>
                <w:rFonts w:ascii="宋体" w:hAnsi="宋体" w:cs="宋体"/>
                <w:color w:val="000000"/>
                <w:kern w:val="0"/>
                <w:sz w:val="20"/>
                <w:szCs w:val="20"/>
              </w:rPr>
              <w:fldChar w:fldCharType="separate"/>
            </w:r>
            <w:r>
              <w:rPr>
                <w:rFonts w:ascii="宋体" w:hAnsi="宋体" w:cs="宋体"/>
                <w:color w:val="000000"/>
                <w:kern w:val="0"/>
                <w:sz w:val="20"/>
                <w:szCs w:val="20"/>
              </w:rPr>
              <w:t>2.24</w:t>
            </w:r>
            <w:r>
              <w:rPr>
                <w:rFonts w:ascii="宋体" w:hAnsi="宋体" w:cs="宋体"/>
                <w:color w:val="000000"/>
                <w:kern w:val="0"/>
                <w:sz w:val="20"/>
                <w:szCs w:val="20"/>
              </w:rPr>
              <w:fldChar w:fldCharType="end"/>
            </w:r>
          </w:p>
        </w:tc>
        <w:tc>
          <w:tcPr>
            <w:tcW w:w="10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r>
              <w:rPr>
                <w:rFonts w:hint="eastAsia" w:ascii="宋体" w:hAnsi="宋体" w:cs="宋体"/>
                <w:color w:val="000000"/>
                <w:sz w:val="20"/>
                <w:szCs w:val="20"/>
              </w:rPr>
              <w:t>资助金额分配较科学</w:t>
            </w:r>
          </w:p>
        </w:tc>
      </w:tr>
      <w:tr>
        <w:tblPrEx>
          <w:tblCellMar>
            <w:top w:w="0" w:type="dxa"/>
            <w:left w:w="108" w:type="dxa"/>
            <w:bottom w:w="0" w:type="dxa"/>
            <w:right w:w="108" w:type="dxa"/>
          </w:tblCellMar>
        </w:tblPrEx>
        <w:trPr>
          <w:trHeight w:val="680" w:hRule="atLeast"/>
        </w:trPr>
        <w:tc>
          <w:tcPr>
            <w:tcW w:w="240"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过程</w:t>
            </w:r>
          </w:p>
        </w:tc>
        <w:tc>
          <w:tcPr>
            <w:tcW w:w="393"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资金管理</w:t>
            </w:r>
          </w:p>
        </w:tc>
        <w:tc>
          <w:tcPr>
            <w:tcW w:w="286"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w:t>
            </w:r>
          </w:p>
        </w:tc>
        <w:tc>
          <w:tcPr>
            <w:tcW w:w="61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资金到位率</w:t>
            </w:r>
          </w:p>
        </w:tc>
        <w:tc>
          <w:tcPr>
            <w:tcW w:w="2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18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实际到位资金与预算资金的比率，用以反映和考核资金落实情况对项目实施的总体保障程度。</w:t>
            </w:r>
          </w:p>
        </w:tc>
        <w:tc>
          <w:tcPr>
            <w:tcW w:w="314" w:type="pc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eastAsia" w:ascii="宋体" w:hAnsi="宋体" w:cs="宋体"/>
                <w:color w:val="000000"/>
                <w:kern w:val="0"/>
                <w:sz w:val="20"/>
                <w:szCs w:val="20"/>
              </w:rPr>
            </w:pPr>
            <w:r>
              <w:rPr>
                <w:rFonts w:ascii="宋体" w:hAnsi="宋体" w:cs="宋体"/>
                <w:color w:val="000000"/>
                <w:kern w:val="0"/>
                <w:sz w:val="20"/>
                <w:szCs w:val="20"/>
              </w:rPr>
              <w:fldChar w:fldCharType="begin"/>
            </w:r>
            <w:r>
              <w:rPr>
                <w:rFonts w:ascii="宋体" w:hAnsi="宋体" w:cs="宋体"/>
                <w:color w:val="000000"/>
                <w:kern w:val="0"/>
                <w:sz w:val="20"/>
                <w:szCs w:val="20"/>
              </w:rPr>
              <w:instrText xml:space="preserve"> = average(C12:H12) \* MERGEFORMAT </w:instrText>
            </w:r>
            <w:r>
              <w:rPr>
                <w:rFonts w:ascii="宋体" w:hAnsi="宋体" w:cs="宋体"/>
                <w:color w:val="000000"/>
                <w:kern w:val="0"/>
                <w:sz w:val="20"/>
                <w:szCs w:val="20"/>
              </w:rPr>
              <w:fldChar w:fldCharType="separate"/>
            </w:r>
            <w:r>
              <w:rPr>
                <w:rFonts w:ascii="宋体" w:hAnsi="宋体" w:cs="宋体"/>
                <w:color w:val="000000"/>
                <w:kern w:val="0"/>
                <w:sz w:val="20"/>
                <w:szCs w:val="20"/>
              </w:rPr>
              <w:t>2</w:t>
            </w:r>
            <w:r>
              <w:rPr>
                <w:rFonts w:ascii="宋体" w:hAnsi="宋体" w:cs="宋体"/>
                <w:color w:val="000000"/>
                <w:kern w:val="0"/>
                <w:sz w:val="20"/>
                <w:szCs w:val="20"/>
              </w:rPr>
              <w:fldChar w:fldCharType="end"/>
            </w:r>
          </w:p>
        </w:tc>
        <w:tc>
          <w:tcPr>
            <w:tcW w:w="10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p>
        </w:tc>
      </w:tr>
      <w:tr>
        <w:tblPrEx>
          <w:tblCellMar>
            <w:top w:w="0" w:type="dxa"/>
            <w:left w:w="108" w:type="dxa"/>
            <w:bottom w:w="0" w:type="dxa"/>
            <w:right w:w="108" w:type="dxa"/>
          </w:tblCellMar>
        </w:tblPrEx>
        <w:trPr>
          <w:trHeight w:val="803" w:hRule="atLeast"/>
        </w:trPr>
        <w:tc>
          <w:tcPr>
            <w:tcW w:w="24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393"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p>
        </w:tc>
        <w:tc>
          <w:tcPr>
            <w:tcW w:w="286"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61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预算执行率</w:t>
            </w:r>
          </w:p>
        </w:tc>
        <w:tc>
          <w:tcPr>
            <w:tcW w:w="2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w:t>
            </w:r>
          </w:p>
        </w:tc>
        <w:tc>
          <w:tcPr>
            <w:tcW w:w="18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项目预算资金是否按照计划执行，用以反映或考核项目预算执行情况。</w:t>
            </w:r>
          </w:p>
        </w:tc>
        <w:tc>
          <w:tcPr>
            <w:tcW w:w="314" w:type="pc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eastAsia" w:ascii="宋体" w:hAnsi="宋体" w:cs="宋体"/>
                <w:color w:val="000000"/>
                <w:kern w:val="0"/>
                <w:sz w:val="20"/>
                <w:szCs w:val="20"/>
              </w:rPr>
            </w:pPr>
            <w:r>
              <w:rPr>
                <w:rFonts w:ascii="宋体" w:hAnsi="宋体" w:cs="宋体"/>
                <w:color w:val="000000"/>
                <w:kern w:val="0"/>
                <w:sz w:val="20"/>
                <w:szCs w:val="20"/>
              </w:rPr>
              <w:fldChar w:fldCharType="begin"/>
            </w:r>
            <w:r>
              <w:rPr>
                <w:rFonts w:ascii="宋体" w:hAnsi="宋体" w:cs="宋体"/>
                <w:color w:val="000000"/>
                <w:kern w:val="0"/>
                <w:sz w:val="20"/>
                <w:szCs w:val="20"/>
              </w:rPr>
              <w:instrText xml:space="preserve"> = average(D13:H13) \* MERGEFORMAT </w:instrText>
            </w:r>
            <w:r>
              <w:rPr>
                <w:rFonts w:ascii="宋体" w:hAnsi="宋体" w:cs="宋体"/>
                <w:color w:val="000000"/>
                <w:kern w:val="0"/>
                <w:sz w:val="20"/>
                <w:szCs w:val="20"/>
              </w:rPr>
              <w:fldChar w:fldCharType="separate"/>
            </w:r>
            <w:r>
              <w:rPr>
                <w:rFonts w:ascii="宋体" w:hAnsi="宋体" w:cs="宋体"/>
                <w:color w:val="000000"/>
                <w:kern w:val="0"/>
                <w:sz w:val="20"/>
                <w:szCs w:val="20"/>
              </w:rPr>
              <w:t>2.88</w:t>
            </w:r>
            <w:r>
              <w:rPr>
                <w:rFonts w:ascii="宋体" w:hAnsi="宋体" w:cs="宋体"/>
                <w:color w:val="000000"/>
                <w:kern w:val="0"/>
                <w:sz w:val="20"/>
                <w:szCs w:val="20"/>
              </w:rPr>
              <w:fldChar w:fldCharType="end"/>
            </w:r>
          </w:p>
        </w:tc>
        <w:tc>
          <w:tcPr>
            <w:tcW w:w="10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r>
              <w:rPr>
                <w:rFonts w:hint="eastAsia" w:ascii="宋体" w:hAnsi="宋体" w:cs="宋体"/>
                <w:color w:val="000000"/>
                <w:sz w:val="20"/>
                <w:szCs w:val="20"/>
              </w:rPr>
              <w:t>预算有结余</w:t>
            </w:r>
          </w:p>
        </w:tc>
      </w:tr>
      <w:tr>
        <w:tblPrEx>
          <w:tblCellMar>
            <w:top w:w="0" w:type="dxa"/>
            <w:left w:w="108" w:type="dxa"/>
            <w:bottom w:w="0" w:type="dxa"/>
            <w:right w:w="108" w:type="dxa"/>
          </w:tblCellMar>
        </w:tblPrEx>
        <w:trPr>
          <w:trHeight w:val="770" w:hRule="atLeast"/>
        </w:trPr>
        <w:tc>
          <w:tcPr>
            <w:tcW w:w="24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393"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p>
        </w:tc>
        <w:tc>
          <w:tcPr>
            <w:tcW w:w="286"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61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资金使用合规性</w:t>
            </w:r>
          </w:p>
        </w:tc>
        <w:tc>
          <w:tcPr>
            <w:tcW w:w="2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w:t>
            </w:r>
          </w:p>
        </w:tc>
        <w:tc>
          <w:tcPr>
            <w:tcW w:w="18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项目资金使用是否符合相关的财务管理制度规定，用以反映和考核项目资金的规范运行情况。</w:t>
            </w:r>
          </w:p>
        </w:tc>
        <w:tc>
          <w:tcPr>
            <w:tcW w:w="314" w:type="pc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eastAsia" w:ascii="宋体" w:hAnsi="宋体" w:cs="宋体"/>
                <w:color w:val="000000"/>
                <w:kern w:val="0"/>
                <w:sz w:val="20"/>
                <w:szCs w:val="20"/>
              </w:rPr>
            </w:pPr>
            <w:r>
              <w:rPr>
                <w:rFonts w:ascii="宋体" w:hAnsi="宋体" w:cs="宋体"/>
                <w:color w:val="000000"/>
                <w:kern w:val="0"/>
                <w:sz w:val="20"/>
                <w:szCs w:val="20"/>
              </w:rPr>
              <w:fldChar w:fldCharType="begin"/>
            </w:r>
            <w:r>
              <w:rPr>
                <w:rFonts w:ascii="宋体" w:hAnsi="宋体" w:cs="宋体"/>
                <w:color w:val="000000"/>
                <w:kern w:val="0"/>
                <w:sz w:val="20"/>
                <w:szCs w:val="20"/>
              </w:rPr>
              <w:instrText xml:space="preserve"> = average(D14:H14) \* MERGEFORMAT </w:instrText>
            </w:r>
            <w:r>
              <w:rPr>
                <w:rFonts w:ascii="宋体" w:hAnsi="宋体" w:cs="宋体"/>
                <w:color w:val="000000"/>
                <w:kern w:val="0"/>
                <w:sz w:val="20"/>
                <w:szCs w:val="20"/>
              </w:rPr>
              <w:fldChar w:fldCharType="separate"/>
            </w:r>
            <w:r>
              <w:rPr>
                <w:rFonts w:ascii="宋体" w:hAnsi="宋体" w:cs="宋体"/>
                <w:color w:val="000000"/>
                <w:kern w:val="0"/>
                <w:sz w:val="20"/>
                <w:szCs w:val="20"/>
              </w:rPr>
              <w:t>4.8</w:t>
            </w:r>
            <w:r>
              <w:rPr>
                <w:rFonts w:ascii="宋体" w:hAnsi="宋体" w:cs="宋体"/>
                <w:color w:val="000000"/>
                <w:kern w:val="0"/>
                <w:sz w:val="20"/>
                <w:szCs w:val="20"/>
              </w:rPr>
              <w:fldChar w:fldCharType="end"/>
            </w:r>
          </w:p>
        </w:tc>
        <w:tc>
          <w:tcPr>
            <w:tcW w:w="1001"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rPr>
                <w:rFonts w:hint="eastAsia" w:ascii="宋体" w:hAnsi="宋体" w:cs="宋体"/>
                <w:color w:val="000000"/>
                <w:sz w:val="22"/>
              </w:rPr>
            </w:pPr>
            <w:r>
              <w:rPr>
                <w:rFonts w:hint="eastAsia" w:ascii="宋体" w:hAnsi="宋体" w:cs="宋体"/>
                <w:color w:val="000000"/>
                <w:sz w:val="22"/>
              </w:rPr>
              <w:t>加强事后审计</w:t>
            </w:r>
          </w:p>
        </w:tc>
      </w:tr>
      <w:tr>
        <w:tblPrEx>
          <w:tblCellMar>
            <w:top w:w="0" w:type="dxa"/>
            <w:left w:w="108" w:type="dxa"/>
            <w:bottom w:w="0" w:type="dxa"/>
            <w:right w:w="108" w:type="dxa"/>
          </w:tblCellMar>
        </w:tblPrEx>
        <w:trPr>
          <w:trHeight w:val="1071" w:hRule="atLeast"/>
        </w:trPr>
        <w:tc>
          <w:tcPr>
            <w:tcW w:w="24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393"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组织实施</w:t>
            </w:r>
          </w:p>
        </w:tc>
        <w:tc>
          <w:tcPr>
            <w:tcW w:w="286"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w:t>
            </w:r>
          </w:p>
        </w:tc>
        <w:tc>
          <w:tcPr>
            <w:tcW w:w="61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管理制度健全性</w:t>
            </w:r>
          </w:p>
        </w:tc>
        <w:tc>
          <w:tcPr>
            <w:tcW w:w="2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w:t>
            </w:r>
          </w:p>
        </w:tc>
        <w:tc>
          <w:tcPr>
            <w:tcW w:w="18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项目实施单位的财务和业务管理制度是否健全，用以反映和考核财务和业务管理制度对项目顺利实施的保障情况。</w:t>
            </w:r>
          </w:p>
        </w:tc>
        <w:tc>
          <w:tcPr>
            <w:tcW w:w="314" w:type="pc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eastAsia" w:ascii="宋体" w:hAnsi="宋体" w:cs="宋体"/>
                <w:color w:val="000000"/>
                <w:kern w:val="0"/>
                <w:sz w:val="20"/>
                <w:szCs w:val="20"/>
              </w:rPr>
            </w:pPr>
            <w:r>
              <w:rPr>
                <w:rFonts w:ascii="宋体" w:hAnsi="宋体" w:cs="宋体"/>
                <w:color w:val="000000"/>
                <w:kern w:val="0"/>
                <w:sz w:val="20"/>
                <w:szCs w:val="20"/>
              </w:rPr>
              <w:fldChar w:fldCharType="begin"/>
            </w:r>
            <w:r>
              <w:rPr>
                <w:rFonts w:ascii="宋体" w:hAnsi="宋体" w:cs="宋体"/>
                <w:color w:val="000000"/>
                <w:kern w:val="0"/>
                <w:sz w:val="20"/>
                <w:szCs w:val="20"/>
              </w:rPr>
              <w:instrText xml:space="preserve"> = average(D16:H16) \* MERGEFORMAT </w:instrText>
            </w:r>
            <w:r>
              <w:rPr>
                <w:rFonts w:ascii="宋体" w:hAnsi="宋体" w:cs="宋体"/>
                <w:color w:val="000000"/>
                <w:kern w:val="0"/>
                <w:sz w:val="20"/>
                <w:szCs w:val="20"/>
              </w:rPr>
              <w:fldChar w:fldCharType="separate"/>
            </w:r>
            <w:r>
              <w:rPr>
                <w:rFonts w:ascii="宋体" w:hAnsi="宋体" w:cs="宋体"/>
                <w:color w:val="000000"/>
                <w:kern w:val="0"/>
                <w:sz w:val="20"/>
                <w:szCs w:val="20"/>
              </w:rPr>
              <w:t>3.9</w:t>
            </w:r>
            <w:r>
              <w:rPr>
                <w:rFonts w:ascii="宋体" w:hAnsi="宋体" w:cs="宋体"/>
                <w:color w:val="000000"/>
                <w:kern w:val="0"/>
                <w:sz w:val="20"/>
                <w:szCs w:val="20"/>
              </w:rPr>
              <w:fldChar w:fldCharType="end"/>
            </w:r>
          </w:p>
        </w:tc>
        <w:tc>
          <w:tcPr>
            <w:tcW w:w="10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eastAsia="宋体" w:cs="宋体"/>
                <w:color w:val="000000"/>
                <w:sz w:val="20"/>
                <w:szCs w:val="20"/>
                <w:lang w:eastAsia="zh-CN"/>
              </w:rPr>
            </w:pPr>
            <w:r>
              <w:rPr>
                <w:rFonts w:hint="eastAsia" w:ascii="宋体" w:hAnsi="宋体" w:cs="宋体"/>
                <w:color w:val="000000"/>
                <w:sz w:val="20"/>
                <w:szCs w:val="20"/>
              </w:rPr>
              <w:t>应加强制度</w:t>
            </w:r>
            <w:r>
              <w:rPr>
                <w:rFonts w:hint="eastAsia" w:ascii="宋体" w:hAnsi="宋体" w:cs="宋体"/>
                <w:color w:val="000000"/>
                <w:sz w:val="20"/>
                <w:szCs w:val="20"/>
                <w:lang w:eastAsia="zh-CN"/>
              </w:rPr>
              <w:t>建设</w:t>
            </w:r>
          </w:p>
        </w:tc>
      </w:tr>
      <w:tr>
        <w:tblPrEx>
          <w:tblCellMar>
            <w:top w:w="0" w:type="dxa"/>
            <w:left w:w="108" w:type="dxa"/>
            <w:bottom w:w="0" w:type="dxa"/>
            <w:right w:w="108" w:type="dxa"/>
          </w:tblCellMar>
        </w:tblPrEx>
        <w:trPr>
          <w:trHeight w:val="680" w:hRule="atLeast"/>
        </w:trPr>
        <w:tc>
          <w:tcPr>
            <w:tcW w:w="24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393"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p>
        </w:tc>
        <w:tc>
          <w:tcPr>
            <w:tcW w:w="286"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61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制度执行有效性</w:t>
            </w:r>
          </w:p>
        </w:tc>
        <w:tc>
          <w:tcPr>
            <w:tcW w:w="2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w:t>
            </w:r>
          </w:p>
        </w:tc>
        <w:tc>
          <w:tcPr>
            <w:tcW w:w="18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项目实施是否符合相关管理规定，用以反映和考核相关管理制度的有效执行情况。</w:t>
            </w:r>
          </w:p>
        </w:tc>
        <w:tc>
          <w:tcPr>
            <w:tcW w:w="314" w:type="pc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10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r>
              <w:rPr>
                <w:rFonts w:hint="eastAsia" w:ascii="宋体" w:hAnsi="宋体" w:cs="宋体"/>
                <w:color w:val="000000"/>
                <w:sz w:val="20"/>
                <w:szCs w:val="20"/>
              </w:rPr>
              <w:t>事前宣传不足；</w:t>
            </w:r>
          </w:p>
        </w:tc>
      </w:tr>
      <w:tr>
        <w:tblPrEx>
          <w:tblCellMar>
            <w:top w:w="0" w:type="dxa"/>
            <w:left w:w="108" w:type="dxa"/>
            <w:bottom w:w="0" w:type="dxa"/>
            <w:right w:w="108" w:type="dxa"/>
          </w:tblCellMar>
        </w:tblPrEx>
        <w:trPr>
          <w:trHeight w:val="778" w:hRule="atLeast"/>
        </w:trPr>
        <w:tc>
          <w:tcPr>
            <w:tcW w:w="240"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产出</w:t>
            </w:r>
          </w:p>
        </w:tc>
        <w:tc>
          <w:tcPr>
            <w:tcW w:w="393"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产出数量</w:t>
            </w:r>
          </w:p>
        </w:tc>
        <w:tc>
          <w:tcPr>
            <w:tcW w:w="286"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w:t>
            </w:r>
          </w:p>
        </w:tc>
        <w:tc>
          <w:tcPr>
            <w:tcW w:w="61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培训人数完成率</w:t>
            </w:r>
          </w:p>
        </w:tc>
        <w:tc>
          <w:tcPr>
            <w:tcW w:w="2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w:t>
            </w:r>
          </w:p>
        </w:tc>
        <w:tc>
          <w:tcPr>
            <w:tcW w:w="18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项目实际培训人数与计划培训人数的比率，用以反映和考核项目产出数量目标的实现程度。</w:t>
            </w:r>
          </w:p>
        </w:tc>
        <w:tc>
          <w:tcPr>
            <w:tcW w:w="314" w:type="pc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eastAsia" w:ascii="宋体" w:hAnsi="宋体" w:cs="宋体"/>
                <w:color w:val="000000"/>
                <w:kern w:val="0"/>
                <w:sz w:val="20"/>
                <w:szCs w:val="20"/>
              </w:rPr>
            </w:pPr>
            <w:r>
              <w:rPr>
                <w:rFonts w:ascii="宋体" w:hAnsi="宋体" w:cs="宋体"/>
                <w:color w:val="000000"/>
                <w:kern w:val="0"/>
                <w:sz w:val="20"/>
                <w:szCs w:val="20"/>
              </w:rPr>
              <w:fldChar w:fldCharType="begin"/>
            </w:r>
            <w:r>
              <w:rPr>
                <w:rFonts w:ascii="宋体" w:hAnsi="宋体" w:cs="宋体"/>
                <w:color w:val="000000"/>
                <w:kern w:val="0"/>
                <w:sz w:val="20"/>
                <w:szCs w:val="20"/>
              </w:rPr>
              <w:instrText xml:space="preserve"> = average(D19:H19) \* MERGEFORMAT </w:instrText>
            </w:r>
            <w:r>
              <w:rPr>
                <w:rFonts w:ascii="宋体" w:hAnsi="宋体" w:cs="宋体"/>
                <w:color w:val="000000"/>
                <w:kern w:val="0"/>
                <w:sz w:val="20"/>
                <w:szCs w:val="20"/>
              </w:rPr>
              <w:fldChar w:fldCharType="separate"/>
            </w:r>
            <w:r>
              <w:rPr>
                <w:rFonts w:ascii="宋体" w:hAnsi="宋体" w:cs="宋体"/>
                <w:color w:val="000000"/>
                <w:kern w:val="0"/>
                <w:sz w:val="20"/>
                <w:szCs w:val="20"/>
              </w:rPr>
              <w:t>4.7</w:t>
            </w:r>
            <w:r>
              <w:rPr>
                <w:rFonts w:ascii="宋体" w:hAnsi="宋体" w:cs="宋体"/>
                <w:color w:val="000000"/>
                <w:kern w:val="0"/>
                <w:sz w:val="20"/>
                <w:szCs w:val="20"/>
              </w:rPr>
              <w:fldChar w:fldCharType="end"/>
            </w:r>
          </w:p>
        </w:tc>
        <w:tc>
          <w:tcPr>
            <w:tcW w:w="10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r>
              <w:rPr>
                <w:rFonts w:hint="eastAsia" w:ascii="宋体" w:hAnsi="宋体" w:cs="宋体"/>
                <w:color w:val="000000"/>
                <w:sz w:val="20"/>
                <w:szCs w:val="20"/>
              </w:rPr>
              <w:t>部分培训班未按计划时间完成</w:t>
            </w:r>
          </w:p>
        </w:tc>
      </w:tr>
      <w:tr>
        <w:tblPrEx>
          <w:tblCellMar>
            <w:top w:w="0" w:type="dxa"/>
            <w:left w:w="108" w:type="dxa"/>
            <w:bottom w:w="0" w:type="dxa"/>
            <w:right w:w="108" w:type="dxa"/>
          </w:tblCellMar>
        </w:tblPrEx>
        <w:trPr>
          <w:trHeight w:val="852" w:hRule="atLeast"/>
        </w:trPr>
        <w:tc>
          <w:tcPr>
            <w:tcW w:w="24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393"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286"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61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开展高研班期次完成率</w:t>
            </w:r>
          </w:p>
        </w:tc>
        <w:tc>
          <w:tcPr>
            <w:tcW w:w="2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w:t>
            </w:r>
          </w:p>
        </w:tc>
        <w:tc>
          <w:tcPr>
            <w:tcW w:w="18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项目实际开展高研班次数与计划开展次数的比率，用以反映和考核项目产出数量目标的实现程度。</w:t>
            </w:r>
          </w:p>
        </w:tc>
        <w:tc>
          <w:tcPr>
            <w:tcW w:w="314" w:type="pc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5</w:t>
            </w:r>
          </w:p>
        </w:tc>
        <w:tc>
          <w:tcPr>
            <w:tcW w:w="10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p>
        </w:tc>
      </w:tr>
      <w:tr>
        <w:tblPrEx>
          <w:tblCellMar>
            <w:top w:w="0" w:type="dxa"/>
            <w:left w:w="108" w:type="dxa"/>
            <w:bottom w:w="0" w:type="dxa"/>
            <w:right w:w="108" w:type="dxa"/>
          </w:tblCellMar>
        </w:tblPrEx>
        <w:trPr>
          <w:trHeight w:val="1063" w:hRule="atLeast"/>
        </w:trPr>
        <w:tc>
          <w:tcPr>
            <w:tcW w:w="24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39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产出质量</w:t>
            </w:r>
          </w:p>
        </w:tc>
        <w:tc>
          <w:tcPr>
            <w:tcW w:w="2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w:t>
            </w:r>
          </w:p>
        </w:tc>
        <w:tc>
          <w:tcPr>
            <w:tcW w:w="61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培训人员合格率</w:t>
            </w:r>
          </w:p>
        </w:tc>
        <w:tc>
          <w:tcPr>
            <w:tcW w:w="2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w:t>
            </w:r>
          </w:p>
        </w:tc>
        <w:tc>
          <w:tcPr>
            <w:tcW w:w="18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项目完成培训后参与培训人员的合格数与实际参与培训人数的比率，用以反映和考核项目产出质量目标的实现程度。</w:t>
            </w:r>
          </w:p>
        </w:tc>
        <w:tc>
          <w:tcPr>
            <w:tcW w:w="31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18"/>
                <w:szCs w:val="18"/>
              </w:rPr>
            </w:pPr>
            <w:r>
              <w:rPr>
                <w:rFonts w:ascii="宋体" w:hAnsi="宋体" w:cs="宋体"/>
                <w:color w:val="000000"/>
                <w:kern w:val="0"/>
                <w:sz w:val="20"/>
                <w:szCs w:val="20"/>
              </w:rPr>
              <w:fldChar w:fldCharType="begin"/>
            </w:r>
            <w:r>
              <w:rPr>
                <w:rFonts w:ascii="宋体" w:hAnsi="宋体" w:cs="宋体"/>
                <w:color w:val="000000"/>
                <w:kern w:val="0"/>
                <w:sz w:val="20"/>
                <w:szCs w:val="20"/>
              </w:rPr>
              <w:instrText xml:space="preserve"> = average(D22:H22) \* MERGEFORMAT </w:instrText>
            </w:r>
            <w:r>
              <w:rPr>
                <w:rFonts w:ascii="宋体" w:hAnsi="宋体" w:cs="宋体"/>
                <w:color w:val="000000"/>
                <w:kern w:val="0"/>
                <w:sz w:val="20"/>
                <w:szCs w:val="20"/>
              </w:rPr>
              <w:fldChar w:fldCharType="separate"/>
            </w:r>
            <w:r>
              <w:rPr>
                <w:rFonts w:ascii="宋体" w:hAnsi="宋体" w:cs="宋体"/>
                <w:color w:val="000000"/>
                <w:kern w:val="0"/>
                <w:sz w:val="20"/>
                <w:szCs w:val="20"/>
              </w:rPr>
              <w:t>8.84</w:t>
            </w:r>
            <w:r>
              <w:rPr>
                <w:rFonts w:ascii="宋体" w:hAnsi="宋体" w:cs="宋体"/>
                <w:color w:val="000000"/>
                <w:kern w:val="0"/>
                <w:sz w:val="20"/>
                <w:szCs w:val="20"/>
              </w:rPr>
              <w:fldChar w:fldCharType="end"/>
            </w:r>
          </w:p>
        </w:tc>
        <w:tc>
          <w:tcPr>
            <w:tcW w:w="10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r>
              <w:rPr>
                <w:rFonts w:hint="eastAsia" w:ascii="宋体" w:hAnsi="宋体" w:cs="宋体"/>
                <w:color w:val="000000"/>
                <w:sz w:val="20"/>
                <w:szCs w:val="20"/>
              </w:rPr>
              <w:t>培训合格率设置不合理</w:t>
            </w:r>
          </w:p>
        </w:tc>
      </w:tr>
      <w:tr>
        <w:tblPrEx>
          <w:tblCellMar>
            <w:top w:w="0" w:type="dxa"/>
            <w:left w:w="108" w:type="dxa"/>
            <w:bottom w:w="0" w:type="dxa"/>
            <w:right w:w="108" w:type="dxa"/>
          </w:tblCellMar>
        </w:tblPrEx>
        <w:trPr>
          <w:trHeight w:val="853" w:hRule="atLeast"/>
        </w:trPr>
        <w:tc>
          <w:tcPr>
            <w:tcW w:w="24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39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产出时效</w:t>
            </w:r>
          </w:p>
        </w:tc>
        <w:tc>
          <w:tcPr>
            <w:tcW w:w="2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w:t>
            </w:r>
          </w:p>
        </w:tc>
        <w:tc>
          <w:tcPr>
            <w:tcW w:w="61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培训</w:t>
            </w:r>
            <w:r>
              <w:rPr>
                <w:rFonts w:hint="eastAsia" w:ascii="宋体" w:hAnsi="宋体" w:cs="宋体"/>
                <w:color w:val="000000"/>
                <w:kern w:val="0"/>
                <w:sz w:val="20"/>
                <w:szCs w:val="20"/>
                <w:lang w:bidi="ar"/>
              </w:rPr>
              <w:t>完成及时性</w:t>
            </w:r>
          </w:p>
        </w:tc>
        <w:tc>
          <w:tcPr>
            <w:tcW w:w="2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w:t>
            </w:r>
          </w:p>
        </w:tc>
        <w:tc>
          <w:tcPr>
            <w:tcW w:w="18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项目实际完成时间与计划完成时间的比较，用以反映和考核项目产出时效目标的实现程度。</w:t>
            </w:r>
          </w:p>
        </w:tc>
        <w:tc>
          <w:tcPr>
            <w:tcW w:w="31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18"/>
                <w:szCs w:val="18"/>
              </w:rPr>
            </w:pPr>
            <w:r>
              <w:rPr>
                <w:rFonts w:ascii="宋体" w:hAnsi="宋体" w:cs="宋体"/>
                <w:color w:val="000000"/>
                <w:kern w:val="0"/>
                <w:sz w:val="20"/>
                <w:szCs w:val="20"/>
              </w:rPr>
              <w:fldChar w:fldCharType="begin"/>
            </w:r>
            <w:r>
              <w:rPr>
                <w:rFonts w:ascii="宋体" w:hAnsi="宋体" w:cs="宋体"/>
                <w:color w:val="000000"/>
                <w:kern w:val="0"/>
                <w:sz w:val="20"/>
                <w:szCs w:val="20"/>
              </w:rPr>
              <w:instrText xml:space="preserve"> = average(D24:H24) \* MERGEFORMAT </w:instrText>
            </w:r>
            <w:r>
              <w:rPr>
                <w:rFonts w:ascii="宋体" w:hAnsi="宋体" w:cs="宋体"/>
                <w:color w:val="000000"/>
                <w:kern w:val="0"/>
                <w:sz w:val="20"/>
                <w:szCs w:val="20"/>
              </w:rPr>
              <w:fldChar w:fldCharType="separate"/>
            </w:r>
            <w:r>
              <w:rPr>
                <w:rFonts w:ascii="宋体" w:hAnsi="宋体" w:cs="宋体"/>
                <w:color w:val="000000"/>
                <w:kern w:val="0"/>
                <w:sz w:val="20"/>
                <w:szCs w:val="20"/>
              </w:rPr>
              <w:t>9.5</w:t>
            </w:r>
            <w:r>
              <w:rPr>
                <w:rFonts w:ascii="宋体" w:hAnsi="宋体" w:cs="宋体"/>
                <w:color w:val="000000"/>
                <w:kern w:val="0"/>
                <w:sz w:val="20"/>
                <w:szCs w:val="20"/>
              </w:rPr>
              <w:fldChar w:fldCharType="end"/>
            </w:r>
          </w:p>
        </w:tc>
        <w:tc>
          <w:tcPr>
            <w:tcW w:w="10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r>
              <w:rPr>
                <w:rFonts w:hint="eastAsia" w:ascii="宋体" w:hAnsi="宋体" w:cs="宋体"/>
                <w:color w:val="000000"/>
                <w:sz w:val="20"/>
                <w:szCs w:val="20"/>
              </w:rPr>
              <w:t>有研修班未按计划开展</w:t>
            </w:r>
          </w:p>
        </w:tc>
      </w:tr>
      <w:tr>
        <w:tblPrEx>
          <w:tblCellMar>
            <w:top w:w="0" w:type="dxa"/>
            <w:left w:w="108" w:type="dxa"/>
            <w:bottom w:w="0" w:type="dxa"/>
            <w:right w:w="108" w:type="dxa"/>
          </w:tblCellMar>
        </w:tblPrEx>
        <w:trPr>
          <w:trHeight w:val="920" w:hRule="atLeast"/>
        </w:trPr>
        <w:tc>
          <w:tcPr>
            <w:tcW w:w="24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393"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产出成本</w:t>
            </w:r>
          </w:p>
        </w:tc>
        <w:tc>
          <w:tcPr>
            <w:tcW w:w="2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w:t>
            </w:r>
          </w:p>
        </w:tc>
        <w:tc>
          <w:tcPr>
            <w:tcW w:w="61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成本节约率</w:t>
            </w:r>
          </w:p>
        </w:tc>
        <w:tc>
          <w:tcPr>
            <w:tcW w:w="2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w:t>
            </w:r>
          </w:p>
        </w:tc>
        <w:tc>
          <w:tcPr>
            <w:tcW w:w="18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完成项目计划工作目标的实际节约成本与计划成本的比率，用以反映和考核项目的成本节约程度。</w:t>
            </w:r>
          </w:p>
        </w:tc>
        <w:tc>
          <w:tcPr>
            <w:tcW w:w="314"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18"/>
                <w:szCs w:val="18"/>
              </w:rPr>
            </w:pPr>
            <w:r>
              <w:rPr>
                <w:rFonts w:ascii="宋体" w:hAnsi="宋体" w:cs="宋体"/>
                <w:color w:val="000000"/>
                <w:kern w:val="0"/>
                <w:sz w:val="20"/>
                <w:szCs w:val="20"/>
              </w:rPr>
              <w:fldChar w:fldCharType="begin"/>
            </w:r>
            <w:r>
              <w:rPr>
                <w:rFonts w:ascii="宋体" w:hAnsi="宋体" w:cs="宋体"/>
                <w:color w:val="000000"/>
                <w:kern w:val="0"/>
                <w:sz w:val="20"/>
                <w:szCs w:val="20"/>
              </w:rPr>
              <w:instrText xml:space="preserve"> = average(D26:H26) \* MERGEFORMAT </w:instrText>
            </w:r>
            <w:r>
              <w:rPr>
                <w:rFonts w:ascii="宋体" w:hAnsi="宋体" w:cs="宋体"/>
                <w:color w:val="000000"/>
                <w:kern w:val="0"/>
                <w:sz w:val="20"/>
                <w:szCs w:val="20"/>
              </w:rPr>
              <w:fldChar w:fldCharType="separate"/>
            </w:r>
            <w:r>
              <w:rPr>
                <w:rFonts w:ascii="宋体" w:hAnsi="宋体" w:cs="宋体"/>
                <w:color w:val="000000"/>
                <w:kern w:val="0"/>
                <w:sz w:val="20"/>
                <w:szCs w:val="20"/>
              </w:rPr>
              <w:t>8.4</w:t>
            </w:r>
            <w:r>
              <w:rPr>
                <w:rFonts w:ascii="宋体" w:hAnsi="宋体" w:cs="宋体"/>
                <w:color w:val="000000"/>
                <w:kern w:val="0"/>
                <w:sz w:val="20"/>
                <w:szCs w:val="20"/>
              </w:rPr>
              <w:fldChar w:fldCharType="end"/>
            </w:r>
          </w:p>
        </w:tc>
        <w:tc>
          <w:tcPr>
            <w:tcW w:w="10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r>
              <w:rPr>
                <w:rFonts w:hint="eastAsia" w:ascii="宋体" w:hAnsi="宋体" w:cs="宋体"/>
                <w:color w:val="000000"/>
                <w:sz w:val="20"/>
                <w:szCs w:val="20"/>
              </w:rPr>
              <w:t>加强成本节约和控制措施</w:t>
            </w:r>
          </w:p>
        </w:tc>
      </w:tr>
      <w:tr>
        <w:tblPrEx>
          <w:tblCellMar>
            <w:top w:w="0" w:type="dxa"/>
            <w:left w:w="108" w:type="dxa"/>
            <w:bottom w:w="0" w:type="dxa"/>
            <w:right w:w="108" w:type="dxa"/>
          </w:tblCellMar>
        </w:tblPrEx>
        <w:trPr>
          <w:trHeight w:val="680" w:hRule="atLeast"/>
        </w:trPr>
        <w:tc>
          <w:tcPr>
            <w:tcW w:w="240"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效益</w:t>
            </w:r>
          </w:p>
        </w:tc>
        <w:tc>
          <w:tcPr>
            <w:tcW w:w="393"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项目效益</w:t>
            </w:r>
          </w:p>
        </w:tc>
        <w:tc>
          <w:tcPr>
            <w:tcW w:w="2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w:t>
            </w:r>
          </w:p>
        </w:tc>
        <w:tc>
          <w:tcPr>
            <w:tcW w:w="61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实施效益</w:t>
            </w:r>
          </w:p>
        </w:tc>
        <w:tc>
          <w:tcPr>
            <w:tcW w:w="2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w:t>
            </w:r>
          </w:p>
        </w:tc>
        <w:tc>
          <w:tcPr>
            <w:tcW w:w="18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项目实施所产生的效益。</w:t>
            </w:r>
          </w:p>
        </w:tc>
        <w:tc>
          <w:tcPr>
            <w:tcW w:w="314" w:type="pc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rPr>
                <w:rFonts w:hint="eastAsia" w:ascii="宋体" w:hAnsi="宋体" w:cs="宋体"/>
                <w:color w:val="000000"/>
                <w:kern w:val="0"/>
                <w:sz w:val="20"/>
                <w:szCs w:val="20"/>
              </w:rPr>
            </w:pPr>
            <w:r>
              <w:rPr>
                <w:rFonts w:ascii="宋体" w:hAnsi="宋体" w:cs="宋体"/>
                <w:color w:val="000000"/>
                <w:kern w:val="0"/>
                <w:sz w:val="20"/>
                <w:szCs w:val="20"/>
              </w:rPr>
              <w:fldChar w:fldCharType="begin"/>
            </w:r>
            <w:r>
              <w:rPr>
                <w:rFonts w:ascii="宋体" w:hAnsi="宋体" w:cs="宋体"/>
                <w:color w:val="000000"/>
                <w:kern w:val="0"/>
                <w:sz w:val="20"/>
                <w:szCs w:val="20"/>
              </w:rPr>
              <w:instrText xml:space="preserve"> = average(D28:H28) \* MERGEFORMAT </w:instrText>
            </w:r>
            <w:r>
              <w:rPr>
                <w:rFonts w:ascii="宋体" w:hAnsi="宋体" w:cs="宋体"/>
                <w:color w:val="000000"/>
                <w:kern w:val="0"/>
                <w:sz w:val="20"/>
                <w:szCs w:val="20"/>
              </w:rPr>
              <w:fldChar w:fldCharType="separate"/>
            </w:r>
            <w:r>
              <w:rPr>
                <w:rFonts w:ascii="宋体" w:hAnsi="宋体" w:cs="宋体"/>
                <w:color w:val="000000"/>
                <w:kern w:val="0"/>
                <w:sz w:val="20"/>
                <w:szCs w:val="20"/>
              </w:rPr>
              <w:t>8.4</w:t>
            </w:r>
            <w:r>
              <w:rPr>
                <w:rFonts w:ascii="宋体" w:hAnsi="宋体" w:cs="宋体"/>
                <w:color w:val="000000"/>
                <w:kern w:val="0"/>
                <w:sz w:val="20"/>
                <w:szCs w:val="20"/>
              </w:rPr>
              <w:fldChar w:fldCharType="end"/>
            </w:r>
          </w:p>
        </w:tc>
        <w:tc>
          <w:tcPr>
            <w:tcW w:w="10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r>
              <w:rPr>
                <w:rFonts w:ascii="宋体" w:hAnsi="宋体" w:cs="宋体"/>
                <w:color w:val="000000"/>
                <w:sz w:val="20"/>
                <w:szCs w:val="20"/>
              </w:rPr>
              <w:t>项目培训效果呈现不充分</w:t>
            </w:r>
          </w:p>
        </w:tc>
      </w:tr>
      <w:tr>
        <w:tblPrEx>
          <w:tblCellMar>
            <w:top w:w="0" w:type="dxa"/>
            <w:left w:w="108" w:type="dxa"/>
            <w:bottom w:w="0" w:type="dxa"/>
            <w:right w:w="108" w:type="dxa"/>
          </w:tblCellMar>
        </w:tblPrEx>
        <w:trPr>
          <w:trHeight w:val="680" w:hRule="atLeast"/>
        </w:trPr>
        <w:tc>
          <w:tcPr>
            <w:tcW w:w="24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hint="eastAsia" w:ascii="宋体" w:hAnsi="宋体" w:cs="宋体"/>
                <w:color w:val="000000"/>
                <w:sz w:val="20"/>
                <w:szCs w:val="20"/>
              </w:rPr>
            </w:pPr>
          </w:p>
        </w:tc>
        <w:tc>
          <w:tcPr>
            <w:tcW w:w="393"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p>
        </w:tc>
        <w:tc>
          <w:tcPr>
            <w:tcW w:w="28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w:t>
            </w:r>
          </w:p>
        </w:tc>
        <w:tc>
          <w:tcPr>
            <w:tcW w:w="616"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满意度</w:t>
            </w:r>
          </w:p>
        </w:tc>
        <w:tc>
          <w:tcPr>
            <w:tcW w:w="28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w:t>
            </w:r>
          </w:p>
        </w:tc>
        <w:tc>
          <w:tcPr>
            <w:tcW w:w="1859"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社会公众或服务对象对项目实施效果的满意程度。</w:t>
            </w:r>
          </w:p>
        </w:tc>
        <w:tc>
          <w:tcPr>
            <w:tcW w:w="314" w:type="pct"/>
            <w:tcBorders>
              <w:top w:val="single" w:color="000000" w:sz="4" w:space="0"/>
              <w:left w:val="single" w:color="000000" w:sz="4" w:space="0"/>
              <w:bottom w:val="single" w:color="000000" w:sz="4" w:space="0"/>
              <w:right w:val="single" w:color="000000" w:sz="4" w:space="0"/>
            </w:tcBorders>
            <w:vAlign w:val="center"/>
          </w:tcPr>
          <w:p>
            <w:pPr>
              <w:widowControl/>
              <w:ind w:firstLine="0" w:firstLineChars="0"/>
              <w:jc w:val="center"/>
              <w:rPr>
                <w:rFonts w:hint="eastAsia" w:ascii="宋体" w:hAnsi="宋体" w:cs="宋体"/>
                <w:color w:val="000000"/>
                <w:kern w:val="0"/>
                <w:sz w:val="20"/>
                <w:szCs w:val="20"/>
              </w:rPr>
            </w:pPr>
            <w:r>
              <w:rPr>
                <w:rFonts w:ascii="宋体" w:hAnsi="宋体" w:cs="宋体"/>
                <w:color w:val="000000"/>
                <w:kern w:val="0"/>
                <w:sz w:val="20"/>
                <w:szCs w:val="20"/>
              </w:rPr>
              <w:fldChar w:fldCharType="begin"/>
            </w:r>
            <w:r>
              <w:rPr>
                <w:rFonts w:ascii="宋体" w:hAnsi="宋体" w:cs="宋体"/>
                <w:color w:val="000000"/>
                <w:kern w:val="0"/>
                <w:sz w:val="20"/>
                <w:szCs w:val="20"/>
              </w:rPr>
              <w:instrText xml:space="preserve"> = average(D29:H29) \* MERGEFORMAT </w:instrText>
            </w:r>
            <w:r>
              <w:rPr>
                <w:rFonts w:ascii="宋体" w:hAnsi="宋体" w:cs="宋体"/>
                <w:color w:val="000000"/>
                <w:kern w:val="0"/>
                <w:sz w:val="20"/>
                <w:szCs w:val="20"/>
              </w:rPr>
              <w:fldChar w:fldCharType="separate"/>
            </w:r>
            <w:r>
              <w:rPr>
                <w:rFonts w:ascii="宋体" w:hAnsi="宋体" w:cs="宋体"/>
                <w:color w:val="000000"/>
                <w:kern w:val="0"/>
                <w:sz w:val="20"/>
                <w:szCs w:val="20"/>
              </w:rPr>
              <w:t>8.7</w:t>
            </w:r>
            <w:r>
              <w:rPr>
                <w:rFonts w:ascii="宋体" w:hAnsi="宋体" w:cs="宋体"/>
                <w:color w:val="000000"/>
                <w:kern w:val="0"/>
                <w:sz w:val="20"/>
                <w:szCs w:val="20"/>
              </w:rPr>
              <w:fldChar w:fldCharType="end"/>
            </w:r>
          </w:p>
        </w:tc>
        <w:tc>
          <w:tcPr>
            <w:tcW w:w="1001"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eastAsia" w:ascii="宋体" w:hAnsi="宋体" w:cs="宋体"/>
                <w:color w:val="000000"/>
                <w:sz w:val="20"/>
                <w:szCs w:val="20"/>
              </w:rPr>
            </w:pPr>
            <w:r>
              <w:rPr>
                <w:rFonts w:hint="eastAsia" w:ascii="宋体" w:hAnsi="宋体" w:cs="宋体"/>
                <w:color w:val="000000"/>
                <w:sz w:val="20"/>
                <w:szCs w:val="20"/>
              </w:rPr>
              <w:t>部分学员有提升意见</w:t>
            </w:r>
          </w:p>
        </w:tc>
      </w:tr>
      <w:tr>
        <w:tblPrEx>
          <w:tblCellMar>
            <w:top w:w="0" w:type="dxa"/>
            <w:left w:w="108" w:type="dxa"/>
            <w:bottom w:w="0" w:type="dxa"/>
            <w:right w:w="108" w:type="dxa"/>
          </w:tblCellMar>
        </w:tblPrEx>
        <w:trPr>
          <w:trHeight w:val="680" w:hRule="atLeast"/>
        </w:trPr>
        <w:tc>
          <w:tcPr>
            <w:tcW w:w="634"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合计</w:t>
            </w:r>
          </w:p>
        </w:tc>
        <w:tc>
          <w:tcPr>
            <w:tcW w:w="286"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100</w:t>
            </w:r>
          </w:p>
        </w:tc>
        <w:tc>
          <w:tcPr>
            <w:tcW w:w="616"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rPr>
                <w:rFonts w:hint="eastAsia" w:ascii="宋体" w:hAnsi="宋体" w:cs="宋体"/>
                <w:b/>
                <w:bCs/>
                <w:color w:val="000000"/>
                <w:sz w:val="20"/>
                <w:szCs w:val="20"/>
              </w:rPr>
            </w:pPr>
          </w:p>
        </w:tc>
        <w:tc>
          <w:tcPr>
            <w:tcW w:w="287"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100</w:t>
            </w:r>
          </w:p>
        </w:tc>
        <w:tc>
          <w:tcPr>
            <w:tcW w:w="1859"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jc w:val="left"/>
              <w:rPr>
                <w:rFonts w:hint="eastAsia" w:ascii="宋体" w:hAnsi="宋体" w:cs="宋体"/>
                <w:b/>
                <w:bCs/>
                <w:color w:val="000000"/>
                <w:sz w:val="20"/>
                <w:szCs w:val="20"/>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180" w:firstLineChars="100"/>
              <w:rPr>
                <w:rFonts w:hint="eastAsia" w:ascii="宋体" w:hAnsi="宋体" w:cs="宋体"/>
                <w:b/>
                <w:bCs/>
                <w:color w:val="000000"/>
                <w:sz w:val="18"/>
                <w:szCs w:val="18"/>
              </w:rPr>
            </w:pPr>
            <w:r>
              <w:rPr>
                <w:rFonts w:hint="eastAsia" w:ascii="宋体" w:hAnsi="宋体" w:cs="宋体"/>
                <w:b/>
                <w:bCs/>
                <w:color w:val="000000"/>
                <w:sz w:val="18"/>
                <w:szCs w:val="18"/>
              </w:rPr>
              <w:t>87.26</w:t>
            </w:r>
          </w:p>
        </w:tc>
        <w:tc>
          <w:tcPr>
            <w:tcW w:w="1001"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ind w:firstLine="0" w:firstLineChars="0"/>
              <w:rPr>
                <w:rFonts w:hint="eastAsia" w:ascii="宋体" w:hAnsi="宋体" w:cs="宋体"/>
                <w:color w:val="000000"/>
                <w:sz w:val="22"/>
              </w:rPr>
            </w:pPr>
          </w:p>
        </w:tc>
      </w:tr>
    </w:tbl>
    <w:p>
      <w:pPr>
        <w:widowControl/>
        <w:spacing w:line="240" w:lineRule="auto"/>
        <w:ind w:firstLine="400"/>
        <w:jc w:val="center"/>
        <w:rPr>
          <w:color w:val="000000"/>
          <w:sz w:val="20"/>
          <w:szCs w:val="20"/>
        </w:rPr>
        <w:sectPr>
          <w:footerReference r:id="rId12" w:type="default"/>
          <w:pgSz w:w="16838" w:h="11906" w:orient="landscape"/>
          <w:pgMar w:top="1701" w:right="1701" w:bottom="1701" w:left="1701" w:header="851" w:footer="992" w:gutter="0"/>
          <w:pgNumType w:start="1"/>
          <w:cols w:space="720" w:num="1"/>
          <w:docGrid w:type="lines" w:linePitch="327" w:charSpace="0"/>
        </w:sectPr>
      </w:pPr>
    </w:p>
    <w:p>
      <w:pPr>
        <w:pStyle w:val="5"/>
        <w:ind w:firstLine="0"/>
        <w:rPr>
          <w:sz w:val="24"/>
          <w:szCs w:val="24"/>
        </w:rPr>
      </w:pPr>
    </w:p>
    <w:sectPr>
      <w:footerReference r:id="rId13" w:type="default"/>
      <w:pgSz w:w="11906" w:h="16838"/>
      <w:pgMar w:top="1701" w:right="1701" w:bottom="1701" w:left="1701" w:header="851" w:footer="992" w:gutter="0"/>
      <w:pgNumType w:start="1"/>
      <w:cols w:space="720" w:num="1"/>
      <w:docGrid w:type="lines" w:linePitch="32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000001FF" w:csb1="00000000"/>
  </w:font>
  <w:font w:name="Verdana">
    <w:altName w:val="DejaVu Sans"/>
    <w:panose1 w:val="020B0604030504040204"/>
    <w:charset w:val="00"/>
    <w:family w:val="swiss"/>
    <w:pitch w:val="default"/>
    <w:sig w:usb0="00000000" w:usb1="00000000" w:usb2="00000010"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0000000000000000000"/>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480"/>
      <w:jc w:val="center"/>
      <w:rPr>
        <w:sz w:val="28"/>
        <w:szCs w:val="28"/>
      </w:rPr>
    </w:pP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480"/>
      <w:jc w:val="center"/>
      <w:rPr>
        <w:sz w:val="28"/>
        <w:szCs w:val="28"/>
      </w:rPr>
    </w:pPr>
  </w:p>
  <w:p>
    <w:pPr>
      <w:pStyle w:val="1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480"/>
      <w:jc w:val="center"/>
      <w:rPr>
        <w:sz w:val="28"/>
        <w:szCs w:val="28"/>
      </w:rPr>
    </w:pPr>
  </w:p>
  <w:p>
    <w:pPr>
      <w:pStyle w:val="1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480"/>
      <w:jc w:val="center"/>
      <w:rPr>
        <w:sz w:val="28"/>
        <w:szCs w:val="28"/>
      </w:rPr>
    </w:pPr>
  </w:p>
  <w:p>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p>
    <w:pPr>
      <w:pStyle w:val="7"/>
      <w:ind w:firstLine="7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TrueTypeFonts/>
  <w:saveSubsetFonts/>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20"/>
  <w:drawingGridVerticalSpacing w:val="327"/>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kyY2I5OWI5YzUwODdmNzllOTcxODI2MTU0YzY5MGMifQ=="/>
  </w:docVars>
  <w:rsids>
    <w:rsidRoot w:val="00172A27"/>
    <w:rsid w:val="00002356"/>
    <w:rsid w:val="000037E9"/>
    <w:rsid w:val="000059FE"/>
    <w:rsid w:val="000077DF"/>
    <w:rsid w:val="00010E99"/>
    <w:rsid w:val="00012954"/>
    <w:rsid w:val="00017985"/>
    <w:rsid w:val="00024BA6"/>
    <w:rsid w:val="00027BC2"/>
    <w:rsid w:val="0003037F"/>
    <w:rsid w:val="00031D06"/>
    <w:rsid w:val="00034936"/>
    <w:rsid w:val="00035BAC"/>
    <w:rsid w:val="00036401"/>
    <w:rsid w:val="000372C2"/>
    <w:rsid w:val="000375B7"/>
    <w:rsid w:val="00041949"/>
    <w:rsid w:val="00041D2C"/>
    <w:rsid w:val="000421CE"/>
    <w:rsid w:val="0004282C"/>
    <w:rsid w:val="00044744"/>
    <w:rsid w:val="00044D7D"/>
    <w:rsid w:val="00050025"/>
    <w:rsid w:val="00050BEC"/>
    <w:rsid w:val="00053B55"/>
    <w:rsid w:val="00053B57"/>
    <w:rsid w:val="00060B6D"/>
    <w:rsid w:val="00062EF1"/>
    <w:rsid w:val="00063B67"/>
    <w:rsid w:val="00064715"/>
    <w:rsid w:val="00066569"/>
    <w:rsid w:val="00066ED6"/>
    <w:rsid w:val="0006771D"/>
    <w:rsid w:val="00067955"/>
    <w:rsid w:val="00070EB5"/>
    <w:rsid w:val="00072FB3"/>
    <w:rsid w:val="000740A2"/>
    <w:rsid w:val="00074199"/>
    <w:rsid w:val="00074AFF"/>
    <w:rsid w:val="0008060D"/>
    <w:rsid w:val="000808EC"/>
    <w:rsid w:val="00084035"/>
    <w:rsid w:val="000841FE"/>
    <w:rsid w:val="00085CD5"/>
    <w:rsid w:val="00086C55"/>
    <w:rsid w:val="000874D1"/>
    <w:rsid w:val="00087895"/>
    <w:rsid w:val="00091AFB"/>
    <w:rsid w:val="00091F19"/>
    <w:rsid w:val="000A0A13"/>
    <w:rsid w:val="000A31D1"/>
    <w:rsid w:val="000A4FF3"/>
    <w:rsid w:val="000A52CC"/>
    <w:rsid w:val="000B287F"/>
    <w:rsid w:val="000B584A"/>
    <w:rsid w:val="000B5BE4"/>
    <w:rsid w:val="000C1D2F"/>
    <w:rsid w:val="000C2E8D"/>
    <w:rsid w:val="000C42CE"/>
    <w:rsid w:val="000C46B0"/>
    <w:rsid w:val="000C46F9"/>
    <w:rsid w:val="000C637E"/>
    <w:rsid w:val="000D0F18"/>
    <w:rsid w:val="000D3AC9"/>
    <w:rsid w:val="000E08B4"/>
    <w:rsid w:val="000E1B3B"/>
    <w:rsid w:val="000E2A90"/>
    <w:rsid w:val="000E2F08"/>
    <w:rsid w:val="000E45A8"/>
    <w:rsid w:val="000E6264"/>
    <w:rsid w:val="000F1984"/>
    <w:rsid w:val="000F1E5A"/>
    <w:rsid w:val="000F3825"/>
    <w:rsid w:val="000F38FC"/>
    <w:rsid w:val="000F5E66"/>
    <w:rsid w:val="000F7B5A"/>
    <w:rsid w:val="00100E1E"/>
    <w:rsid w:val="001107B2"/>
    <w:rsid w:val="00113E57"/>
    <w:rsid w:val="00116761"/>
    <w:rsid w:val="001203B1"/>
    <w:rsid w:val="00124136"/>
    <w:rsid w:val="00127B94"/>
    <w:rsid w:val="00131CFC"/>
    <w:rsid w:val="0013246B"/>
    <w:rsid w:val="00133D17"/>
    <w:rsid w:val="00134761"/>
    <w:rsid w:val="00135C4A"/>
    <w:rsid w:val="00136CDB"/>
    <w:rsid w:val="001378FC"/>
    <w:rsid w:val="00140B59"/>
    <w:rsid w:val="00140B91"/>
    <w:rsid w:val="00141D2C"/>
    <w:rsid w:val="00143EFF"/>
    <w:rsid w:val="00147D59"/>
    <w:rsid w:val="00152AD1"/>
    <w:rsid w:val="001538CA"/>
    <w:rsid w:val="001544D6"/>
    <w:rsid w:val="00155596"/>
    <w:rsid w:val="001565AB"/>
    <w:rsid w:val="0016096D"/>
    <w:rsid w:val="00160F4A"/>
    <w:rsid w:val="00171C32"/>
    <w:rsid w:val="00172047"/>
    <w:rsid w:val="00172A27"/>
    <w:rsid w:val="00173776"/>
    <w:rsid w:val="0017556C"/>
    <w:rsid w:val="001758BE"/>
    <w:rsid w:val="0017628F"/>
    <w:rsid w:val="001802D2"/>
    <w:rsid w:val="0018132D"/>
    <w:rsid w:val="001821B0"/>
    <w:rsid w:val="0018274C"/>
    <w:rsid w:val="00182803"/>
    <w:rsid w:val="00183AD7"/>
    <w:rsid w:val="00183C38"/>
    <w:rsid w:val="001847C9"/>
    <w:rsid w:val="00185B20"/>
    <w:rsid w:val="00185FED"/>
    <w:rsid w:val="00190D55"/>
    <w:rsid w:val="00194CA3"/>
    <w:rsid w:val="0019568A"/>
    <w:rsid w:val="001969DC"/>
    <w:rsid w:val="00197713"/>
    <w:rsid w:val="001A223C"/>
    <w:rsid w:val="001A2DED"/>
    <w:rsid w:val="001A40A3"/>
    <w:rsid w:val="001A4161"/>
    <w:rsid w:val="001B02B4"/>
    <w:rsid w:val="001B03B6"/>
    <w:rsid w:val="001B4536"/>
    <w:rsid w:val="001B4AB5"/>
    <w:rsid w:val="001B5A38"/>
    <w:rsid w:val="001B7E25"/>
    <w:rsid w:val="001C08CB"/>
    <w:rsid w:val="001C0AE0"/>
    <w:rsid w:val="001C2C9C"/>
    <w:rsid w:val="001C2F17"/>
    <w:rsid w:val="001C30D9"/>
    <w:rsid w:val="001C399E"/>
    <w:rsid w:val="001C5E02"/>
    <w:rsid w:val="001C79DF"/>
    <w:rsid w:val="001C7BBA"/>
    <w:rsid w:val="001D0B8B"/>
    <w:rsid w:val="001D22A7"/>
    <w:rsid w:val="001D267C"/>
    <w:rsid w:val="001D26A1"/>
    <w:rsid w:val="001D4206"/>
    <w:rsid w:val="001D7252"/>
    <w:rsid w:val="001D7702"/>
    <w:rsid w:val="001D779F"/>
    <w:rsid w:val="001D7A85"/>
    <w:rsid w:val="001E09BE"/>
    <w:rsid w:val="001E0C7C"/>
    <w:rsid w:val="001E3878"/>
    <w:rsid w:val="001E3966"/>
    <w:rsid w:val="001E469B"/>
    <w:rsid w:val="001F0B69"/>
    <w:rsid w:val="001F1386"/>
    <w:rsid w:val="001F1760"/>
    <w:rsid w:val="001F1ACC"/>
    <w:rsid w:val="001F21F3"/>
    <w:rsid w:val="001F4563"/>
    <w:rsid w:val="001F4D60"/>
    <w:rsid w:val="001F790D"/>
    <w:rsid w:val="00200C5E"/>
    <w:rsid w:val="0020127E"/>
    <w:rsid w:val="002016C5"/>
    <w:rsid w:val="002033EF"/>
    <w:rsid w:val="002036B8"/>
    <w:rsid w:val="00206367"/>
    <w:rsid w:val="0021072E"/>
    <w:rsid w:val="0021086C"/>
    <w:rsid w:val="00215B54"/>
    <w:rsid w:val="00215FD6"/>
    <w:rsid w:val="00216EAE"/>
    <w:rsid w:val="00220F0B"/>
    <w:rsid w:val="00222849"/>
    <w:rsid w:val="00223C49"/>
    <w:rsid w:val="00226AA2"/>
    <w:rsid w:val="00227031"/>
    <w:rsid w:val="00227B7C"/>
    <w:rsid w:val="00231244"/>
    <w:rsid w:val="00231887"/>
    <w:rsid w:val="0023421D"/>
    <w:rsid w:val="00236FD1"/>
    <w:rsid w:val="002370CC"/>
    <w:rsid w:val="0023757E"/>
    <w:rsid w:val="00241287"/>
    <w:rsid w:val="00244DD2"/>
    <w:rsid w:val="0024585A"/>
    <w:rsid w:val="00246AD6"/>
    <w:rsid w:val="00247B1B"/>
    <w:rsid w:val="002553C3"/>
    <w:rsid w:val="002570F6"/>
    <w:rsid w:val="00264B6C"/>
    <w:rsid w:val="00265B47"/>
    <w:rsid w:val="002705F9"/>
    <w:rsid w:val="00270755"/>
    <w:rsid w:val="00270B61"/>
    <w:rsid w:val="0027240B"/>
    <w:rsid w:val="002738AF"/>
    <w:rsid w:val="0027513E"/>
    <w:rsid w:val="002779DD"/>
    <w:rsid w:val="002855D6"/>
    <w:rsid w:val="002879D4"/>
    <w:rsid w:val="00287CE6"/>
    <w:rsid w:val="0029138B"/>
    <w:rsid w:val="0029439A"/>
    <w:rsid w:val="00294C87"/>
    <w:rsid w:val="00294CCA"/>
    <w:rsid w:val="00296583"/>
    <w:rsid w:val="00296B78"/>
    <w:rsid w:val="00296F63"/>
    <w:rsid w:val="002A0679"/>
    <w:rsid w:val="002A1513"/>
    <w:rsid w:val="002A690A"/>
    <w:rsid w:val="002B24A7"/>
    <w:rsid w:val="002B39DD"/>
    <w:rsid w:val="002B3E2B"/>
    <w:rsid w:val="002B67CF"/>
    <w:rsid w:val="002C07CF"/>
    <w:rsid w:val="002C2971"/>
    <w:rsid w:val="002C548A"/>
    <w:rsid w:val="002C7BAE"/>
    <w:rsid w:val="002D051E"/>
    <w:rsid w:val="002D0792"/>
    <w:rsid w:val="002D1EB3"/>
    <w:rsid w:val="002D2F5B"/>
    <w:rsid w:val="002D3559"/>
    <w:rsid w:val="002D3BBB"/>
    <w:rsid w:val="002D3C50"/>
    <w:rsid w:val="002D49B9"/>
    <w:rsid w:val="002D5C96"/>
    <w:rsid w:val="002E1AD2"/>
    <w:rsid w:val="002E31AA"/>
    <w:rsid w:val="002E4157"/>
    <w:rsid w:val="002E7B85"/>
    <w:rsid w:val="002F1287"/>
    <w:rsid w:val="002F18F2"/>
    <w:rsid w:val="002F2A8E"/>
    <w:rsid w:val="002F4CBD"/>
    <w:rsid w:val="00300023"/>
    <w:rsid w:val="00300194"/>
    <w:rsid w:val="00300980"/>
    <w:rsid w:val="00301C8F"/>
    <w:rsid w:val="00304161"/>
    <w:rsid w:val="003055C1"/>
    <w:rsid w:val="00306ADE"/>
    <w:rsid w:val="00311DE0"/>
    <w:rsid w:val="00312E9C"/>
    <w:rsid w:val="00313E47"/>
    <w:rsid w:val="00317DC2"/>
    <w:rsid w:val="00321CB0"/>
    <w:rsid w:val="00322F14"/>
    <w:rsid w:val="00323408"/>
    <w:rsid w:val="0032669A"/>
    <w:rsid w:val="00327361"/>
    <w:rsid w:val="00327967"/>
    <w:rsid w:val="00331515"/>
    <w:rsid w:val="00332E7D"/>
    <w:rsid w:val="003333BA"/>
    <w:rsid w:val="00333EB5"/>
    <w:rsid w:val="003366DC"/>
    <w:rsid w:val="00341228"/>
    <w:rsid w:val="00343156"/>
    <w:rsid w:val="0034640C"/>
    <w:rsid w:val="00346939"/>
    <w:rsid w:val="00350306"/>
    <w:rsid w:val="003509D0"/>
    <w:rsid w:val="0035100A"/>
    <w:rsid w:val="003516EE"/>
    <w:rsid w:val="0035315B"/>
    <w:rsid w:val="00353870"/>
    <w:rsid w:val="00354897"/>
    <w:rsid w:val="00356FB1"/>
    <w:rsid w:val="0035746B"/>
    <w:rsid w:val="00360E24"/>
    <w:rsid w:val="003611E4"/>
    <w:rsid w:val="00365F0F"/>
    <w:rsid w:val="00371332"/>
    <w:rsid w:val="0037233F"/>
    <w:rsid w:val="00372FE4"/>
    <w:rsid w:val="0037602E"/>
    <w:rsid w:val="00376123"/>
    <w:rsid w:val="003808FE"/>
    <w:rsid w:val="003828C6"/>
    <w:rsid w:val="00384825"/>
    <w:rsid w:val="0039041C"/>
    <w:rsid w:val="00390DC5"/>
    <w:rsid w:val="00391BB1"/>
    <w:rsid w:val="00392ACA"/>
    <w:rsid w:val="0039319A"/>
    <w:rsid w:val="00393C76"/>
    <w:rsid w:val="00394890"/>
    <w:rsid w:val="00395315"/>
    <w:rsid w:val="00397AB9"/>
    <w:rsid w:val="003A0353"/>
    <w:rsid w:val="003A2342"/>
    <w:rsid w:val="003A2C39"/>
    <w:rsid w:val="003A306F"/>
    <w:rsid w:val="003A5884"/>
    <w:rsid w:val="003A6FA7"/>
    <w:rsid w:val="003B03D9"/>
    <w:rsid w:val="003B2296"/>
    <w:rsid w:val="003B4045"/>
    <w:rsid w:val="003B5510"/>
    <w:rsid w:val="003B670C"/>
    <w:rsid w:val="003B7BF6"/>
    <w:rsid w:val="003B7ED2"/>
    <w:rsid w:val="003C00EC"/>
    <w:rsid w:val="003C1419"/>
    <w:rsid w:val="003C15C6"/>
    <w:rsid w:val="003C1AC5"/>
    <w:rsid w:val="003C1AF5"/>
    <w:rsid w:val="003C57E5"/>
    <w:rsid w:val="003D1563"/>
    <w:rsid w:val="003D1F54"/>
    <w:rsid w:val="003D4E34"/>
    <w:rsid w:val="003D5EEA"/>
    <w:rsid w:val="003D684F"/>
    <w:rsid w:val="003D7FBD"/>
    <w:rsid w:val="003E137A"/>
    <w:rsid w:val="003E2D3C"/>
    <w:rsid w:val="003E47FC"/>
    <w:rsid w:val="003E73DB"/>
    <w:rsid w:val="003F04B9"/>
    <w:rsid w:val="003F22C5"/>
    <w:rsid w:val="003F3387"/>
    <w:rsid w:val="003F416A"/>
    <w:rsid w:val="003F7999"/>
    <w:rsid w:val="00402AF5"/>
    <w:rsid w:val="00403005"/>
    <w:rsid w:val="00403663"/>
    <w:rsid w:val="0040496B"/>
    <w:rsid w:val="00405DFA"/>
    <w:rsid w:val="004063E2"/>
    <w:rsid w:val="00406D98"/>
    <w:rsid w:val="00407BE0"/>
    <w:rsid w:val="00411000"/>
    <w:rsid w:val="0041391E"/>
    <w:rsid w:val="004141BA"/>
    <w:rsid w:val="00416D66"/>
    <w:rsid w:val="0041705A"/>
    <w:rsid w:val="00420B51"/>
    <w:rsid w:val="0042239C"/>
    <w:rsid w:val="00430F61"/>
    <w:rsid w:val="004314B0"/>
    <w:rsid w:val="00432314"/>
    <w:rsid w:val="00432A2A"/>
    <w:rsid w:val="00433049"/>
    <w:rsid w:val="004331EA"/>
    <w:rsid w:val="00433BC9"/>
    <w:rsid w:val="00436F7B"/>
    <w:rsid w:val="004375AC"/>
    <w:rsid w:val="00445718"/>
    <w:rsid w:val="0044734F"/>
    <w:rsid w:val="0044779D"/>
    <w:rsid w:val="004479DF"/>
    <w:rsid w:val="00452135"/>
    <w:rsid w:val="00456736"/>
    <w:rsid w:val="0046006F"/>
    <w:rsid w:val="00461744"/>
    <w:rsid w:val="0046511A"/>
    <w:rsid w:val="004724BE"/>
    <w:rsid w:val="004728FA"/>
    <w:rsid w:val="0047435E"/>
    <w:rsid w:val="00477BAE"/>
    <w:rsid w:val="00477FEC"/>
    <w:rsid w:val="00480365"/>
    <w:rsid w:val="00482250"/>
    <w:rsid w:val="00484E2C"/>
    <w:rsid w:val="004863BC"/>
    <w:rsid w:val="00487363"/>
    <w:rsid w:val="0049024F"/>
    <w:rsid w:val="00491E92"/>
    <w:rsid w:val="00496FC1"/>
    <w:rsid w:val="004A27C3"/>
    <w:rsid w:val="004A3949"/>
    <w:rsid w:val="004A6DC6"/>
    <w:rsid w:val="004A7750"/>
    <w:rsid w:val="004B0389"/>
    <w:rsid w:val="004B16C1"/>
    <w:rsid w:val="004B6FF8"/>
    <w:rsid w:val="004B77C4"/>
    <w:rsid w:val="004C0637"/>
    <w:rsid w:val="004C2BE8"/>
    <w:rsid w:val="004C4425"/>
    <w:rsid w:val="004C7432"/>
    <w:rsid w:val="004C7819"/>
    <w:rsid w:val="004D49B6"/>
    <w:rsid w:val="004D51E3"/>
    <w:rsid w:val="004E2E42"/>
    <w:rsid w:val="004E4B1F"/>
    <w:rsid w:val="004E65E8"/>
    <w:rsid w:val="004F00BE"/>
    <w:rsid w:val="004F1CE7"/>
    <w:rsid w:val="004F25B9"/>
    <w:rsid w:val="004F2830"/>
    <w:rsid w:val="004F3698"/>
    <w:rsid w:val="004F3935"/>
    <w:rsid w:val="004F3B16"/>
    <w:rsid w:val="004F7B1C"/>
    <w:rsid w:val="004F7FCD"/>
    <w:rsid w:val="00505D00"/>
    <w:rsid w:val="005061AC"/>
    <w:rsid w:val="00507FBF"/>
    <w:rsid w:val="00510E8A"/>
    <w:rsid w:val="0051648C"/>
    <w:rsid w:val="00521FB1"/>
    <w:rsid w:val="00523402"/>
    <w:rsid w:val="0052696F"/>
    <w:rsid w:val="00527C98"/>
    <w:rsid w:val="00527D32"/>
    <w:rsid w:val="00530989"/>
    <w:rsid w:val="0053297F"/>
    <w:rsid w:val="005330A5"/>
    <w:rsid w:val="00533672"/>
    <w:rsid w:val="005354BB"/>
    <w:rsid w:val="00536F2D"/>
    <w:rsid w:val="0053749C"/>
    <w:rsid w:val="00540826"/>
    <w:rsid w:val="00540E64"/>
    <w:rsid w:val="00541743"/>
    <w:rsid w:val="00541A28"/>
    <w:rsid w:val="00543067"/>
    <w:rsid w:val="00545D98"/>
    <w:rsid w:val="00546A95"/>
    <w:rsid w:val="0054708B"/>
    <w:rsid w:val="00550DDF"/>
    <w:rsid w:val="0055291A"/>
    <w:rsid w:val="00552BB9"/>
    <w:rsid w:val="005614D3"/>
    <w:rsid w:val="005624ED"/>
    <w:rsid w:val="00564451"/>
    <w:rsid w:val="00566C79"/>
    <w:rsid w:val="00567782"/>
    <w:rsid w:val="00570DB9"/>
    <w:rsid w:val="005717BF"/>
    <w:rsid w:val="005735C8"/>
    <w:rsid w:val="0057365A"/>
    <w:rsid w:val="00576F93"/>
    <w:rsid w:val="00577FFC"/>
    <w:rsid w:val="00584C4A"/>
    <w:rsid w:val="005854E0"/>
    <w:rsid w:val="00585AFD"/>
    <w:rsid w:val="00586BEF"/>
    <w:rsid w:val="00587C6E"/>
    <w:rsid w:val="005A3467"/>
    <w:rsid w:val="005A5A20"/>
    <w:rsid w:val="005A62DD"/>
    <w:rsid w:val="005B1290"/>
    <w:rsid w:val="005B4F8B"/>
    <w:rsid w:val="005B6187"/>
    <w:rsid w:val="005B7B43"/>
    <w:rsid w:val="005B7E90"/>
    <w:rsid w:val="005C0447"/>
    <w:rsid w:val="005C22A7"/>
    <w:rsid w:val="005C23CD"/>
    <w:rsid w:val="005C2761"/>
    <w:rsid w:val="005C59F3"/>
    <w:rsid w:val="005D01A6"/>
    <w:rsid w:val="005D0631"/>
    <w:rsid w:val="005D09F7"/>
    <w:rsid w:val="005D0BF5"/>
    <w:rsid w:val="005D15DC"/>
    <w:rsid w:val="005D18F1"/>
    <w:rsid w:val="005D4B47"/>
    <w:rsid w:val="005E1F1F"/>
    <w:rsid w:val="005E300B"/>
    <w:rsid w:val="005E6B16"/>
    <w:rsid w:val="005E6ED9"/>
    <w:rsid w:val="005F2CC0"/>
    <w:rsid w:val="005F3383"/>
    <w:rsid w:val="005F529D"/>
    <w:rsid w:val="005F5FE9"/>
    <w:rsid w:val="005F7E89"/>
    <w:rsid w:val="00604A5A"/>
    <w:rsid w:val="00604B66"/>
    <w:rsid w:val="006064B5"/>
    <w:rsid w:val="00607D34"/>
    <w:rsid w:val="00611928"/>
    <w:rsid w:val="006164E3"/>
    <w:rsid w:val="00617949"/>
    <w:rsid w:val="00620E96"/>
    <w:rsid w:val="00622281"/>
    <w:rsid w:val="00622C4A"/>
    <w:rsid w:val="00624377"/>
    <w:rsid w:val="006259AA"/>
    <w:rsid w:val="00630A58"/>
    <w:rsid w:val="00631A01"/>
    <w:rsid w:val="00632535"/>
    <w:rsid w:val="006326AD"/>
    <w:rsid w:val="006330A4"/>
    <w:rsid w:val="006330C4"/>
    <w:rsid w:val="00633DD5"/>
    <w:rsid w:val="00634DDE"/>
    <w:rsid w:val="00635038"/>
    <w:rsid w:val="00636B39"/>
    <w:rsid w:val="00641CB6"/>
    <w:rsid w:val="00642DA0"/>
    <w:rsid w:val="006448B7"/>
    <w:rsid w:val="00647242"/>
    <w:rsid w:val="00652ACA"/>
    <w:rsid w:val="00653A95"/>
    <w:rsid w:val="00653B2C"/>
    <w:rsid w:val="0065483C"/>
    <w:rsid w:val="00654EA2"/>
    <w:rsid w:val="00657DBE"/>
    <w:rsid w:val="00657E22"/>
    <w:rsid w:val="00661998"/>
    <w:rsid w:val="00661A23"/>
    <w:rsid w:val="00662B28"/>
    <w:rsid w:val="00664094"/>
    <w:rsid w:val="00664700"/>
    <w:rsid w:val="0066479D"/>
    <w:rsid w:val="00665FD0"/>
    <w:rsid w:val="00673160"/>
    <w:rsid w:val="006738E3"/>
    <w:rsid w:val="006743FA"/>
    <w:rsid w:val="00675115"/>
    <w:rsid w:val="006770C9"/>
    <w:rsid w:val="00677B66"/>
    <w:rsid w:val="00681F3F"/>
    <w:rsid w:val="00683504"/>
    <w:rsid w:val="006841C0"/>
    <w:rsid w:val="00685B63"/>
    <w:rsid w:val="00694B21"/>
    <w:rsid w:val="006B2F04"/>
    <w:rsid w:val="006C1E6D"/>
    <w:rsid w:val="006C2F62"/>
    <w:rsid w:val="006C36A1"/>
    <w:rsid w:val="006C590E"/>
    <w:rsid w:val="006C5E69"/>
    <w:rsid w:val="006C73FB"/>
    <w:rsid w:val="006D3B29"/>
    <w:rsid w:val="006D427D"/>
    <w:rsid w:val="006D50E9"/>
    <w:rsid w:val="006D65F4"/>
    <w:rsid w:val="006D7B2F"/>
    <w:rsid w:val="006E12A3"/>
    <w:rsid w:val="006E33CA"/>
    <w:rsid w:val="006E37AB"/>
    <w:rsid w:val="006E3871"/>
    <w:rsid w:val="006E5CEF"/>
    <w:rsid w:val="006F0C6F"/>
    <w:rsid w:val="006F1CBF"/>
    <w:rsid w:val="006F4709"/>
    <w:rsid w:val="006F6DA5"/>
    <w:rsid w:val="006F6F0A"/>
    <w:rsid w:val="006F769D"/>
    <w:rsid w:val="00701BBF"/>
    <w:rsid w:val="0070219E"/>
    <w:rsid w:val="00702588"/>
    <w:rsid w:val="00703BCD"/>
    <w:rsid w:val="00705CDF"/>
    <w:rsid w:val="00707405"/>
    <w:rsid w:val="0070778B"/>
    <w:rsid w:val="007124B8"/>
    <w:rsid w:val="00714569"/>
    <w:rsid w:val="00716739"/>
    <w:rsid w:val="00716760"/>
    <w:rsid w:val="00720418"/>
    <w:rsid w:val="007236B8"/>
    <w:rsid w:val="00723C9E"/>
    <w:rsid w:val="00724A36"/>
    <w:rsid w:val="007309B4"/>
    <w:rsid w:val="00731FBA"/>
    <w:rsid w:val="00733440"/>
    <w:rsid w:val="00735E4D"/>
    <w:rsid w:val="00736543"/>
    <w:rsid w:val="00737490"/>
    <w:rsid w:val="00740681"/>
    <w:rsid w:val="007411BF"/>
    <w:rsid w:val="0074264F"/>
    <w:rsid w:val="00742CD0"/>
    <w:rsid w:val="007433BE"/>
    <w:rsid w:val="0074663C"/>
    <w:rsid w:val="007469F6"/>
    <w:rsid w:val="007473B8"/>
    <w:rsid w:val="00752553"/>
    <w:rsid w:val="00753CB9"/>
    <w:rsid w:val="007547CA"/>
    <w:rsid w:val="00760B43"/>
    <w:rsid w:val="007610C3"/>
    <w:rsid w:val="00763DC9"/>
    <w:rsid w:val="00764DC7"/>
    <w:rsid w:val="00771044"/>
    <w:rsid w:val="007717CC"/>
    <w:rsid w:val="00771971"/>
    <w:rsid w:val="00772374"/>
    <w:rsid w:val="00773EBA"/>
    <w:rsid w:val="00776DF5"/>
    <w:rsid w:val="00780B61"/>
    <w:rsid w:val="0078401F"/>
    <w:rsid w:val="007862BC"/>
    <w:rsid w:val="0078662C"/>
    <w:rsid w:val="00794814"/>
    <w:rsid w:val="00797C28"/>
    <w:rsid w:val="007A1F63"/>
    <w:rsid w:val="007A6A4B"/>
    <w:rsid w:val="007A6E42"/>
    <w:rsid w:val="007A7873"/>
    <w:rsid w:val="007B1E61"/>
    <w:rsid w:val="007B6CC0"/>
    <w:rsid w:val="007B7A54"/>
    <w:rsid w:val="007C27D4"/>
    <w:rsid w:val="007C3E32"/>
    <w:rsid w:val="007C61D1"/>
    <w:rsid w:val="007C6D09"/>
    <w:rsid w:val="007D08E7"/>
    <w:rsid w:val="007D0B24"/>
    <w:rsid w:val="007D0CA1"/>
    <w:rsid w:val="007D24E4"/>
    <w:rsid w:val="007D54EC"/>
    <w:rsid w:val="007D69A0"/>
    <w:rsid w:val="007D69FA"/>
    <w:rsid w:val="007E2FE3"/>
    <w:rsid w:val="007E360A"/>
    <w:rsid w:val="007E5355"/>
    <w:rsid w:val="007E64A4"/>
    <w:rsid w:val="007F1A08"/>
    <w:rsid w:val="007F2051"/>
    <w:rsid w:val="007F3997"/>
    <w:rsid w:val="007F6DCE"/>
    <w:rsid w:val="007F72F6"/>
    <w:rsid w:val="007F7C9C"/>
    <w:rsid w:val="008015CC"/>
    <w:rsid w:val="00801B53"/>
    <w:rsid w:val="00801B72"/>
    <w:rsid w:val="00801C64"/>
    <w:rsid w:val="0080476A"/>
    <w:rsid w:val="008051E1"/>
    <w:rsid w:val="008058D3"/>
    <w:rsid w:val="00810DE9"/>
    <w:rsid w:val="00816A10"/>
    <w:rsid w:val="00817119"/>
    <w:rsid w:val="008174AC"/>
    <w:rsid w:val="00817F16"/>
    <w:rsid w:val="0082450B"/>
    <w:rsid w:val="008247DD"/>
    <w:rsid w:val="00824F4A"/>
    <w:rsid w:val="00827E65"/>
    <w:rsid w:val="008327D0"/>
    <w:rsid w:val="008352BD"/>
    <w:rsid w:val="00836B86"/>
    <w:rsid w:val="0084608E"/>
    <w:rsid w:val="00847E1E"/>
    <w:rsid w:val="0085263D"/>
    <w:rsid w:val="00854CD2"/>
    <w:rsid w:val="00855EAD"/>
    <w:rsid w:val="00857020"/>
    <w:rsid w:val="008627AC"/>
    <w:rsid w:val="0086290D"/>
    <w:rsid w:val="00865366"/>
    <w:rsid w:val="00872647"/>
    <w:rsid w:val="00873C41"/>
    <w:rsid w:val="00876C9D"/>
    <w:rsid w:val="0087732C"/>
    <w:rsid w:val="00877668"/>
    <w:rsid w:val="008802A1"/>
    <w:rsid w:val="00880ED7"/>
    <w:rsid w:val="008831AC"/>
    <w:rsid w:val="00885898"/>
    <w:rsid w:val="0088705C"/>
    <w:rsid w:val="008871FD"/>
    <w:rsid w:val="00893601"/>
    <w:rsid w:val="008941F9"/>
    <w:rsid w:val="0089421C"/>
    <w:rsid w:val="0089501D"/>
    <w:rsid w:val="008955CA"/>
    <w:rsid w:val="00895930"/>
    <w:rsid w:val="008A008F"/>
    <w:rsid w:val="008A2112"/>
    <w:rsid w:val="008A2425"/>
    <w:rsid w:val="008A3396"/>
    <w:rsid w:val="008A44AD"/>
    <w:rsid w:val="008B3E4C"/>
    <w:rsid w:val="008B55D4"/>
    <w:rsid w:val="008B63BE"/>
    <w:rsid w:val="008B6879"/>
    <w:rsid w:val="008C336A"/>
    <w:rsid w:val="008C4770"/>
    <w:rsid w:val="008C4ABC"/>
    <w:rsid w:val="008C541A"/>
    <w:rsid w:val="008C67D8"/>
    <w:rsid w:val="008D18FC"/>
    <w:rsid w:val="008D6BD6"/>
    <w:rsid w:val="008D6FDA"/>
    <w:rsid w:val="008D764F"/>
    <w:rsid w:val="008D7F6D"/>
    <w:rsid w:val="008E1903"/>
    <w:rsid w:val="008E7690"/>
    <w:rsid w:val="008E7CB7"/>
    <w:rsid w:val="008F4C2C"/>
    <w:rsid w:val="008F53AA"/>
    <w:rsid w:val="008F6E2A"/>
    <w:rsid w:val="00900B9C"/>
    <w:rsid w:val="00904534"/>
    <w:rsid w:val="009113DB"/>
    <w:rsid w:val="009119B7"/>
    <w:rsid w:val="00913AD6"/>
    <w:rsid w:val="00914A29"/>
    <w:rsid w:val="00914DE1"/>
    <w:rsid w:val="009158E4"/>
    <w:rsid w:val="00915A91"/>
    <w:rsid w:val="00922B40"/>
    <w:rsid w:val="009235CA"/>
    <w:rsid w:val="0092379B"/>
    <w:rsid w:val="0092420B"/>
    <w:rsid w:val="00925A20"/>
    <w:rsid w:val="00927272"/>
    <w:rsid w:val="00927280"/>
    <w:rsid w:val="00927ED9"/>
    <w:rsid w:val="00930567"/>
    <w:rsid w:val="00931A30"/>
    <w:rsid w:val="009331A0"/>
    <w:rsid w:val="00933A5A"/>
    <w:rsid w:val="00933DFA"/>
    <w:rsid w:val="00935F98"/>
    <w:rsid w:val="009363AE"/>
    <w:rsid w:val="009401D0"/>
    <w:rsid w:val="00941C2E"/>
    <w:rsid w:val="009423E0"/>
    <w:rsid w:val="00945B8B"/>
    <w:rsid w:val="0094684E"/>
    <w:rsid w:val="00947296"/>
    <w:rsid w:val="0095078D"/>
    <w:rsid w:val="009543FF"/>
    <w:rsid w:val="00955D34"/>
    <w:rsid w:val="009562D5"/>
    <w:rsid w:val="00956C37"/>
    <w:rsid w:val="00957426"/>
    <w:rsid w:val="009603E0"/>
    <w:rsid w:val="00960642"/>
    <w:rsid w:val="00964E87"/>
    <w:rsid w:val="00965116"/>
    <w:rsid w:val="0096728F"/>
    <w:rsid w:val="009706C6"/>
    <w:rsid w:val="0097243E"/>
    <w:rsid w:val="00974684"/>
    <w:rsid w:val="009761E3"/>
    <w:rsid w:val="00980AAC"/>
    <w:rsid w:val="00984122"/>
    <w:rsid w:val="00985A67"/>
    <w:rsid w:val="0098670A"/>
    <w:rsid w:val="00986E99"/>
    <w:rsid w:val="00993762"/>
    <w:rsid w:val="009946F3"/>
    <w:rsid w:val="00997023"/>
    <w:rsid w:val="009A034A"/>
    <w:rsid w:val="009A1EAE"/>
    <w:rsid w:val="009A22ED"/>
    <w:rsid w:val="009A2ADA"/>
    <w:rsid w:val="009A39D6"/>
    <w:rsid w:val="009A54B2"/>
    <w:rsid w:val="009A5683"/>
    <w:rsid w:val="009A575C"/>
    <w:rsid w:val="009A7F11"/>
    <w:rsid w:val="009A7F8E"/>
    <w:rsid w:val="009B0343"/>
    <w:rsid w:val="009B0A9C"/>
    <w:rsid w:val="009B437E"/>
    <w:rsid w:val="009B4AE3"/>
    <w:rsid w:val="009B61C8"/>
    <w:rsid w:val="009B7B35"/>
    <w:rsid w:val="009C034A"/>
    <w:rsid w:val="009C1D2C"/>
    <w:rsid w:val="009C2DE9"/>
    <w:rsid w:val="009C4265"/>
    <w:rsid w:val="009C4940"/>
    <w:rsid w:val="009C625F"/>
    <w:rsid w:val="009C6725"/>
    <w:rsid w:val="009C6D59"/>
    <w:rsid w:val="009C78E7"/>
    <w:rsid w:val="009C7F7B"/>
    <w:rsid w:val="009D361C"/>
    <w:rsid w:val="009D774E"/>
    <w:rsid w:val="009E0617"/>
    <w:rsid w:val="009E38E7"/>
    <w:rsid w:val="009E4E3A"/>
    <w:rsid w:val="009E5195"/>
    <w:rsid w:val="009E5563"/>
    <w:rsid w:val="009E5ED7"/>
    <w:rsid w:val="009F4344"/>
    <w:rsid w:val="009F5E69"/>
    <w:rsid w:val="009F6075"/>
    <w:rsid w:val="00A011CE"/>
    <w:rsid w:val="00A01315"/>
    <w:rsid w:val="00A02207"/>
    <w:rsid w:val="00A0431F"/>
    <w:rsid w:val="00A04DDD"/>
    <w:rsid w:val="00A06A9A"/>
    <w:rsid w:val="00A126E5"/>
    <w:rsid w:val="00A13059"/>
    <w:rsid w:val="00A13EA1"/>
    <w:rsid w:val="00A21722"/>
    <w:rsid w:val="00A233CC"/>
    <w:rsid w:val="00A3094F"/>
    <w:rsid w:val="00A325B4"/>
    <w:rsid w:val="00A35508"/>
    <w:rsid w:val="00A3662A"/>
    <w:rsid w:val="00A36663"/>
    <w:rsid w:val="00A42B9A"/>
    <w:rsid w:val="00A42FD0"/>
    <w:rsid w:val="00A45833"/>
    <w:rsid w:val="00A5009B"/>
    <w:rsid w:val="00A5257D"/>
    <w:rsid w:val="00A60A85"/>
    <w:rsid w:val="00A6433A"/>
    <w:rsid w:val="00A6463C"/>
    <w:rsid w:val="00A65495"/>
    <w:rsid w:val="00A66EDF"/>
    <w:rsid w:val="00A70553"/>
    <w:rsid w:val="00A71542"/>
    <w:rsid w:val="00A7277E"/>
    <w:rsid w:val="00A74F15"/>
    <w:rsid w:val="00A76319"/>
    <w:rsid w:val="00A8269C"/>
    <w:rsid w:val="00A8369B"/>
    <w:rsid w:val="00A84365"/>
    <w:rsid w:val="00A86BCA"/>
    <w:rsid w:val="00A87F74"/>
    <w:rsid w:val="00A90424"/>
    <w:rsid w:val="00A91E6C"/>
    <w:rsid w:val="00A929C4"/>
    <w:rsid w:val="00AA48BF"/>
    <w:rsid w:val="00AB0AD1"/>
    <w:rsid w:val="00AB1122"/>
    <w:rsid w:val="00AB35FE"/>
    <w:rsid w:val="00AB5EC1"/>
    <w:rsid w:val="00AB7AF3"/>
    <w:rsid w:val="00AC018E"/>
    <w:rsid w:val="00AC0607"/>
    <w:rsid w:val="00AC1DE5"/>
    <w:rsid w:val="00AC2E55"/>
    <w:rsid w:val="00AC3A04"/>
    <w:rsid w:val="00AC4819"/>
    <w:rsid w:val="00AC59B3"/>
    <w:rsid w:val="00AD08D6"/>
    <w:rsid w:val="00AD3F0D"/>
    <w:rsid w:val="00AD51B4"/>
    <w:rsid w:val="00AE2441"/>
    <w:rsid w:val="00AE2E75"/>
    <w:rsid w:val="00AE4D31"/>
    <w:rsid w:val="00AE5E18"/>
    <w:rsid w:val="00AE7AFF"/>
    <w:rsid w:val="00AF00FB"/>
    <w:rsid w:val="00AF2428"/>
    <w:rsid w:val="00AF4455"/>
    <w:rsid w:val="00AF463D"/>
    <w:rsid w:val="00AF641A"/>
    <w:rsid w:val="00AF662D"/>
    <w:rsid w:val="00AF7A7D"/>
    <w:rsid w:val="00AF7EC6"/>
    <w:rsid w:val="00B00FBA"/>
    <w:rsid w:val="00B018C6"/>
    <w:rsid w:val="00B0230B"/>
    <w:rsid w:val="00B02C30"/>
    <w:rsid w:val="00B073F3"/>
    <w:rsid w:val="00B10588"/>
    <w:rsid w:val="00B14217"/>
    <w:rsid w:val="00B16B35"/>
    <w:rsid w:val="00B17B8E"/>
    <w:rsid w:val="00B20CAB"/>
    <w:rsid w:val="00B2104A"/>
    <w:rsid w:val="00B224F7"/>
    <w:rsid w:val="00B23609"/>
    <w:rsid w:val="00B306B4"/>
    <w:rsid w:val="00B30F23"/>
    <w:rsid w:val="00B31A40"/>
    <w:rsid w:val="00B37703"/>
    <w:rsid w:val="00B40D17"/>
    <w:rsid w:val="00B4356A"/>
    <w:rsid w:val="00B436B1"/>
    <w:rsid w:val="00B43F96"/>
    <w:rsid w:val="00B50047"/>
    <w:rsid w:val="00B5024D"/>
    <w:rsid w:val="00B5074F"/>
    <w:rsid w:val="00B545DB"/>
    <w:rsid w:val="00B60927"/>
    <w:rsid w:val="00B60E61"/>
    <w:rsid w:val="00B6152A"/>
    <w:rsid w:val="00B650FA"/>
    <w:rsid w:val="00B668CC"/>
    <w:rsid w:val="00B718A5"/>
    <w:rsid w:val="00B72DBC"/>
    <w:rsid w:val="00B73394"/>
    <w:rsid w:val="00B73638"/>
    <w:rsid w:val="00B74E5E"/>
    <w:rsid w:val="00B75CF4"/>
    <w:rsid w:val="00B75DF3"/>
    <w:rsid w:val="00B76156"/>
    <w:rsid w:val="00B76E42"/>
    <w:rsid w:val="00B76FFF"/>
    <w:rsid w:val="00B82429"/>
    <w:rsid w:val="00B8365D"/>
    <w:rsid w:val="00B83D67"/>
    <w:rsid w:val="00B83DD1"/>
    <w:rsid w:val="00B840F8"/>
    <w:rsid w:val="00B85631"/>
    <w:rsid w:val="00B85C36"/>
    <w:rsid w:val="00B90358"/>
    <w:rsid w:val="00B9152A"/>
    <w:rsid w:val="00B9221A"/>
    <w:rsid w:val="00B9259B"/>
    <w:rsid w:val="00B92605"/>
    <w:rsid w:val="00B93A73"/>
    <w:rsid w:val="00B94E13"/>
    <w:rsid w:val="00B9534F"/>
    <w:rsid w:val="00B95CFF"/>
    <w:rsid w:val="00B9660F"/>
    <w:rsid w:val="00B97CDA"/>
    <w:rsid w:val="00BA7D9F"/>
    <w:rsid w:val="00BB119D"/>
    <w:rsid w:val="00BB1A8C"/>
    <w:rsid w:val="00BB5D3D"/>
    <w:rsid w:val="00BB7EAA"/>
    <w:rsid w:val="00BC07BD"/>
    <w:rsid w:val="00BC5E5F"/>
    <w:rsid w:val="00BC6C57"/>
    <w:rsid w:val="00BD017F"/>
    <w:rsid w:val="00BD0BE8"/>
    <w:rsid w:val="00BD1F2C"/>
    <w:rsid w:val="00BD206E"/>
    <w:rsid w:val="00BD49C9"/>
    <w:rsid w:val="00BD5B42"/>
    <w:rsid w:val="00BD6916"/>
    <w:rsid w:val="00BD7E5C"/>
    <w:rsid w:val="00BE0B4E"/>
    <w:rsid w:val="00BE1D5A"/>
    <w:rsid w:val="00BE2A6D"/>
    <w:rsid w:val="00BE3463"/>
    <w:rsid w:val="00BE3E7B"/>
    <w:rsid w:val="00BE6946"/>
    <w:rsid w:val="00BE7094"/>
    <w:rsid w:val="00BE70E1"/>
    <w:rsid w:val="00BF1FE2"/>
    <w:rsid w:val="00BF408D"/>
    <w:rsid w:val="00BF6E0E"/>
    <w:rsid w:val="00C0015A"/>
    <w:rsid w:val="00C003CF"/>
    <w:rsid w:val="00C00512"/>
    <w:rsid w:val="00C00592"/>
    <w:rsid w:val="00C014A8"/>
    <w:rsid w:val="00C01F2B"/>
    <w:rsid w:val="00C02044"/>
    <w:rsid w:val="00C03733"/>
    <w:rsid w:val="00C0620B"/>
    <w:rsid w:val="00C069E4"/>
    <w:rsid w:val="00C06A3D"/>
    <w:rsid w:val="00C10307"/>
    <w:rsid w:val="00C13572"/>
    <w:rsid w:val="00C1571A"/>
    <w:rsid w:val="00C16DA5"/>
    <w:rsid w:val="00C2789B"/>
    <w:rsid w:val="00C331CC"/>
    <w:rsid w:val="00C3427D"/>
    <w:rsid w:val="00C34EB7"/>
    <w:rsid w:val="00C3573B"/>
    <w:rsid w:val="00C35BD0"/>
    <w:rsid w:val="00C364E6"/>
    <w:rsid w:val="00C368C9"/>
    <w:rsid w:val="00C369F7"/>
    <w:rsid w:val="00C37519"/>
    <w:rsid w:val="00C37AC0"/>
    <w:rsid w:val="00C429E0"/>
    <w:rsid w:val="00C444C9"/>
    <w:rsid w:val="00C44D81"/>
    <w:rsid w:val="00C451E8"/>
    <w:rsid w:val="00C4525E"/>
    <w:rsid w:val="00C46060"/>
    <w:rsid w:val="00C464DE"/>
    <w:rsid w:val="00C470A4"/>
    <w:rsid w:val="00C512B2"/>
    <w:rsid w:val="00C54905"/>
    <w:rsid w:val="00C55270"/>
    <w:rsid w:val="00C55915"/>
    <w:rsid w:val="00C5721D"/>
    <w:rsid w:val="00C614F4"/>
    <w:rsid w:val="00C66D37"/>
    <w:rsid w:val="00C72848"/>
    <w:rsid w:val="00C73240"/>
    <w:rsid w:val="00C76423"/>
    <w:rsid w:val="00C81452"/>
    <w:rsid w:val="00C819B2"/>
    <w:rsid w:val="00C81E02"/>
    <w:rsid w:val="00C830E6"/>
    <w:rsid w:val="00C8585C"/>
    <w:rsid w:val="00C85D1E"/>
    <w:rsid w:val="00C91D66"/>
    <w:rsid w:val="00C91F9E"/>
    <w:rsid w:val="00C92966"/>
    <w:rsid w:val="00C9465A"/>
    <w:rsid w:val="00C96BCD"/>
    <w:rsid w:val="00CA0AFA"/>
    <w:rsid w:val="00CA0E45"/>
    <w:rsid w:val="00CA1CE4"/>
    <w:rsid w:val="00CA2168"/>
    <w:rsid w:val="00CA30E8"/>
    <w:rsid w:val="00CA382D"/>
    <w:rsid w:val="00CA5518"/>
    <w:rsid w:val="00CA69B7"/>
    <w:rsid w:val="00CA7430"/>
    <w:rsid w:val="00CA75E8"/>
    <w:rsid w:val="00CA7A57"/>
    <w:rsid w:val="00CB2B07"/>
    <w:rsid w:val="00CB78A1"/>
    <w:rsid w:val="00CC3569"/>
    <w:rsid w:val="00CC4A48"/>
    <w:rsid w:val="00CC6F9F"/>
    <w:rsid w:val="00CC7068"/>
    <w:rsid w:val="00CC7E0E"/>
    <w:rsid w:val="00CD0BE5"/>
    <w:rsid w:val="00CD1498"/>
    <w:rsid w:val="00CD1B6C"/>
    <w:rsid w:val="00CD2122"/>
    <w:rsid w:val="00CD2E82"/>
    <w:rsid w:val="00CD36C3"/>
    <w:rsid w:val="00CD3B01"/>
    <w:rsid w:val="00CD4548"/>
    <w:rsid w:val="00CD4871"/>
    <w:rsid w:val="00CD48F4"/>
    <w:rsid w:val="00CD4E30"/>
    <w:rsid w:val="00CD5892"/>
    <w:rsid w:val="00CD6FAC"/>
    <w:rsid w:val="00CD7493"/>
    <w:rsid w:val="00CE26F9"/>
    <w:rsid w:val="00CE2742"/>
    <w:rsid w:val="00CE2F0D"/>
    <w:rsid w:val="00CE334C"/>
    <w:rsid w:val="00CE3D9A"/>
    <w:rsid w:val="00CF2934"/>
    <w:rsid w:val="00CF3000"/>
    <w:rsid w:val="00CF49FE"/>
    <w:rsid w:val="00CF7CA1"/>
    <w:rsid w:val="00D00387"/>
    <w:rsid w:val="00D00B7D"/>
    <w:rsid w:val="00D01063"/>
    <w:rsid w:val="00D04825"/>
    <w:rsid w:val="00D070B5"/>
    <w:rsid w:val="00D07730"/>
    <w:rsid w:val="00D124F5"/>
    <w:rsid w:val="00D16721"/>
    <w:rsid w:val="00D168CA"/>
    <w:rsid w:val="00D23A3A"/>
    <w:rsid w:val="00D24FA9"/>
    <w:rsid w:val="00D27261"/>
    <w:rsid w:val="00D27DED"/>
    <w:rsid w:val="00D3315C"/>
    <w:rsid w:val="00D35BF5"/>
    <w:rsid w:val="00D3771E"/>
    <w:rsid w:val="00D3771F"/>
    <w:rsid w:val="00D40CAF"/>
    <w:rsid w:val="00D41EA8"/>
    <w:rsid w:val="00D46FFA"/>
    <w:rsid w:val="00D47EA5"/>
    <w:rsid w:val="00D50FA0"/>
    <w:rsid w:val="00D52C0F"/>
    <w:rsid w:val="00D55A73"/>
    <w:rsid w:val="00D62FF1"/>
    <w:rsid w:val="00D63D27"/>
    <w:rsid w:val="00D64C36"/>
    <w:rsid w:val="00D65DA0"/>
    <w:rsid w:val="00D66C06"/>
    <w:rsid w:val="00D7312B"/>
    <w:rsid w:val="00D735A7"/>
    <w:rsid w:val="00D741C0"/>
    <w:rsid w:val="00D756C5"/>
    <w:rsid w:val="00D76C48"/>
    <w:rsid w:val="00D772CB"/>
    <w:rsid w:val="00D777D3"/>
    <w:rsid w:val="00D80229"/>
    <w:rsid w:val="00D80988"/>
    <w:rsid w:val="00D812A8"/>
    <w:rsid w:val="00D85D50"/>
    <w:rsid w:val="00D87907"/>
    <w:rsid w:val="00D93FB6"/>
    <w:rsid w:val="00D94A54"/>
    <w:rsid w:val="00D968E9"/>
    <w:rsid w:val="00DA03FD"/>
    <w:rsid w:val="00DA04A8"/>
    <w:rsid w:val="00DA09A4"/>
    <w:rsid w:val="00DA177B"/>
    <w:rsid w:val="00DA3F3C"/>
    <w:rsid w:val="00DA58BF"/>
    <w:rsid w:val="00DB5B91"/>
    <w:rsid w:val="00DB64F7"/>
    <w:rsid w:val="00DB6804"/>
    <w:rsid w:val="00DB70DF"/>
    <w:rsid w:val="00DB728E"/>
    <w:rsid w:val="00DC274A"/>
    <w:rsid w:val="00DC386B"/>
    <w:rsid w:val="00DC45D8"/>
    <w:rsid w:val="00DC4DB0"/>
    <w:rsid w:val="00DC53F9"/>
    <w:rsid w:val="00DC6DE6"/>
    <w:rsid w:val="00DC6EB4"/>
    <w:rsid w:val="00DC7704"/>
    <w:rsid w:val="00DD02E4"/>
    <w:rsid w:val="00DD0E55"/>
    <w:rsid w:val="00DD5C85"/>
    <w:rsid w:val="00DD5D71"/>
    <w:rsid w:val="00DD6A23"/>
    <w:rsid w:val="00DD6FDF"/>
    <w:rsid w:val="00DD7F86"/>
    <w:rsid w:val="00DE2DF8"/>
    <w:rsid w:val="00DE447B"/>
    <w:rsid w:val="00DE5B70"/>
    <w:rsid w:val="00DE7C4C"/>
    <w:rsid w:val="00DF0162"/>
    <w:rsid w:val="00DF1A84"/>
    <w:rsid w:val="00DF361A"/>
    <w:rsid w:val="00DF4031"/>
    <w:rsid w:val="00DF409D"/>
    <w:rsid w:val="00DF53B2"/>
    <w:rsid w:val="00DF6B10"/>
    <w:rsid w:val="00DF710C"/>
    <w:rsid w:val="00E00720"/>
    <w:rsid w:val="00E00B81"/>
    <w:rsid w:val="00E0222F"/>
    <w:rsid w:val="00E03FFD"/>
    <w:rsid w:val="00E0598C"/>
    <w:rsid w:val="00E065D5"/>
    <w:rsid w:val="00E11505"/>
    <w:rsid w:val="00E12224"/>
    <w:rsid w:val="00E15358"/>
    <w:rsid w:val="00E215CE"/>
    <w:rsid w:val="00E218DD"/>
    <w:rsid w:val="00E232FB"/>
    <w:rsid w:val="00E2411A"/>
    <w:rsid w:val="00E256A7"/>
    <w:rsid w:val="00E257DC"/>
    <w:rsid w:val="00E25E10"/>
    <w:rsid w:val="00E2652C"/>
    <w:rsid w:val="00E26A7A"/>
    <w:rsid w:val="00E3214D"/>
    <w:rsid w:val="00E41578"/>
    <w:rsid w:val="00E42F16"/>
    <w:rsid w:val="00E43231"/>
    <w:rsid w:val="00E43ABB"/>
    <w:rsid w:val="00E4607A"/>
    <w:rsid w:val="00E46372"/>
    <w:rsid w:val="00E46C7D"/>
    <w:rsid w:val="00E54060"/>
    <w:rsid w:val="00E55B91"/>
    <w:rsid w:val="00E603A6"/>
    <w:rsid w:val="00E605D0"/>
    <w:rsid w:val="00E60AD0"/>
    <w:rsid w:val="00E63848"/>
    <w:rsid w:val="00E66323"/>
    <w:rsid w:val="00E664F9"/>
    <w:rsid w:val="00E674B6"/>
    <w:rsid w:val="00E70527"/>
    <w:rsid w:val="00E70E84"/>
    <w:rsid w:val="00E74619"/>
    <w:rsid w:val="00E74B17"/>
    <w:rsid w:val="00E74B5A"/>
    <w:rsid w:val="00E76322"/>
    <w:rsid w:val="00E816A4"/>
    <w:rsid w:val="00E83ECF"/>
    <w:rsid w:val="00E900E5"/>
    <w:rsid w:val="00E9228E"/>
    <w:rsid w:val="00E92381"/>
    <w:rsid w:val="00E94EE4"/>
    <w:rsid w:val="00E9598D"/>
    <w:rsid w:val="00E95ECB"/>
    <w:rsid w:val="00E963F8"/>
    <w:rsid w:val="00E965E1"/>
    <w:rsid w:val="00E96700"/>
    <w:rsid w:val="00EA0F46"/>
    <w:rsid w:val="00EB1298"/>
    <w:rsid w:val="00EB5CD3"/>
    <w:rsid w:val="00EB7A28"/>
    <w:rsid w:val="00EC0A06"/>
    <w:rsid w:val="00EC0CA7"/>
    <w:rsid w:val="00EC32C8"/>
    <w:rsid w:val="00EC4D95"/>
    <w:rsid w:val="00EC4E7E"/>
    <w:rsid w:val="00EC5AE3"/>
    <w:rsid w:val="00EC6DD2"/>
    <w:rsid w:val="00EC77BF"/>
    <w:rsid w:val="00ED13A3"/>
    <w:rsid w:val="00ED1620"/>
    <w:rsid w:val="00ED1A55"/>
    <w:rsid w:val="00ED3BEC"/>
    <w:rsid w:val="00ED4DD6"/>
    <w:rsid w:val="00ED7C42"/>
    <w:rsid w:val="00EE1241"/>
    <w:rsid w:val="00EE3E1E"/>
    <w:rsid w:val="00EE3ECB"/>
    <w:rsid w:val="00EE7062"/>
    <w:rsid w:val="00EE7B42"/>
    <w:rsid w:val="00EE7D28"/>
    <w:rsid w:val="00EE7FE6"/>
    <w:rsid w:val="00EF0618"/>
    <w:rsid w:val="00EF0A0C"/>
    <w:rsid w:val="00EF1F18"/>
    <w:rsid w:val="00EF3BF0"/>
    <w:rsid w:val="00EF3C0F"/>
    <w:rsid w:val="00EF536A"/>
    <w:rsid w:val="00EF644F"/>
    <w:rsid w:val="00F00610"/>
    <w:rsid w:val="00F00F52"/>
    <w:rsid w:val="00F027A6"/>
    <w:rsid w:val="00F041CA"/>
    <w:rsid w:val="00F0569A"/>
    <w:rsid w:val="00F056D7"/>
    <w:rsid w:val="00F110DD"/>
    <w:rsid w:val="00F14B92"/>
    <w:rsid w:val="00F16970"/>
    <w:rsid w:val="00F17864"/>
    <w:rsid w:val="00F202F0"/>
    <w:rsid w:val="00F215F8"/>
    <w:rsid w:val="00F22500"/>
    <w:rsid w:val="00F22D86"/>
    <w:rsid w:val="00F30172"/>
    <w:rsid w:val="00F31B4C"/>
    <w:rsid w:val="00F329AF"/>
    <w:rsid w:val="00F37D45"/>
    <w:rsid w:val="00F4576E"/>
    <w:rsid w:val="00F4600D"/>
    <w:rsid w:val="00F46309"/>
    <w:rsid w:val="00F46E1E"/>
    <w:rsid w:val="00F50EA5"/>
    <w:rsid w:val="00F529CB"/>
    <w:rsid w:val="00F537E9"/>
    <w:rsid w:val="00F53EF4"/>
    <w:rsid w:val="00F541D5"/>
    <w:rsid w:val="00F55078"/>
    <w:rsid w:val="00F57319"/>
    <w:rsid w:val="00F6045D"/>
    <w:rsid w:val="00F60461"/>
    <w:rsid w:val="00F607EB"/>
    <w:rsid w:val="00F60882"/>
    <w:rsid w:val="00F609EA"/>
    <w:rsid w:val="00F61E61"/>
    <w:rsid w:val="00F655D9"/>
    <w:rsid w:val="00F67A7E"/>
    <w:rsid w:val="00F67EB1"/>
    <w:rsid w:val="00F72CCA"/>
    <w:rsid w:val="00F73B3C"/>
    <w:rsid w:val="00F74B29"/>
    <w:rsid w:val="00F76086"/>
    <w:rsid w:val="00F801B1"/>
    <w:rsid w:val="00F833FC"/>
    <w:rsid w:val="00F85936"/>
    <w:rsid w:val="00F9312C"/>
    <w:rsid w:val="00F93E7F"/>
    <w:rsid w:val="00F94500"/>
    <w:rsid w:val="00F94EDE"/>
    <w:rsid w:val="00F97CF7"/>
    <w:rsid w:val="00FA54E5"/>
    <w:rsid w:val="00FA56BE"/>
    <w:rsid w:val="00FA68B6"/>
    <w:rsid w:val="00FA754F"/>
    <w:rsid w:val="00FB1E20"/>
    <w:rsid w:val="00FB2A45"/>
    <w:rsid w:val="00FB2F16"/>
    <w:rsid w:val="00FB6144"/>
    <w:rsid w:val="00FB76AD"/>
    <w:rsid w:val="00FC243C"/>
    <w:rsid w:val="00FC33F9"/>
    <w:rsid w:val="00FC4E8D"/>
    <w:rsid w:val="00FC7226"/>
    <w:rsid w:val="00FD1398"/>
    <w:rsid w:val="00FD3866"/>
    <w:rsid w:val="00FD40F0"/>
    <w:rsid w:val="00FD60D8"/>
    <w:rsid w:val="00FE0EDD"/>
    <w:rsid w:val="00FE22E0"/>
    <w:rsid w:val="00FE255F"/>
    <w:rsid w:val="00FE2B00"/>
    <w:rsid w:val="00FE5718"/>
    <w:rsid w:val="00FE6812"/>
    <w:rsid w:val="00FF2554"/>
    <w:rsid w:val="00FF3DB4"/>
    <w:rsid w:val="00FF40E9"/>
    <w:rsid w:val="00FF6C2B"/>
    <w:rsid w:val="010158D6"/>
    <w:rsid w:val="01017BB1"/>
    <w:rsid w:val="010727EE"/>
    <w:rsid w:val="010A7304"/>
    <w:rsid w:val="011D2847"/>
    <w:rsid w:val="01290663"/>
    <w:rsid w:val="012A5174"/>
    <w:rsid w:val="01381773"/>
    <w:rsid w:val="0146738E"/>
    <w:rsid w:val="014D28CA"/>
    <w:rsid w:val="0151617F"/>
    <w:rsid w:val="01687703"/>
    <w:rsid w:val="017A141F"/>
    <w:rsid w:val="018D6714"/>
    <w:rsid w:val="01A84CE2"/>
    <w:rsid w:val="01B1184D"/>
    <w:rsid w:val="01B43147"/>
    <w:rsid w:val="01B446F6"/>
    <w:rsid w:val="01E83005"/>
    <w:rsid w:val="01F64D0F"/>
    <w:rsid w:val="02003447"/>
    <w:rsid w:val="02137B38"/>
    <w:rsid w:val="02181129"/>
    <w:rsid w:val="02254E6A"/>
    <w:rsid w:val="024D3939"/>
    <w:rsid w:val="02572FEF"/>
    <w:rsid w:val="026223A4"/>
    <w:rsid w:val="027411A6"/>
    <w:rsid w:val="02793A18"/>
    <w:rsid w:val="0291633E"/>
    <w:rsid w:val="02955A50"/>
    <w:rsid w:val="02A4476B"/>
    <w:rsid w:val="02AF383B"/>
    <w:rsid w:val="02B31730"/>
    <w:rsid w:val="02BA2E7C"/>
    <w:rsid w:val="02BB014B"/>
    <w:rsid w:val="02C85FAA"/>
    <w:rsid w:val="02CE786B"/>
    <w:rsid w:val="031713E0"/>
    <w:rsid w:val="032D650E"/>
    <w:rsid w:val="03377798"/>
    <w:rsid w:val="033E77E8"/>
    <w:rsid w:val="034F1046"/>
    <w:rsid w:val="0379534A"/>
    <w:rsid w:val="03871108"/>
    <w:rsid w:val="038F541B"/>
    <w:rsid w:val="03A0493A"/>
    <w:rsid w:val="03AC6A65"/>
    <w:rsid w:val="03C16A0B"/>
    <w:rsid w:val="03C57B58"/>
    <w:rsid w:val="03CE5F43"/>
    <w:rsid w:val="03D45E9F"/>
    <w:rsid w:val="03DE659A"/>
    <w:rsid w:val="03DF7C0A"/>
    <w:rsid w:val="040276FB"/>
    <w:rsid w:val="04101B21"/>
    <w:rsid w:val="041078B9"/>
    <w:rsid w:val="04134A25"/>
    <w:rsid w:val="04231798"/>
    <w:rsid w:val="044913D7"/>
    <w:rsid w:val="04540CA4"/>
    <w:rsid w:val="0458580D"/>
    <w:rsid w:val="04812FB5"/>
    <w:rsid w:val="04962A55"/>
    <w:rsid w:val="04974F3F"/>
    <w:rsid w:val="04992FCC"/>
    <w:rsid w:val="04AF20C8"/>
    <w:rsid w:val="04BF0BA3"/>
    <w:rsid w:val="04D13CE2"/>
    <w:rsid w:val="04E05672"/>
    <w:rsid w:val="050F4F4F"/>
    <w:rsid w:val="051676BF"/>
    <w:rsid w:val="0553526A"/>
    <w:rsid w:val="057123C6"/>
    <w:rsid w:val="0573541A"/>
    <w:rsid w:val="057C03A3"/>
    <w:rsid w:val="05811F06"/>
    <w:rsid w:val="05856AD5"/>
    <w:rsid w:val="058A40EC"/>
    <w:rsid w:val="05AA49A4"/>
    <w:rsid w:val="05BB66E8"/>
    <w:rsid w:val="05C23783"/>
    <w:rsid w:val="05D44413"/>
    <w:rsid w:val="05D67572"/>
    <w:rsid w:val="05EA1623"/>
    <w:rsid w:val="05F36DF4"/>
    <w:rsid w:val="05F6529F"/>
    <w:rsid w:val="060004FA"/>
    <w:rsid w:val="062C173D"/>
    <w:rsid w:val="065C3618"/>
    <w:rsid w:val="0665644E"/>
    <w:rsid w:val="0670151B"/>
    <w:rsid w:val="067935DB"/>
    <w:rsid w:val="06817DF9"/>
    <w:rsid w:val="0688236E"/>
    <w:rsid w:val="06924D55"/>
    <w:rsid w:val="06A20FC1"/>
    <w:rsid w:val="06AC2403"/>
    <w:rsid w:val="06AF394D"/>
    <w:rsid w:val="06B75C6A"/>
    <w:rsid w:val="06C15B47"/>
    <w:rsid w:val="06C90C51"/>
    <w:rsid w:val="06F54588"/>
    <w:rsid w:val="06F91CEF"/>
    <w:rsid w:val="070611A0"/>
    <w:rsid w:val="071A351A"/>
    <w:rsid w:val="071F14B9"/>
    <w:rsid w:val="0721282E"/>
    <w:rsid w:val="07377B99"/>
    <w:rsid w:val="075174E9"/>
    <w:rsid w:val="075521B6"/>
    <w:rsid w:val="075E0201"/>
    <w:rsid w:val="07642A04"/>
    <w:rsid w:val="076D5B91"/>
    <w:rsid w:val="077566D6"/>
    <w:rsid w:val="077C4E97"/>
    <w:rsid w:val="077E0E2D"/>
    <w:rsid w:val="078F59E9"/>
    <w:rsid w:val="0795607D"/>
    <w:rsid w:val="07A34660"/>
    <w:rsid w:val="07C863CC"/>
    <w:rsid w:val="07D87465"/>
    <w:rsid w:val="07F45658"/>
    <w:rsid w:val="07F7285A"/>
    <w:rsid w:val="07F91A64"/>
    <w:rsid w:val="07F97858"/>
    <w:rsid w:val="07FF59B7"/>
    <w:rsid w:val="08244B15"/>
    <w:rsid w:val="0831788E"/>
    <w:rsid w:val="083679E7"/>
    <w:rsid w:val="083A104D"/>
    <w:rsid w:val="08732A37"/>
    <w:rsid w:val="08850B9A"/>
    <w:rsid w:val="088F0140"/>
    <w:rsid w:val="08AE6095"/>
    <w:rsid w:val="08B221B2"/>
    <w:rsid w:val="08BC6162"/>
    <w:rsid w:val="08BF1B7B"/>
    <w:rsid w:val="08C24907"/>
    <w:rsid w:val="08C8368E"/>
    <w:rsid w:val="08F5187C"/>
    <w:rsid w:val="09192929"/>
    <w:rsid w:val="092E0977"/>
    <w:rsid w:val="094C3302"/>
    <w:rsid w:val="09526F89"/>
    <w:rsid w:val="09531AFF"/>
    <w:rsid w:val="09595D6B"/>
    <w:rsid w:val="09640AE6"/>
    <w:rsid w:val="09781ED1"/>
    <w:rsid w:val="09A24784"/>
    <w:rsid w:val="09AD731C"/>
    <w:rsid w:val="09B23C11"/>
    <w:rsid w:val="09B64A35"/>
    <w:rsid w:val="09BF0593"/>
    <w:rsid w:val="09C80668"/>
    <w:rsid w:val="09CE3DE3"/>
    <w:rsid w:val="09E47D6A"/>
    <w:rsid w:val="09EF01E5"/>
    <w:rsid w:val="09F77876"/>
    <w:rsid w:val="0A071F44"/>
    <w:rsid w:val="0A121125"/>
    <w:rsid w:val="0A1246B0"/>
    <w:rsid w:val="0A171CC6"/>
    <w:rsid w:val="0A1730CE"/>
    <w:rsid w:val="0A3F273A"/>
    <w:rsid w:val="0A4154DA"/>
    <w:rsid w:val="0A690774"/>
    <w:rsid w:val="0A796B64"/>
    <w:rsid w:val="0A8235E3"/>
    <w:rsid w:val="0A832F10"/>
    <w:rsid w:val="0A851326"/>
    <w:rsid w:val="0A8B0DBE"/>
    <w:rsid w:val="0A8C4904"/>
    <w:rsid w:val="0A9D21CB"/>
    <w:rsid w:val="0A9E55BD"/>
    <w:rsid w:val="0AA50BC6"/>
    <w:rsid w:val="0AAC4928"/>
    <w:rsid w:val="0AD66276"/>
    <w:rsid w:val="0AD90ACF"/>
    <w:rsid w:val="0AEA576E"/>
    <w:rsid w:val="0AF843A6"/>
    <w:rsid w:val="0B0E52EB"/>
    <w:rsid w:val="0B1B3E0C"/>
    <w:rsid w:val="0B1F6B0B"/>
    <w:rsid w:val="0B33204D"/>
    <w:rsid w:val="0B380146"/>
    <w:rsid w:val="0B474D59"/>
    <w:rsid w:val="0B482790"/>
    <w:rsid w:val="0B511DE8"/>
    <w:rsid w:val="0B674882"/>
    <w:rsid w:val="0B7028D2"/>
    <w:rsid w:val="0B872B75"/>
    <w:rsid w:val="0B8A46E5"/>
    <w:rsid w:val="0B8B2229"/>
    <w:rsid w:val="0B8F645A"/>
    <w:rsid w:val="0B955C05"/>
    <w:rsid w:val="0B9B3256"/>
    <w:rsid w:val="0BA6549E"/>
    <w:rsid w:val="0BB4476A"/>
    <w:rsid w:val="0BC0615D"/>
    <w:rsid w:val="0BCE76D0"/>
    <w:rsid w:val="0BD75BB1"/>
    <w:rsid w:val="0BF811E7"/>
    <w:rsid w:val="0BF911A1"/>
    <w:rsid w:val="0BFB754E"/>
    <w:rsid w:val="0C2E1641"/>
    <w:rsid w:val="0C345485"/>
    <w:rsid w:val="0C4D19CF"/>
    <w:rsid w:val="0C601CEC"/>
    <w:rsid w:val="0C6A205C"/>
    <w:rsid w:val="0C6C40A6"/>
    <w:rsid w:val="0C88735D"/>
    <w:rsid w:val="0C8D0A35"/>
    <w:rsid w:val="0C9F3412"/>
    <w:rsid w:val="0CA10882"/>
    <w:rsid w:val="0CCA172A"/>
    <w:rsid w:val="0CEA2078"/>
    <w:rsid w:val="0CEF7946"/>
    <w:rsid w:val="0CF46A17"/>
    <w:rsid w:val="0D0133CF"/>
    <w:rsid w:val="0D193BD7"/>
    <w:rsid w:val="0D241875"/>
    <w:rsid w:val="0D247BDA"/>
    <w:rsid w:val="0D350860"/>
    <w:rsid w:val="0D351206"/>
    <w:rsid w:val="0D537035"/>
    <w:rsid w:val="0D771057"/>
    <w:rsid w:val="0D7A4A46"/>
    <w:rsid w:val="0D7B603E"/>
    <w:rsid w:val="0D86153E"/>
    <w:rsid w:val="0D9E66DA"/>
    <w:rsid w:val="0DB832B0"/>
    <w:rsid w:val="0DBA2F64"/>
    <w:rsid w:val="0DC673EF"/>
    <w:rsid w:val="0DE82031"/>
    <w:rsid w:val="0DFC18FF"/>
    <w:rsid w:val="0E004DA8"/>
    <w:rsid w:val="0E05016B"/>
    <w:rsid w:val="0E0B0F71"/>
    <w:rsid w:val="0E110F17"/>
    <w:rsid w:val="0E1A1D85"/>
    <w:rsid w:val="0E337FAD"/>
    <w:rsid w:val="0E43461F"/>
    <w:rsid w:val="0E5069C4"/>
    <w:rsid w:val="0E5C239D"/>
    <w:rsid w:val="0E6B2691"/>
    <w:rsid w:val="0E787993"/>
    <w:rsid w:val="0E80608C"/>
    <w:rsid w:val="0EA87391"/>
    <w:rsid w:val="0EB2020F"/>
    <w:rsid w:val="0ECE726E"/>
    <w:rsid w:val="0ED52C97"/>
    <w:rsid w:val="0EE17008"/>
    <w:rsid w:val="0EE228A3"/>
    <w:rsid w:val="0EE27A3D"/>
    <w:rsid w:val="0EEC65EF"/>
    <w:rsid w:val="0F076C79"/>
    <w:rsid w:val="0F0A3BA7"/>
    <w:rsid w:val="0F105E18"/>
    <w:rsid w:val="0F313BF1"/>
    <w:rsid w:val="0F4A41F8"/>
    <w:rsid w:val="0F4C5F6E"/>
    <w:rsid w:val="0F5132AF"/>
    <w:rsid w:val="0F563EE6"/>
    <w:rsid w:val="0F743A99"/>
    <w:rsid w:val="0F8E7103"/>
    <w:rsid w:val="0FBD197B"/>
    <w:rsid w:val="0FBF347B"/>
    <w:rsid w:val="0FC40AC2"/>
    <w:rsid w:val="0FE74EE6"/>
    <w:rsid w:val="0FFE0DA2"/>
    <w:rsid w:val="10144C5C"/>
    <w:rsid w:val="10276D9C"/>
    <w:rsid w:val="102F0580"/>
    <w:rsid w:val="10396197"/>
    <w:rsid w:val="10705C3F"/>
    <w:rsid w:val="108D7398"/>
    <w:rsid w:val="10962F58"/>
    <w:rsid w:val="1097590F"/>
    <w:rsid w:val="10A774ED"/>
    <w:rsid w:val="10AF2817"/>
    <w:rsid w:val="10B464C1"/>
    <w:rsid w:val="10C14698"/>
    <w:rsid w:val="10D4446D"/>
    <w:rsid w:val="10D72031"/>
    <w:rsid w:val="10E35D73"/>
    <w:rsid w:val="11141120"/>
    <w:rsid w:val="111B2565"/>
    <w:rsid w:val="112656F7"/>
    <w:rsid w:val="11400369"/>
    <w:rsid w:val="114279D5"/>
    <w:rsid w:val="11454FDA"/>
    <w:rsid w:val="117707CC"/>
    <w:rsid w:val="1185780B"/>
    <w:rsid w:val="1194718D"/>
    <w:rsid w:val="11C1482A"/>
    <w:rsid w:val="11C73FD2"/>
    <w:rsid w:val="11E12D0F"/>
    <w:rsid w:val="11E712F1"/>
    <w:rsid w:val="11EC703E"/>
    <w:rsid w:val="11F45FD0"/>
    <w:rsid w:val="11F616BB"/>
    <w:rsid w:val="11F8062F"/>
    <w:rsid w:val="11FD3E21"/>
    <w:rsid w:val="120014E6"/>
    <w:rsid w:val="12054972"/>
    <w:rsid w:val="120B3EBE"/>
    <w:rsid w:val="121D0605"/>
    <w:rsid w:val="12242110"/>
    <w:rsid w:val="12310D62"/>
    <w:rsid w:val="12380B88"/>
    <w:rsid w:val="12410FB3"/>
    <w:rsid w:val="12413609"/>
    <w:rsid w:val="124A2DC6"/>
    <w:rsid w:val="124B4F33"/>
    <w:rsid w:val="12713680"/>
    <w:rsid w:val="12872129"/>
    <w:rsid w:val="129B41AB"/>
    <w:rsid w:val="12A301AE"/>
    <w:rsid w:val="12A77C7E"/>
    <w:rsid w:val="12A97FF0"/>
    <w:rsid w:val="12C0322B"/>
    <w:rsid w:val="12DF20A1"/>
    <w:rsid w:val="12E02A2F"/>
    <w:rsid w:val="12F15F90"/>
    <w:rsid w:val="1309749E"/>
    <w:rsid w:val="1325741D"/>
    <w:rsid w:val="132E7F4F"/>
    <w:rsid w:val="13405DEA"/>
    <w:rsid w:val="135E2714"/>
    <w:rsid w:val="136245B2"/>
    <w:rsid w:val="136A7A97"/>
    <w:rsid w:val="136E6AE0"/>
    <w:rsid w:val="138F6F44"/>
    <w:rsid w:val="13912088"/>
    <w:rsid w:val="13B2701B"/>
    <w:rsid w:val="13B8433F"/>
    <w:rsid w:val="13BA2040"/>
    <w:rsid w:val="13DC1698"/>
    <w:rsid w:val="13DC41E5"/>
    <w:rsid w:val="13FD1CFC"/>
    <w:rsid w:val="141812CA"/>
    <w:rsid w:val="141D25CF"/>
    <w:rsid w:val="142E6938"/>
    <w:rsid w:val="144153DA"/>
    <w:rsid w:val="14603662"/>
    <w:rsid w:val="146C7D2E"/>
    <w:rsid w:val="14930480"/>
    <w:rsid w:val="1499567C"/>
    <w:rsid w:val="14A35E13"/>
    <w:rsid w:val="14AE404C"/>
    <w:rsid w:val="14CF027F"/>
    <w:rsid w:val="14EE7BAB"/>
    <w:rsid w:val="14F50230"/>
    <w:rsid w:val="150905D5"/>
    <w:rsid w:val="15176E47"/>
    <w:rsid w:val="15275157"/>
    <w:rsid w:val="152A0226"/>
    <w:rsid w:val="15402CD0"/>
    <w:rsid w:val="15581746"/>
    <w:rsid w:val="1569714A"/>
    <w:rsid w:val="15806971"/>
    <w:rsid w:val="15814625"/>
    <w:rsid w:val="158E1C7B"/>
    <w:rsid w:val="15976EE1"/>
    <w:rsid w:val="15AF147E"/>
    <w:rsid w:val="15D31EEB"/>
    <w:rsid w:val="15EB627B"/>
    <w:rsid w:val="15F55F59"/>
    <w:rsid w:val="15FB65AC"/>
    <w:rsid w:val="160F21A8"/>
    <w:rsid w:val="161C0D90"/>
    <w:rsid w:val="16201F02"/>
    <w:rsid w:val="16314110"/>
    <w:rsid w:val="163D0D06"/>
    <w:rsid w:val="16872A25"/>
    <w:rsid w:val="16BC25D3"/>
    <w:rsid w:val="16BC4BB6"/>
    <w:rsid w:val="16E050BD"/>
    <w:rsid w:val="16E41F7A"/>
    <w:rsid w:val="16FC2B7B"/>
    <w:rsid w:val="1725429E"/>
    <w:rsid w:val="172B2F1D"/>
    <w:rsid w:val="173A1555"/>
    <w:rsid w:val="173B4075"/>
    <w:rsid w:val="173F12EC"/>
    <w:rsid w:val="1777654E"/>
    <w:rsid w:val="177D4E84"/>
    <w:rsid w:val="17814D59"/>
    <w:rsid w:val="17BD794C"/>
    <w:rsid w:val="17E72CD8"/>
    <w:rsid w:val="17E75029"/>
    <w:rsid w:val="17FA65A5"/>
    <w:rsid w:val="17FB49D5"/>
    <w:rsid w:val="18027B12"/>
    <w:rsid w:val="18230314"/>
    <w:rsid w:val="1823140E"/>
    <w:rsid w:val="182744F6"/>
    <w:rsid w:val="18300B23"/>
    <w:rsid w:val="18383D10"/>
    <w:rsid w:val="186C02C4"/>
    <w:rsid w:val="187C66FB"/>
    <w:rsid w:val="187F1162"/>
    <w:rsid w:val="18800CE0"/>
    <w:rsid w:val="188958B5"/>
    <w:rsid w:val="18A310FE"/>
    <w:rsid w:val="18B7455D"/>
    <w:rsid w:val="18BF2F3B"/>
    <w:rsid w:val="19037FE5"/>
    <w:rsid w:val="191D3E51"/>
    <w:rsid w:val="19202945"/>
    <w:rsid w:val="194639AA"/>
    <w:rsid w:val="195A35A6"/>
    <w:rsid w:val="196536EE"/>
    <w:rsid w:val="19800254"/>
    <w:rsid w:val="199C41D2"/>
    <w:rsid w:val="199D716C"/>
    <w:rsid w:val="19A41B67"/>
    <w:rsid w:val="19B35630"/>
    <w:rsid w:val="19BC0503"/>
    <w:rsid w:val="19BD37DA"/>
    <w:rsid w:val="19C14B87"/>
    <w:rsid w:val="19CA0B03"/>
    <w:rsid w:val="19D53BA5"/>
    <w:rsid w:val="19DE1ABA"/>
    <w:rsid w:val="1A044015"/>
    <w:rsid w:val="1A0F525C"/>
    <w:rsid w:val="1A3E0B1D"/>
    <w:rsid w:val="1A482A76"/>
    <w:rsid w:val="1A6A4D85"/>
    <w:rsid w:val="1A7B4E33"/>
    <w:rsid w:val="1A7F17CA"/>
    <w:rsid w:val="1A902129"/>
    <w:rsid w:val="1A9A3651"/>
    <w:rsid w:val="1AB33345"/>
    <w:rsid w:val="1AB36EC4"/>
    <w:rsid w:val="1AD626D9"/>
    <w:rsid w:val="1AF23D54"/>
    <w:rsid w:val="1AF51BB0"/>
    <w:rsid w:val="1AF71AB2"/>
    <w:rsid w:val="1AF94B5C"/>
    <w:rsid w:val="1AF96BD7"/>
    <w:rsid w:val="1B0C0CF6"/>
    <w:rsid w:val="1B2A7AAB"/>
    <w:rsid w:val="1B447B1E"/>
    <w:rsid w:val="1B454DA2"/>
    <w:rsid w:val="1B6F7443"/>
    <w:rsid w:val="1B9D797E"/>
    <w:rsid w:val="1BD61DC7"/>
    <w:rsid w:val="1BD9519A"/>
    <w:rsid w:val="1BE45954"/>
    <w:rsid w:val="1C192327"/>
    <w:rsid w:val="1C2177ED"/>
    <w:rsid w:val="1C2362A8"/>
    <w:rsid w:val="1C2E0066"/>
    <w:rsid w:val="1C353EB4"/>
    <w:rsid w:val="1C447518"/>
    <w:rsid w:val="1C465895"/>
    <w:rsid w:val="1C500EE8"/>
    <w:rsid w:val="1C5A5B1C"/>
    <w:rsid w:val="1C6B2003"/>
    <w:rsid w:val="1C6F2F8D"/>
    <w:rsid w:val="1C769AA5"/>
    <w:rsid w:val="1C7B4F31"/>
    <w:rsid w:val="1C8535B0"/>
    <w:rsid w:val="1C87443A"/>
    <w:rsid w:val="1C874FB8"/>
    <w:rsid w:val="1C966CC5"/>
    <w:rsid w:val="1CB03E78"/>
    <w:rsid w:val="1CBC19FB"/>
    <w:rsid w:val="1CD11348"/>
    <w:rsid w:val="1CD21CF4"/>
    <w:rsid w:val="1CE55AC5"/>
    <w:rsid w:val="1D0D2300"/>
    <w:rsid w:val="1D1E2199"/>
    <w:rsid w:val="1D2E608B"/>
    <w:rsid w:val="1D3A57CD"/>
    <w:rsid w:val="1D3C6046"/>
    <w:rsid w:val="1D5432D5"/>
    <w:rsid w:val="1D546430"/>
    <w:rsid w:val="1D557DB0"/>
    <w:rsid w:val="1D6D47C7"/>
    <w:rsid w:val="1D801066"/>
    <w:rsid w:val="1D947FE9"/>
    <w:rsid w:val="1DC8100E"/>
    <w:rsid w:val="1DD21528"/>
    <w:rsid w:val="1DE44A3D"/>
    <w:rsid w:val="1DF36623"/>
    <w:rsid w:val="1DF45A14"/>
    <w:rsid w:val="1E0D4074"/>
    <w:rsid w:val="1E165EBA"/>
    <w:rsid w:val="1E272246"/>
    <w:rsid w:val="1E6978F1"/>
    <w:rsid w:val="1E700F59"/>
    <w:rsid w:val="1E77703C"/>
    <w:rsid w:val="1E820FA0"/>
    <w:rsid w:val="1E8C6387"/>
    <w:rsid w:val="1EAB2B6B"/>
    <w:rsid w:val="1EB1498B"/>
    <w:rsid w:val="1EBE05F4"/>
    <w:rsid w:val="1EC74F22"/>
    <w:rsid w:val="1F0F7ECC"/>
    <w:rsid w:val="1F153716"/>
    <w:rsid w:val="1F201B11"/>
    <w:rsid w:val="1F335278"/>
    <w:rsid w:val="1F354C71"/>
    <w:rsid w:val="1F517386"/>
    <w:rsid w:val="1F587D98"/>
    <w:rsid w:val="1F690C95"/>
    <w:rsid w:val="1F845B3E"/>
    <w:rsid w:val="1F97026D"/>
    <w:rsid w:val="1F9E2816"/>
    <w:rsid w:val="1FB240AC"/>
    <w:rsid w:val="1FEF0D9B"/>
    <w:rsid w:val="1FF51501"/>
    <w:rsid w:val="1FFEA92A"/>
    <w:rsid w:val="200552DF"/>
    <w:rsid w:val="2016369E"/>
    <w:rsid w:val="2026033A"/>
    <w:rsid w:val="20605D1D"/>
    <w:rsid w:val="20A857CB"/>
    <w:rsid w:val="20D02D75"/>
    <w:rsid w:val="20D16D26"/>
    <w:rsid w:val="20DF69DD"/>
    <w:rsid w:val="20E01982"/>
    <w:rsid w:val="21026DD4"/>
    <w:rsid w:val="21155537"/>
    <w:rsid w:val="21155E1D"/>
    <w:rsid w:val="2117385F"/>
    <w:rsid w:val="2145594C"/>
    <w:rsid w:val="2152565C"/>
    <w:rsid w:val="21956270"/>
    <w:rsid w:val="21B207FA"/>
    <w:rsid w:val="21B26104"/>
    <w:rsid w:val="21BC760C"/>
    <w:rsid w:val="21C07E10"/>
    <w:rsid w:val="21E02DE8"/>
    <w:rsid w:val="21E47966"/>
    <w:rsid w:val="21F240C4"/>
    <w:rsid w:val="21FA7A77"/>
    <w:rsid w:val="22164095"/>
    <w:rsid w:val="222145C4"/>
    <w:rsid w:val="22521CD3"/>
    <w:rsid w:val="22557BB2"/>
    <w:rsid w:val="22633739"/>
    <w:rsid w:val="22A714AD"/>
    <w:rsid w:val="22A95185"/>
    <w:rsid w:val="22B1010F"/>
    <w:rsid w:val="22C91465"/>
    <w:rsid w:val="230374A6"/>
    <w:rsid w:val="23196053"/>
    <w:rsid w:val="234667F6"/>
    <w:rsid w:val="23466DF9"/>
    <w:rsid w:val="236E375C"/>
    <w:rsid w:val="237D0994"/>
    <w:rsid w:val="23891837"/>
    <w:rsid w:val="23986DAB"/>
    <w:rsid w:val="239E4348"/>
    <w:rsid w:val="23A14683"/>
    <w:rsid w:val="23A3664D"/>
    <w:rsid w:val="23AC3DCF"/>
    <w:rsid w:val="23B100DE"/>
    <w:rsid w:val="23D311FE"/>
    <w:rsid w:val="23EF7316"/>
    <w:rsid w:val="23F0483A"/>
    <w:rsid w:val="240555A4"/>
    <w:rsid w:val="2406098A"/>
    <w:rsid w:val="24075DC5"/>
    <w:rsid w:val="24343DA4"/>
    <w:rsid w:val="24404EC0"/>
    <w:rsid w:val="244654E4"/>
    <w:rsid w:val="245142FB"/>
    <w:rsid w:val="247E4E40"/>
    <w:rsid w:val="24A72B0B"/>
    <w:rsid w:val="24B16B47"/>
    <w:rsid w:val="24BD5A2E"/>
    <w:rsid w:val="24E152AD"/>
    <w:rsid w:val="24F1647A"/>
    <w:rsid w:val="2515121A"/>
    <w:rsid w:val="252406BC"/>
    <w:rsid w:val="252515E6"/>
    <w:rsid w:val="252B3F79"/>
    <w:rsid w:val="254721A8"/>
    <w:rsid w:val="257B3F2D"/>
    <w:rsid w:val="258358DD"/>
    <w:rsid w:val="259457AF"/>
    <w:rsid w:val="25B3327A"/>
    <w:rsid w:val="25BD3C86"/>
    <w:rsid w:val="25D14918"/>
    <w:rsid w:val="25D55DB7"/>
    <w:rsid w:val="25F92303"/>
    <w:rsid w:val="25FC3DF2"/>
    <w:rsid w:val="25FD3653"/>
    <w:rsid w:val="26175410"/>
    <w:rsid w:val="262303C3"/>
    <w:rsid w:val="2624790D"/>
    <w:rsid w:val="266359C4"/>
    <w:rsid w:val="266719DA"/>
    <w:rsid w:val="26690EF4"/>
    <w:rsid w:val="26721C2F"/>
    <w:rsid w:val="267C4F33"/>
    <w:rsid w:val="26825708"/>
    <w:rsid w:val="268C73B2"/>
    <w:rsid w:val="268D0EEE"/>
    <w:rsid w:val="268F4A73"/>
    <w:rsid w:val="26B273D6"/>
    <w:rsid w:val="26B87F99"/>
    <w:rsid w:val="26BC535F"/>
    <w:rsid w:val="26D525C3"/>
    <w:rsid w:val="26DB1B05"/>
    <w:rsid w:val="26EF2161"/>
    <w:rsid w:val="26EF35E2"/>
    <w:rsid w:val="26F66465"/>
    <w:rsid w:val="26FD4FC8"/>
    <w:rsid w:val="27153D8F"/>
    <w:rsid w:val="27154624"/>
    <w:rsid w:val="271D0D41"/>
    <w:rsid w:val="271E66BD"/>
    <w:rsid w:val="27381C91"/>
    <w:rsid w:val="274A0EDD"/>
    <w:rsid w:val="275A6AA9"/>
    <w:rsid w:val="27637EA1"/>
    <w:rsid w:val="279A1B15"/>
    <w:rsid w:val="27A3150B"/>
    <w:rsid w:val="27A73793"/>
    <w:rsid w:val="27B121AF"/>
    <w:rsid w:val="27C571A3"/>
    <w:rsid w:val="27CEF41A"/>
    <w:rsid w:val="27EC0EF9"/>
    <w:rsid w:val="27F50BA5"/>
    <w:rsid w:val="27FBB48D"/>
    <w:rsid w:val="27FE65FA"/>
    <w:rsid w:val="280277B2"/>
    <w:rsid w:val="281750C7"/>
    <w:rsid w:val="282134FD"/>
    <w:rsid w:val="283955B9"/>
    <w:rsid w:val="28571832"/>
    <w:rsid w:val="286B525F"/>
    <w:rsid w:val="287018EE"/>
    <w:rsid w:val="287700A8"/>
    <w:rsid w:val="28875DDF"/>
    <w:rsid w:val="289154C6"/>
    <w:rsid w:val="289A2702"/>
    <w:rsid w:val="28F82606"/>
    <w:rsid w:val="28FE2773"/>
    <w:rsid w:val="28FE73D4"/>
    <w:rsid w:val="29003BF9"/>
    <w:rsid w:val="290D6316"/>
    <w:rsid w:val="291058F5"/>
    <w:rsid w:val="29211DC2"/>
    <w:rsid w:val="293F160D"/>
    <w:rsid w:val="29410308"/>
    <w:rsid w:val="2964356D"/>
    <w:rsid w:val="296B6CBA"/>
    <w:rsid w:val="29921493"/>
    <w:rsid w:val="2997019A"/>
    <w:rsid w:val="29982084"/>
    <w:rsid w:val="29AB0921"/>
    <w:rsid w:val="29BF0E9F"/>
    <w:rsid w:val="29C41E64"/>
    <w:rsid w:val="29E2668A"/>
    <w:rsid w:val="29ED5437"/>
    <w:rsid w:val="29F439EA"/>
    <w:rsid w:val="29FC4834"/>
    <w:rsid w:val="2A157367"/>
    <w:rsid w:val="2A2474D0"/>
    <w:rsid w:val="2A247DBB"/>
    <w:rsid w:val="2A2A1F94"/>
    <w:rsid w:val="2A2C40DA"/>
    <w:rsid w:val="2A3C4E56"/>
    <w:rsid w:val="2A44769D"/>
    <w:rsid w:val="2A4E3C6A"/>
    <w:rsid w:val="2A8940C2"/>
    <w:rsid w:val="2A946B96"/>
    <w:rsid w:val="2AAC040C"/>
    <w:rsid w:val="2AB910AA"/>
    <w:rsid w:val="2ABA7CEF"/>
    <w:rsid w:val="2AD25A69"/>
    <w:rsid w:val="2AD651E0"/>
    <w:rsid w:val="2ADE1157"/>
    <w:rsid w:val="2AE0132C"/>
    <w:rsid w:val="2AF3524C"/>
    <w:rsid w:val="2AF67321"/>
    <w:rsid w:val="2B12230A"/>
    <w:rsid w:val="2B176055"/>
    <w:rsid w:val="2B344916"/>
    <w:rsid w:val="2B4C7898"/>
    <w:rsid w:val="2B612949"/>
    <w:rsid w:val="2B743C17"/>
    <w:rsid w:val="2B9E6D31"/>
    <w:rsid w:val="2BB52872"/>
    <w:rsid w:val="2BB64D87"/>
    <w:rsid w:val="2BC0383B"/>
    <w:rsid w:val="2BD15882"/>
    <w:rsid w:val="2BE772F2"/>
    <w:rsid w:val="2BED1BCD"/>
    <w:rsid w:val="2BF430F7"/>
    <w:rsid w:val="2BFF7551"/>
    <w:rsid w:val="2C253248"/>
    <w:rsid w:val="2C3763A0"/>
    <w:rsid w:val="2C4D775D"/>
    <w:rsid w:val="2C5837CA"/>
    <w:rsid w:val="2C5C576C"/>
    <w:rsid w:val="2C602B3A"/>
    <w:rsid w:val="2C7D76B3"/>
    <w:rsid w:val="2CA73DED"/>
    <w:rsid w:val="2CCE7AF7"/>
    <w:rsid w:val="2CCF04B2"/>
    <w:rsid w:val="2CD06C13"/>
    <w:rsid w:val="2CD81054"/>
    <w:rsid w:val="2CE6664A"/>
    <w:rsid w:val="2CF316F9"/>
    <w:rsid w:val="2CFD3A0F"/>
    <w:rsid w:val="2CFF241A"/>
    <w:rsid w:val="2D0839C4"/>
    <w:rsid w:val="2D1265F1"/>
    <w:rsid w:val="2D130548"/>
    <w:rsid w:val="2D2A393B"/>
    <w:rsid w:val="2D3331BF"/>
    <w:rsid w:val="2D377E6C"/>
    <w:rsid w:val="2D3F7C8D"/>
    <w:rsid w:val="2D5304B0"/>
    <w:rsid w:val="2D652BC5"/>
    <w:rsid w:val="2D673565"/>
    <w:rsid w:val="2D791D06"/>
    <w:rsid w:val="2D7D03D2"/>
    <w:rsid w:val="2D7D4619"/>
    <w:rsid w:val="2D815DE3"/>
    <w:rsid w:val="2DAA2C92"/>
    <w:rsid w:val="2DCA2A1D"/>
    <w:rsid w:val="2DCB78B1"/>
    <w:rsid w:val="2DD436F8"/>
    <w:rsid w:val="2DD911F6"/>
    <w:rsid w:val="2DD955E8"/>
    <w:rsid w:val="2DDB3917"/>
    <w:rsid w:val="2DDB69E3"/>
    <w:rsid w:val="2DE07E4D"/>
    <w:rsid w:val="2DE32374"/>
    <w:rsid w:val="2DEF55A7"/>
    <w:rsid w:val="2DF866F2"/>
    <w:rsid w:val="2E073C7C"/>
    <w:rsid w:val="2E100AB2"/>
    <w:rsid w:val="2E174A5D"/>
    <w:rsid w:val="2E244EF3"/>
    <w:rsid w:val="2E5626FB"/>
    <w:rsid w:val="2E5D5E92"/>
    <w:rsid w:val="2E5F79C0"/>
    <w:rsid w:val="2E6F18D3"/>
    <w:rsid w:val="2E7D1F32"/>
    <w:rsid w:val="2EAA3180"/>
    <w:rsid w:val="2EB445F5"/>
    <w:rsid w:val="2ED05F28"/>
    <w:rsid w:val="2EE13737"/>
    <w:rsid w:val="2EE424E2"/>
    <w:rsid w:val="2EEE3CD6"/>
    <w:rsid w:val="2EF630D5"/>
    <w:rsid w:val="2EFE443C"/>
    <w:rsid w:val="2F1A3106"/>
    <w:rsid w:val="2F266384"/>
    <w:rsid w:val="2F327135"/>
    <w:rsid w:val="2F4117CD"/>
    <w:rsid w:val="2F731257"/>
    <w:rsid w:val="2F740BEE"/>
    <w:rsid w:val="2F996B56"/>
    <w:rsid w:val="2FA15A0A"/>
    <w:rsid w:val="2FAC295D"/>
    <w:rsid w:val="2FB07D02"/>
    <w:rsid w:val="2FBB46B9"/>
    <w:rsid w:val="2FBE6583"/>
    <w:rsid w:val="2FBF43E2"/>
    <w:rsid w:val="2FC23EF0"/>
    <w:rsid w:val="2FCB2088"/>
    <w:rsid w:val="2FD55616"/>
    <w:rsid w:val="2FE6082A"/>
    <w:rsid w:val="2FEB1900"/>
    <w:rsid w:val="2FEFE93F"/>
    <w:rsid w:val="2FFE3966"/>
    <w:rsid w:val="302C29D3"/>
    <w:rsid w:val="30314921"/>
    <w:rsid w:val="304C27C0"/>
    <w:rsid w:val="305A426A"/>
    <w:rsid w:val="305F3932"/>
    <w:rsid w:val="30671733"/>
    <w:rsid w:val="306C2CF2"/>
    <w:rsid w:val="30700B8C"/>
    <w:rsid w:val="308B4216"/>
    <w:rsid w:val="308F4714"/>
    <w:rsid w:val="309A41E5"/>
    <w:rsid w:val="30AD13CC"/>
    <w:rsid w:val="30BA4FD6"/>
    <w:rsid w:val="30C81DD2"/>
    <w:rsid w:val="30C91210"/>
    <w:rsid w:val="30DA41C5"/>
    <w:rsid w:val="30DD3C4A"/>
    <w:rsid w:val="30DD420C"/>
    <w:rsid w:val="30F46739"/>
    <w:rsid w:val="3102072B"/>
    <w:rsid w:val="31140B8A"/>
    <w:rsid w:val="312678D5"/>
    <w:rsid w:val="312713D0"/>
    <w:rsid w:val="31472929"/>
    <w:rsid w:val="315E302C"/>
    <w:rsid w:val="31635FD5"/>
    <w:rsid w:val="316A3A6B"/>
    <w:rsid w:val="31704909"/>
    <w:rsid w:val="317256BD"/>
    <w:rsid w:val="31927D8D"/>
    <w:rsid w:val="31992364"/>
    <w:rsid w:val="319B66CB"/>
    <w:rsid w:val="319D61AB"/>
    <w:rsid w:val="319E66A5"/>
    <w:rsid w:val="319F536D"/>
    <w:rsid w:val="31AD3FC3"/>
    <w:rsid w:val="31C72A42"/>
    <w:rsid w:val="31EF0CAF"/>
    <w:rsid w:val="31FF0890"/>
    <w:rsid w:val="320135D7"/>
    <w:rsid w:val="32025E59"/>
    <w:rsid w:val="3217200B"/>
    <w:rsid w:val="321C6545"/>
    <w:rsid w:val="32390A40"/>
    <w:rsid w:val="32563794"/>
    <w:rsid w:val="325F0AF8"/>
    <w:rsid w:val="3260061E"/>
    <w:rsid w:val="327F7959"/>
    <w:rsid w:val="32996A6E"/>
    <w:rsid w:val="32A777DC"/>
    <w:rsid w:val="32C811C0"/>
    <w:rsid w:val="32D23E68"/>
    <w:rsid w:val="32F329AE"/>
    <w:rsid w:val="332226BA"/>
    <w:rsid w:val="332B3D51"/>
    <w:rsid w:val="332F0E34"/>
    <w:rsid w:val="33435756"/>
    <w:rsid w:val="3353412D"/>
    <w:rsid w:val="336F2634"/>
    <w:rsid w:val="337B0264"/>
    <w:rsid w:val="337C3BD7"/>
    <w:rsid w:val="3384038E"/>
    <w:rsid w:val="33852249"/>
    <w:rsid w:val="339B6CB2"/>
    <w:rsid w:val="339B7678"/>
    <w:rsid w:val="33BC6A23"/>
    <w:rsid w:val="33D229DB"/>
    <w:rsid w:val="33E258C4"/>
    <w:rsid w:val="33E369DB"/>
    <w:rsid w:val="33E470A3"/>
    <w:rsid w:val="33F22CD8"/>
    <w:rsid w:val="33FF14E7"/>
    <w:rsid w:val="33FF4F08"/>
    <w:rsid w:val="34016A9D"/>
    <w:rsid w:val="34237D1A"/>
    <w:rsid w:val="343C1478"/>
    <w:rsid w:val="343E190C"/>
    <w:rsid w:val="34473024"/>
    <w:rsid w:val="345F4780"/>
    <w:rsid w:val="346F0E05"/>
    <w:rsid w:val="347020FD"/>
    <w:rsid w:val="347512FB"/>
    <w:rsid w:val="34781CC6"/>
    <w:rsid w:val="348065F5"/>
    <w:rsid w:val="3487754F"/>
    <w:rsid w:val="349924B5"/>
    <w:rsid w:val="34AA1787"/>
    <w:rsid w:val="34AB511F"/>
    <w:rsid w:val="34B33F5E"/>
    <w:rsid w:val="34C441FF"/>
    <w:rsid w:val="34C61699"/>
    <w:rsid w:val="34D0301A"/>
    <w:rsid w:val="34D83FB2"/>
    <w:rsid w:val="34F02A6E"/>
    <w:rsid w:val="34F55C32"/>
    <w:rsid w:val="35026F4B"/>
    <w:rsid w:val="350B452D"/>
    <w:rsid w:val="351D3D85"/>
    <w:rsid w:val="352757D6"/>
    <w:rsid w:val="356715F0"/>
    <w:rsid w:val="35706064"/>
    <w:rsid w:val="358233C6"/>
    <w:rsid w:val="358C302E"/>
    <w:rsid w:val="35B00B2C"/>
    <w:rsid w:val="35B0244E"/>
    <w:rsid w:val="35B53FBD"/>
    <w:rsid w:val="35BD05BA"/>
    <w:rsid w:val="35D07049"/>
    <w:rsid w:val="35D44E08"/>
    <w:rsid w:val="35DC7C0D"/>
    <w:rsid w:val="363429D4"/>
    <w:rsid w:val="36367D06"/>
    <w:rsid w:val="365555FD"/>
    <w:rsid w:val="36716025"/>
    <w:rsid w:val="36877A32"/>
    <w:rsid w:val="369E0EF6"/>
    <w:rsid w:val="36A43F90"/>
    <w:rsid w:val="36AA4EE4"/>
    <w:rsid w:val="36C4275F"/>
    <w:rsid w:val="36C5115F"/>
    <w:rsid w:val="36C865AD"/>
    <w:rsid w:val="36D16428"/>
    <w:rsid w:val="36D5441D"/>
    <w:rsid w:val="36D76726"/>
    <w:rsid w:val="36EB2F81"/>
    <w:rsid w:val="36F1598C"/>
    <w:rsid w:val="370B7A44"/>
    <w:rsid w:val="37111CC2"/>
    <w:rsid w:val="37184ADE"/>
    <w:rsid w:val="371E5C37"/>
    <w:rsid w:val="373F613F"/>
    <w:rsid w:val="37662326"/>
    <w:rsid w:val="37812FB5"/>
    <w:rsid w:val="378459C6"/>
    <w:rsid w:val="378F0A02"/>
    <w:rsid w:val="37BF003F"/>
    <w:rsid w:val="37BF006E"/>
    <w:rsid w:val="37BF3DEF"/>
    <w:rsid w:val="37BF731C"/>
    <w:rsid w:val="37C70626"/>
    <w:rsid w:val="37D15FB9"/>
    <w:rsid w:val="37D92E6B"/>
    <w:rsid w:val="37F757A4"/>
    <w:rsid w:val="37FCCD8A"/>
    <w:rsid w:val="380B492C"/>
    <w:rsid w:val="380D6DD9"/>
    <w:rsid w:val="38193EA6"/>
    <w:rsid w:val="381F593E"/>
    <w:rsid w:val="382B33F0"/>
    <w:rsid w:val="38330116"/>
    <w:rsid w:val="38390ED6"/>
    <w:rsid w:val="384244A1"/>
    <w:rsid w:val="384902EF"/>
    <w:rsid w:val="386F17D2"/>
    <w:rsid w:val="387A31FA"/>
    <w:rsid w:val="387C7A0F"/>
    <w:rsid w:val="38A5512D"/>
    <w:rsid w:val="38A8605B"/>
    <w:rsid w:val="38A93B77"/>
    <w:rsid w:val="38AA4A92"/>
    <w:rsid w:val="38BE3B48"/>
    <w:rsid w:val="38C350A3"/>
    <w:rsid w:val="38DB688E"/>
    <w:rsid w:val="38E22E8F"/>
    <w:rsid w:val="38F702E5"/>
    <w:rsid w:val="391E7427"/>
    <w:rsid w:val="392F230D"/>
    <w:rsid w:val="39321E28"/>
    <w:rsid w:val="393A4020"/>
    <w:rsid w:val="393A6798"/>
    <w:rsid w:val="39504CED"/>
    <w:rsid w:val="395079D4"/>
    <w:rsid w:val="39510164"/>
    <w:rsid w:val="395B126F"/>
    <w:rsid w:val="395D517C"/>
    <w:rsid w:val="396B2B36"/>
    <w:rsid w:val="397027F1"/>
    <w:rsid w:val="397F6DBC"/>
    <w:rsid w:val="398443D3"/>
    <w:rsid w:val="39884053"/>
    <w:rsid w:val="39892198"/>
    <w:rsid w:val="39B22F08"/>
    <w:rsid w:val="39C35926"/>
    <w:rsid w:val="39DF6375"/>
    <w:rsid w:val="3A165D11"/>
    <w:rsid w:val="3A1F720A"/>
    <w:rsid w:val="3A325BDD"/>
    <w:rsid w:val="3A34157A"/>
    <w:rsid w:val="3A4D3BEE"/>
    <w:rsid w:val="3A550272"/>
    <w:rsid w:val="3A620B2D"/>
    <w:rsid w:val="3A7B0564"/>
    <w:rsid w:val="3A8D5509"/>
    <w:rsid w:val="3AA17A62"/>
    <w:rsid w:val="3AB34006"/>
    <w:rsid w:val="3AB7736F"/>
    <w:rsid w:val="3AC067C7"/>
    <w:rsid w:val="3AC11C0F"/>
    <w:rsid w:val="3AC93C76"/>
    <w:rsid w:val="3AFB3EA7"/>
    <w:rsid w:val="3AFE6E3D"/>
    <w:rsid w:val="3B295C07"/>
    <w:rsid w:val="3B2B1794"/>
    <w:rsid w:val="3B40671F"/>
    <w:rsid w:val="3B430BB4"/>
    <w:rsid w:val="3B5166F5"/>
    <w:rsid w:val="3B5E0969"/>
    <w:rsid w:val="3B6B01DB"/>
    <w:rsid w:val="3B6C3370"/>
    <w:rsid w:val="3B730693"/>
    <w:rsid w:val="3B842E6E"/>
    <w:rsid w:val="3B854432"/>
    <w:rsid w:val="3B89356E"/>
    <w:rsid w:val="3B9F78DE"/>
    <w:rsid w:val="3BAF3386"/>
    <w:rsid w:val="3BBB2B1F"/>
    <w:rsid w:val="3BBD544F"/>
    <w:rsid w:val="3BE178BA"/>
    <w:rsid w:val="3BEA3259"/>
    <w:rsid w:val="3BF305C8"/>
    <w:rsid w:val="3BF34CE9"/>
    <w:rsid w:val="3C262278"/>
    <w:rsid w:val="3C2E6878"/>
    <w:rsid w:val="3C320049"/>
    <w:rsid w:val="3C332067"/>
    <w:rsid w:val="3C3D1EA7"/>
    <w:rsid w:val="3C412FEF"/>
    <w:rsid w:val="3C5E172A"/>
    <w:rsid w:val="3C5F75E9"/>
    <w:rsid w:val="3C665813"/>
    <w:rsid w:val="3C687C69"/>
    <w:rsid w:val="3C6F0F2D"/>
    <w:rsid w:val="3C6F4129"/>
    <w:rsid w:val="3C705345"/>
    <w:rsid w:val="3C780106"/>
    <w:rsid w:val="3C7E8104"/>
    <w:rsid w:val="3C804EFE"/>
    <w:rsid w:val="3C8C793D"/>
    <w:rsid w:val="3CB44FCF"/>
    <w:rsid w:val="3CB80705"/>
    <w:rsid w:val="3CBF67A9"/>
    <w:rsid w:val="3CD67AA4"/>
    <w:rsid w:val="3CE02CA8"/>
    <w:rsid w:val="3CEE4E43"/>
    <w:rsid w:val="3D020E40"/>
    <w:rsid w:val="3D0B40C6"/>
    <w:rsid w:val="3D0D6DE9"/>
    <w:rsid w:val="3D1E303A"/>
    <w:rsid w:val="3D2267E5"/>
    <w:rsid w:val="3D233F03"/>
    <w:rsid w:val="3D381E15"/>
    <w:rsid w:val="3D4144F8"/>
    <w:rsid w:val="3D6D53B1"/>
    <w:rsid w:val="3D6D54C2"/>
    <w:rsid w:val="3D732DA3"/>
    <w:rsid w:val="3D8D59DF"/>
    <w:rsid w:val="3DA908AC"/>
    <w:rsid w:val="3DBD2D33"/>
    <w:rsid w:val="3DC0305E"/>
    <w:rsid w:val="3DC177DA"/>
    <w:rsid w:val="3DD226B8"/>
    <w:rsid w:val="3DEC3012"/>
    <w:rsid w:val="3E0E3EB9"/>
    <w:rsid w:val="3E1741C0"/>
    <w:rsid w:val="3E2C10FA"/>
    <w:rsid w:val="3E3D7CCB"/>
    <w:rsid w:val="3E452DE6"/>
    <w:rsid w:val="3E5069DB"/>
    <w:rsid w:val="3E651F02"/>
    <w:rsid w:val="3E7B4341"/>
    <w:rsid w:val="3E970704"/>
    <w:rsid w:val="3EA66B99"/>
    <w:rsid w:val="3EB424C1"/>
    <w:rsid w:val="3EB50271"/>
    <w:rsid w:val="3ECD660E"/>
    <w:rsid w:val="3EE1F5B9"/>
    <w:rsid w:val="3EEB2BC6"/>
    <w:rsid w:val="3EF57852"/>
    <w:rsid w:val="3EF95127"/>
    <w:rsid w:val="3EF970DC"/>
    <w:rsid w:val="3F245ACF"/>
    <w:rsid w:val="3F3A68F8"/>
    <w:rsid w:val="3F44721D"/>
    <w:rsid w:val="3F4872FA"/>
    <w:rsid w:val="3F664D84"/>
    <w:rsid w:val="3F710605"/>
    <w:rsid w:val="3F72633E"/>
    <w:rsid w:val="3F7A5DA8"/>
    <w:rsid w:val="3F7E18AC"/>
    <w:rsid w:val="3F7F5E54"/>
    <w:rsid w:val="3F907C64"/>
    <w:rsid w:val="3F920133"/>
    <w:rsid w:val="3F960D43"/>
    <w:rsid w:val="3FB71799"/>
    <w:rsid w:val="3FBD419A"/>
    <w:rsid w:val="3FD576BC"/>
    <w:rsid w:val="3FE15F9F"/>
    <w:rsid w:val="3FE41DD0"/>
    <w:rsid w:val="3FFF951E"/>
    <w:rsid w:val="4000464B"/>
    <w:rsid w:val="400F4519"/>
    <w:rsid w:val="402E3C00"/>
    <w:rsid w:val="40574D3C"/>
    <w:rsid w:val="4072184F"/>
    <w:rsid w:val="407409B4"/>
    <w:rsid w:val="409F3F87"/>
    <w:rsid w:val="40B90E06"/>
    <w:rsid w:val="40CC4A3E"/>
    <w:rsid w:val="40CE6283"/>
    <w:rsid w:val="40D63B5E"/>
    <w:rsid w:val="40DA2BCE"/>
    <w:rsid w:val="40DE4FEB"/>
    <w:rsid w:val="40E80341"/>
    <w:rsid w:val="40F13BA1"/>
    <w:rsid w:val="40FC46F2"/>
    <w:rsid w:val="41031CC1"/>
    <w:rsid w:val="4105098B"/>
    <w:rsid w:val="41057DB6"/>
    <w:rsid w:val="411706D2"/>
    <w:rsid w:val="412200D3"/>
    <w:rsid w:val="4122031E"/>
    <w:rsid w:val="412A15A0"/>
    <w:rsid w:val="41394B69"/>
    <w:rsid w:val="414023CE"/>
    <w:rsid w:val="414B1910"/>
    <w:rsid w:val="414C3ED9"/>
    <w:rsid w:val="41695AD2"/>
    <w:rsid w:val="41826052"/>
    <w:rsid w:val="41894C7C"/>
    <w:rsid w:val="41AE6602"/>
    <w:rsid w:val="41D028AB"/>
    <w:rsid w:val="41D61543"/>
    <w:rsid w:val="41D6242B"/>
    <w:rsid w:val="41E81030"/>
    <w:rsid w:val="41EC0D67"/>
    <w:rsid w:val="41FA0E5E"/>
    <w:rsid w:val="422151A6"/>
    <w:rsid w:val="423026F4"/>
    <w:rsid w:val="42427D2E"/>
    <w:rsid w:val="424A5EA3"/>
    <w:rsid w:val="425C5EED"/>
    <w:rsid w:val="42640436"/>
    <w:rsid w:val="426B74DE"/>
    <w:rsid w:val="426C2835"/>
    <w:rsid w:val="428D648C"/>
    <w:rsid w:val="42964966"/>
    <w:rsid w:val="42AA3EC8"/>
    <w:rsid w:val="42AD61B9"/>
    <w:rsid w:val="42C8573A"/>
    <w:rsid w:val="42CC7E97"/>
    <w:rsid w:val="42D9586E"/>
    <w:rsid w:val="42EF1640"/>
    <w:rsid w:val="430C3C9C"/>
    <w:rsid w:val="4314700C"/>
    <w:rsid w:val="43197D71"/>
    <w:rsid w:val="431D2288"/>
    <w:rsid w:val="433E4728"/>
    <w:rsid w:val="434541D3"/>
    <w:rsid w:val="434667E5"/>
    <w:rsid w:val="434D1C5C"/>
    <w:rsid w:val="43566713"/>
    <w:rsid w:val="438B4414"/>
    <w:rsid w:val="439714AF"/>
    <w:rsid w:val="43A53B82"/>
    <w:rsid w:val="43A90B3D"/>
    <w:rsid w:val="43B41963"/>
    <w:rsid w:val="43CD4B2B"/>
    <w:rsid w:val="43D80B5E"/>
    <w:rsid w:val="43E2581D"/>
    <w:rsid w:val="43EF6A56"/>
    <w:rsid w:val="43F07FD1"/>
    <w:rsid w:val="43FC6D61"/>
    <w:rsid w:val="44120BCC"/>
    <w:rsid w:val="44211AD2"/>
    <w:rsid w:val="442B1303"/>
    <w:rsid w:val="442D2AA4"/>
    <w:rsid w:val="443329F4"/>
    <w:rsid w:val="443D5D8A"/>
    <w:rsid w:val="443F46E8"/>
    <w:rsid w:val="44410444"/>
    <w:rsid w:val="445F1530"/>
    <w:rsid w:val="448C28D9"/>
    <w:rsid w:val="44DF7FDE"/>
    <w:rsid w:val="44E6761E"/>
    <w:rsid w:val="44F42F11"/>
    <w:rsid w:val="4524166F"/>
    <w:rsid w:val="4541586E"/>
    <w:rsid w:val="454B230C"/>
    <w:rsid w:val="454D6FF9"/>
    <w:rsid w:val="454F3FAA"/>
    <w:rsid w:val="45596509"/>
    <w:rsid w:val="45694A18"/>
    <w:rsid w:val="456B3EDB"/>
    <w:rsid w:val="456D246F"/>
    <w:rsid w:val="458F040F"/>
    <w:rsid w:val="45B7799C"/>
    <w:rsid w:val="45B853EC"/>
    <w:rsid w:val="45BA5FD9"/>
    <w:rsid w:val="45C67776"/>
    <w:rsid w:val="45C707DA"/>
    <w:rsid w:val="45D03F3B"/>
    <w:rsid w:val="45E54FAF"/>
    <w:rsid w:val="461A6709"/>
    <w:rsid w:val="462004DE"/>
    <w:rsid w:val="463420C4"/>
    <w:rsid w:val="463A7E47"/>
    <w:rsid w:val="463C4A15"/>
    <w:rsid w:val="464359C3"/>
    <w:rsid w:val="464B69A4"/>
    <w:rsid w:val="46501455"/>
    <w:rsid w:val="46592743"/>
    <w:rsid w:val="46673753"/>
    <w:rsid w:val="467D6138"/>
    <w:rsid w:val="468004CC"/>
    <w:rsid w:val="46874C3D"/>
    <w:rsid w:val="46893028"/>
    <w:rsid w:val="46AB5BF0"/>
    <w:rsid w:val="46B020F0"/>
    <w:rsid w:val="46BF73FC"/>
    <w:rsid w:val="46CC7D04"/>
    <w:rsid w:val="46F9682B"/>
    <w:rsid w:val="473854E9"/>
    <w:rsid w:val="473B6145"/>
    <w:rsid w:val="4745454B"/>
    <w:rsid w:val="47472609"/>
    <w:rsid w:val="474E74CF"/>
    <w:rsid w:val="477F4899"/>
    <w:rsid w:val="479868FB"/>
    <w:rsid w:val="479A16D0"/>
    <w:rsid w:val="479F05CA"/>
    <w:rsid w:val="47B01483"/>
    <w:rsid w:val="47B3285D"/>
    <w:rsid w:val="47B72067"/>
    <w:rsid w:val="47E56B22"/>
    <w:rsid w:val="47EA6100"/>
    <w:rsid w:val="47F0736E"/>
    <w:rsid w:val="47F224DE"/>
    <w:rsid w:val="47FE5574"/>
    <w:rsid w:val="47FE7A46"/>
    <w:rsid w:val="48010E15"/>
    <w:rsid w:val="481C1C7A"/>
    <w:rsid w:val="481F7836"/>
    <w:rsid w:val="48273436"/>
    <w:rsid w:val="483451C4"/>
    <w:rsid w:val="484D3774"/>
    <w:rsid w:val="4868211C"/>
    <w:rsid w:val="486A50DB"/>
    <w:rsid w:val="488B1D39"/>
    <w:rsid w:val="488F6C7A"/>
    <w:rsid w:val="48DC05DF"/>
    <w:rsid w:val="490A0361"/>
    <w:rsid w:val="49130DFF"/>
    <w:rsid w:val="493F0316"/>
    <w:rsid w:val="495913D8"/>
    <w:rsid w:val="496472EF"/>
    <w:rsid w:val="49717ECA"/>
    <w:rsid w:val="49965699"/>
    <w:rsid w:val="49B46BF7"/>
    <w:rsid w:val="49B61CE3"/>
    <w:rsid w:val="49C17825"/>
    <w:rsid w:val="49D56E2B"/>
    <w:rsid w:val="49F12C60"/>
    <w:rsid w:val="4A0373A3"/>
    <w:rsid w:val="4A0F5F3A"/>
    <w:rsid w:val="4A122D23"/>
    <w:rsid w:val="4A183041"/>
    <w:rsid w:val="4A391C1B"/>
    <w:rsid w:val="4A4F45DA"/>
    <w:rsid w:val="4A510301"/>
    <w:rsid w:val="4A58168F"/>
    <w:rsid w:val="4A730277"/>
    <w:rsid w:val="4A771C7C"/>
    <w:rsid w:val="4A7E123B"/>
    <w:rsid w:val="4A973A53"/>
    <w:rsid w:val="4AAA68A0"/>
    <w:rsid w:val="4AD6546A"/>
    <w:rsid w:val="4ADD7756"/>
    <w:rsid w:val="4AE46B2A"/>
    <w:rsid w:val="4AE866D7"/>
    <w:rsid w:val="4AFA44F5"/>
    <w:rsid w:val="4B0A4279"/>
    <w:rsid w:val="4B2817AD"/>
    <w:rsid w:val="4B3164C5"/>
    <w:rsid w:val="4B3654DF"/>
    <w:rsid w:val="4B3676D7"/>
    <w:rsid w:val="4B3C5DA9"/>
    <w:rsid w:val="4B531E57"/>
    <w:rsid w:val="4B577B99"/>
    <w:rsid w:val="4B6D0E75"/>
    <w:rsid w:val="4B6D374D"/>
    <w:rsid w:val="4B711D1E"/>
    <w:rsid w:val="4B764505"/>
    <w:rsid w:val="4B7A4A62"/>
    <w:rsid w:val="4B814DB1"/>
    <w:rsid w:val="4B9C5492"/>
    <w:rsid w:val="4BB27060"/>
    <w:rsid w:val="4BB83783"/>
    <w:rsid w:val="4BBC1039"/>
    <w:rsid w:val="4BBE3EC0"/>
    <w:rsid w:val="4BD74836"/>
    <w:rsid w:val="4BDBF859"/>
    <w:rsid w:val="4BE24D2F"/>
    <w:rsid w:val="4BE95600"/>
    <w:rsid w:val="4BEA1743"/>
    <w:rsid w:val="4C0403BF"/>
    <w:rsid w:val="4C0F2222"/>
    <w:rsid w:val="4C416153"/>
    <w:rsid w:val="4C521AFF"/>
    <w:rsid w:val="4C5916EF"/>
    <w:rsid w:val="4C5D423F"/>
    <w:rsid w:val="4C7A4DD7"/>
    <w:rsid w:val="4C7C46BE"/>
    <w:rsid w:val="4C7F0FC3"/>
    <w:rsid w:val="4C945E31"/>
    <w:rsid w:val="4CB863D4"/>
    <w:rsid w:val="4CB93B1E"/>
    <w:rsid w:val="4CC6484E"/>
    <w:rsid w:val="4CDC6452"/>
    <w:rsid w:val="4D027691"/>
    <w:rsid w:val="4D0316D6"/>
    <w:rsid w:val="4D072D8E"/>
    <w:rsid w:val="4D3C55CA"/>
    <w:rsid w:val="4D463048"/>
    <w:rsid w:val="4D930C30"/>
    <w:rsid w:val="4D9724CF"/>
    <w:rsid w:val="4DB04873"/>
    <w:rsid w:val="4DC9002A"/>
    <w:rsid w:val="4DCE96AF"/>
    <w:rsid w:val="4DDFDB39"/>
    <w:rsid w:val="4E0336C0"/>
    <w:rsid w:val="4E1113F3"/>
    <w:rsid w:val="4E2F16EC"/>
    <w:rsid w:val="4E3939BC"/>
    <w:rsid w:val="4E395BC1"/>
    <w:rsid w:val="4E41068C"/>
    <w:rsid w:val="4E5D786B"/>
    <w:rsid w:val="4E5F1715"/>
    <w:rsid w:val="4E896D4A"/>
    <w:rsid w:val="4E9E163B"/>
    <w:rsid w:val="4EC11478"/>
    <w:rsid w:val="4EC515F6"/>
    <w:rsid w:val="4EE01C53"/>
    <w:rsid w:val="4EE13FE1"/>
    <w:rsid w:val="4EEF1E97"/>
    <w:rsid w:val="4EF45A6E"/>
    <w:rsid w:val="4EF8103F"/>
    <w:rsid w:val="4F043B94"/>
    <w:rsid w:val="4F0614ED"/>
    <w:rsid w:val="4F12451B"/>
    <w:rsid w:val="4F3D218C"/>
    <w:rsid w:val="4F5E661E"/>
    <w:rsid w:val="4F6D6602"/>
    <w:rsid w:val="4F714FA1"/>
    <w:rsid w:val="4F7A5C04"/>
    <w:rsid w:val="4F80357A"/>
    <w:rsid w:val="4FAD0946"/>
    <w:rsid w:val="4FBE3B6B"/>
    <w:rsid w:val="4FBF4647"/>
    <w:rsid w:val="4FC14231"/>
    <w:rsid w:val="4FC754B2"/>
    <w:rsid w:val="4FCB1F28"/>
    <w:rsid w:val="4FD847C4"/>
    <w:rsid w:val="4FEB0C5D"/>
    <w:rsid w:val="4FFC26AA"/>
    <w:rsid w:val="4FFDAAEC"/>
    <w:rsid w:val="50032B3A"/>
    <w:rsid w:val="500A1500"/>
    <w:rsid w:val="50164AE5"/>
    <w:rsid w:val="5043249A"/>
    <w:rsid w:val="504B12DC"/>
    <w:rsid w:val="505B2F96"/>
    <w:rsid w:val="505C2C74"/>
    <w:rsid w:val="50603843"/>
    <w:rsid w:val="506154B0"/>
    <w:rsid w:val="50700893"/>
    <w:rsid w:val="50707007"/>
    <w:rsid w:val="50734F34"/>
    <w:rsid w:val="50737A73"/>
    <w:rsid w:val="509B1CB3"/>
    <w:rsid w:val="50BB56E2"/>
    <w:rsid w:val="50C95CF2"/>
    <w:rsid w:val="50E722E8"/>
    <w:rsid w:val="50F2368E"/>
    <w:rsid w:val="50FD572B"/>
    <w:rsid w:val="50FE0AB7"/>
    <w:rsid w:val="50FF64C3"/>
    <w:rsid w:val="51056042"/>
    <w:rsid w:val="5110748D"/>
    <w:rsid w:val="51206494"/>
    <w:rsid w:val="51364D60"/>
    <w:rsid w:val="513E0EB3"/>
    <w:rsid w:val="515C6C08"/>
    <w:rsid w:val="51923326"/>
    <w:rsid w:val="519F416D"/>
    <w:rsid w:val="51A100B8"/>
    <w:rsid w:val="51B64BCD"/>
    <w:rsid w:val="51DB2418"/>
    <w:rsid w:val="51E33768"/>
    <w:rsid w:val="51E81829"/>
    <w:rsid w:val="52021EE1"/>
    <w:rsid w:val="520755BB"/>
    <w:rsid w:val="521020F5"/>
    <w:rsid w:val="521903D3"/>
    <w:rsid w:val="522C6326"/>
    <w:rsid w:val="52650CB5"/>
    <w:rsid w:val="52666914"/>
    <w:rsid w:val="5268170D"/>
    <w:rsid w:val="52776257"/>
    <w:rsid w:val="5279645F"/>
    <w:rsid w:val="528E050C"/>
    <w:rsid w:val="52970C23"/>
    <w:rsid w:val="529E60AD"/>
    <w:rsid w:val="52AC0CC3"/>
    <w:rsid w:val="52BC08FB"/>
    <w:rsid w:val="52C94E58"/>
    <w:rsid w:val="52E70790"/>
    <w:rsid w:val="52E841DE"/>
    <w:rsid w:val="52EF4B5B"/>
    <w:rsid w:val="52F1442F"/>
    <w:rsid w:val="53003147"/>
    <w:rsid w:val="530F47B1"/>
    <w:rsid w:val="532640EE"/>
    <w:rsid w:val="53290DEF"/>
    <w:rsid w:val="53325219"/>
    <w:rsid w:val="535B0EC8"/>
    <w:rsid w:val="5379131C"/>
    <w:rsid w:val="53935E56"/>
    <w:rsid w:val="5395099E"/>
    <w:rsid w:val="539A4D48"/>
    <w:rsid w:val="53B07984"/>
    <w:rsid w:val="53B70CDB"/>
    <w:rsid w:val="53B95A78"/>
    <w:rsid w:val="53D8114B"/>
    <w:rsid w:val="53DD2F5D"/>
    <w:rsid w:val="53EB233E"/>
    <w:rsid w:val="53F049E9"/>
    <w:rsid w:val="53F65229"/>
    <w:rsid w:val="540A25EC"/>
    <w:rsid w:val="541F3522"/>
    <w:rsid w:val="5426285C"/>
    <w:rsid w:val="54286530"/>
    <w:rsid w:val="54320800"/>
    <w:rsid w:val="544E12D7"/>
    <w:rsid w:val="547A07A3"/>
    <w:rsid w:val="54AA2306"/>
    <w:rsid w:val="54B0031A"/>
    <w:rsid w:val="54B206B2"/>
    <w:rsid w:val="54C53579"/>
    <w:rsid w:val="54C61548"/>
    <w:rsid w:val="54CF07A0"/>
    <w:rsid w:val="54D60A15"/>
    <w:rsid w:val="54D97871"/>
    <w:rsid w:val="54E761B1"/>
    <w:rsid w:val="54F2448F"/>
    <w:rsid w:val="54F3414F"/>
    <w:rsid w:val="54F778A2"/>
    <w:rsid w:val="5502478E"/>
    <w:rsid w:val="551550E1"/>
    <w:rsid w:val="551E1593"/>
    <w:rsid w:val="552165A5"/>
    <w:rsid w:val="554F716A"/>
    <w:rsid w:val="55561106"/>
    <w:rsid w:val="555F3580"/>
    <w:rsid w:val="556E620B"/>
    <w:rsid w:val="556F4665"/>
    <w:rsid w:val="55833339"/>
    <w:rsid w:val="55886BA1"/>
    <w:rsid w:val="558F2F28"/>
    <w:rsid w:val="559373F0"/>
    <w:rsid w:val="55A5723A"/>
    <w:rsid w:val="55A70081"/>
    <w:rsid w:val="55DBD0EC"/>
    <w:rsid w:val="55E14BAC"/>
    <w:rsid w:val="55E50E61"/>
    <w:rsid w:val="55FFCDC8"/>
    <w:rsid w:val="560F303C"/>
    <w:rsid w:val="561248F1"/>
    <w:rsid w:val="56247D68"/>
    <w:rsid w:val="563521AD"/>
    <w:rsid w:val="563563DF"/>
    <w:rsid w:val="564425B1"/>
    <w:rsid w:val="564E1451"/>
    <w:rsid w:val="56575F58"/>
    <w:rsid w:val="565C2F5E"/>
    <w:rsid w:val="56687B85"/>
    <w:rsid w:val="567F545A"/>
    <w:rsid w:val="569013C3"/>
    <w:rsid w:val="56AA78E8"/>
    <w:rsid w:val="56B42063"/>
    <w:rsid w:val="56B96F8B"/>
    <w:rsid w:val="56C55D67"/>
    <w:rsid w:val="56F51B33"/>
    <w:rsid w:val="57112202"/>
    <w:rsid w:val="57222A89"/>
    <w:rsid w:val="572C16EE"/>
    <w:rsid w:val="57372761"/>
    <w:rsid w:val="57584FCA"/>
    <w:rsid w:val="575D6537"/>
    <w:rsid w:val="57630249"/>
    <w:rsid w:val="576B4009"/>
    <w:rsid w:val="576F3C25"/>
    <w:rsid w:val="579C17F5"/>
    <w:rsid w:val="57A22533"/>
    <w:rsid w:val="57D81C80"/>
    <w:rsid w:val="57DA5A4A"/>
    <w:rsid w:val="58182B98"/>
    <w:rsid w:val="58415931"/>
    <w:rsid w:val="58532BF9"/>
    <w:rsid w:val="5853793A"/>
    <w:rsid w:val="585F17B4"/>
    <w:rsid w:val="58907F4D"/>
    <w:rsid w:val="58957C7C"/>
    <w:rsid w:val="589870FB"/>
    <w:rsid w:val="58A17895"/>
    <w:rsid w:val="58AC3E86"/>
    <w:rsid w:val="58BE5EF5"/>
    <w:rsid w:val="58C042FC"/>
    <w:rsid w:val="58C04594"/>
    <w:rsid w:val="58C44914"/>
    <w:rsid w:val="58C82CE4"/>
    <w:rsid w:val="58D740C7"/>
    <w:rsid w:val="590405F0"/>
    <w:rsid w:val="59101F5C"/>
    <w:rsid w:val="591808CD"/>
    <w:rsid w:val="592331AB"/>
    <w:rsid w:val="59422F3E"/>
    <w:rsid w:val="594A4899"/>
    <w:rsid w:val="596A7F88"/>
    <w:rsid w:val="59741822"/>
    <w:rsid w:val="598E4F31"/>
    <w:rsid w:val="59922158"/>
    <w:rsid w:val="59934492"/>
    <w:rsid w:val="59AB01F8"/>
    <w:rsid w:val="59AD16A2"/>
    <w:rsid w:val="59AD4E28"/>
    <w:rsid w:val="59AE3561"/>
    <w:rsid w:val="59B63CDD"/>
    <w:rsid w:val="59E040F5"/>
    <w:rsid w:val="5A1031C4"/>
    <w:rsid w:val="5A134268"/>
    <w:rsid w:val="5A1806C0"/>
    <w:rsid w:val="5A2750DA"/>
    <w:rsid w:val="5A2F6C4F"/>
    <w:rsid w:val="5A3A17C3"/>
    <w:rsid w:val="5A4335A5"/>
    <w:rsid w:val="5A8B35AE"/>
    <w:rsid w:val="5AAE6ABC"/>
    <w:rsid w:val="5ABA15AB"/>
    <w:rsid w:val="5AC710F0"/>
    <w:rsid w:val="5ACC5D6E"/>
    <w:rsid w:val="5AE436C2"/>
    <w:rsid w:val="5AF3296E"/>
    <w:rsid w:val="5AF53793"/>
    <w:rsid w:val="5B0C6F5E"/>
    <w:rsid w:val="5B1557DA"/>
    <w:rsid w:val="5B2003E1"/>
    <w:rsid w:val="5B392A84"/>
    <w:rsid w:val="5B400EA8"/>
    <w:rsid w:val="5B433C96"/>
    <w:rsid w:val="5B6B5E8F"/>
    <w:rsid w:val="5B726329"/>
    <w:rsid w:val="5B7D53D5"/>
    <w:rsid w:val="5B8715A6"/>
    <w:rsid w:val="5B8939CB"/>
    <w:rsid w:val="5BA30291"/>
    <w:rsid w:val="5BA40CBB"/>
    <w:rsid w:val="5BA43F4E"/>
    <w:rsid w:val="5BA65C67"/>
    <w:rsid w:val="5BFF2F87"/>
    <w:rsid w:val="5C1242B6"/>
    <w:rsid w:val="5C15026D"/>
    <w:rsid w:val="5C223F55"/>
    <w:rsid w:val="5C277114"/>
    <w:rsid w:val="5C517CA4"/>
    <w:rsid w:val="5C5407FC"/>
    <w:rsid w:val="5C5944BA"/>
    <w:rsid w:val="5C603A1A"/>
    <w:rsid w:val="5C655099"/>
    <w:rsid w:val="5C8B36F0"/>
    <w:rsid w:val="5CAE15E3"/>
    <w:rsid w:val="5CCB319F"/>
    <w:rsid w:val="5CCD75AA"/>
    <w:rsid w:val="5CCF60C7"/>
    <w:rsid w:val="5CDC576C"/>
    <w:rsid w:val="5CEA7B41"/>
    <w:rsid w:val="5CEF2B51"/>
    <w:rsid w:val="5CF627BC"/>
    <w:rsid w:val="5D072AA1"/>
    <w:rsid w:val="5D096819"/>
    <w:rsid w:val="5D1A11E4"/>
    <w:rsid w:val="5D1B617D"/>
    <w:rsid w:val="5D1D5D61"/>
    <w:rsid w:val="5D2675F3"/>
    <w:rsid w:val="5D301FF8"/>
    <w:rsid w:val="5D337227"/>
    <w:rsid w:val="5D4810F0"/>
    <w:rsid w:val="5D4C1653"/>
    <w:rsid w:val="5D596392"/>
    <w:rsid w:val="5D5A270D"/>
    <w:rsid w:val="5D680F92"/>
    <w:rsid w:val="5D7274E7"/>
    <w:rsid w:val="5D746D54"/>
    <w:rsid w:val="5D7D6F94"/>
    <w:rsid w:val="5D7E8F83"/>
    <w:rsid w:val="5D8F6D1E"/>
    <w:rsid w:val="5D932E05"/>
    <w:rsid w:val="5D96309F"/>
    <w:rsid w:val="5DCB2540"/>
    <w:rsid w:val="5DD474B9"/>
    <w:rsid w:val="5DD79B52"/>
    <w:rsid w:val="5DDFC539"/>
    <w:rsid w:val="5DEA2B6B"/>
    <w:rsid w:val="5DF658B7"/>
    <w:rsid w:val="5E2E097A"/>
    <w:rsid w:val="5E395DD4"/>
    <w:rsid w:val="5E6D1849"/>
    <w:rsid w:val="5E6F4DA2"/>
    <w:rsid w:val="5E7254DD"/>
    <w:rsid w:val="5E8E2D92"/>
    <w:rsid w:val="5E96456D"/>
    <w:rsid w:val="5EA319C8"/>
    <w:rsid w:val="5EAF5CC5"/>
    <w:rsid w:val="5EB9265B"/>
    <w:rsid w:val="5EBD6330"/>
    <w:rsid w:val="5ED86BFB"/>
    <w:rsid w:val="5ED91711"/>
    <w:rsid w:val="5EDF6FDB"/>
    <w:rsid w:val="5F0B1839"/>
    <w:rsid w:val="5F257462"/>
    <w:rsid w:val="5F2A29DD"/>
    <w:rsid w:val="5F420052"/>
    <w:rsid w:val="5F477F2E"/>
    <w:rsid w:val="5F4F1515"/>
    <w:rsid w:val="5F666605"/>
    <w:rsid w:val="5F816B3B"/>
    <w:rsid w:val="5F910110"/>
    <w:rsid w:val="5F95192E"/>
    <w:rsid w:val="5F9C3D1F"/>
    <w:rsid w:val="5FA31627"/>
    <w:rsid w:val="5FAB0565"/>
    <w:rsid w:val="5FB3564A"/>
    <w:rsid w:val="5FB5056D"/>
    <w:rsid w:val="5FC353A5"/>
    <w:rsid w:val="5FCB0A77"/>
    <w:rsid w:val="5FD779A6"/>
    <w:rsid w:val="5FDE04EF"/>
    <w:rsid w:val="5FE804E6"/>
    <w:rsid w:val="5FEE6341"/>
    <w:rsid w:val="5FFDC67E"/>
    <w:rsid w:val="600D497E"/>
    <w:rsid w:val="601259E5"/>
    <w:rsid w:val="60161979"/>
    <w:rsid w:val="6029108E"/>
    <w:rsid w:val="6049631E"/>
    <w:rsid w:val="605446E4"/>
    <w:rsid w:val="60675FEB"/>
    <w:rsid w:val="606A3A73"/>
    <w:rsid w:val="60C77AE6"/>
    <w:rsid w:val="60C96CFB"/>
    <w:rsid w:val="60CB269E"/>
    <w:rsid w:val="60CD733A"/>
    <w:rsid w:val="60D941C6"/>
    <w:rsid w:val="60E62CB0"/>
    <w:rsid w:val="60EC754A"/>
    <w:rsid w:val="610F3C0A"/>
    <w:rsid w:val="61311344"/>
    <w:rsid w:val="61640F7C"/>
    <w:rsid w:val="616E11BC"/>
    <w:rsid w:val="619F599E"/>
    <w:rsid w:val="61AB2046"/>
    <w:rsid w:val="61B579C8"/>
    <w:rsid w:val="61BA51ED"/>
    <w:rsid w:val="61CB0541"/>
    <w:rsid w:val="61D323EE"/>
    <w:rsid w:val="61DE64C6"/>
    <w:rsid w:val="61E55E9B"/>
    <w:rsid w:val="61EB2C07"/>
    <w:rsid w:val="621303E3"/>
    <w:rsid w:val="62246821"/>
    <w:rsid w:val="622F7444"/>
    <w:rsid w:val="623339C2"/>
    <w:rsid w:val="62421D4E"/>
    <w:rsid w:val="624568E9"/>
    <w:rsid w:val="62513031"/>
    <w:rsid w:val="62704F36"/>
    <w:rsid w:val="62816632"/>
    <w:rsid w:val="629F71F4"/>
    <w:rsid w:val="62AD1AE7"/>
    <w:rsid w:val="62BB2364"/>
    <w:rsid w:val="62CA4E46"/>
    <w:rsid w:val="62D35B6C"/>
    <w:rsid w:val="63003C1B"/>
    <w:rsid w:val="630737FB"/>
    <w:rsid w:val="6313406C"/>
    <w:rsid w:val="633023D3"/>
    <w:rsid w:val="633D3CE0"/>
    <w:rsid w:val="63401F1F"/>
    <w:rsid w:val="63427F00"/>
    <w:rsid w:val="63512CC8"/>
    <w:rsid w:val="63525B27"/>
    <w:rsid w:val="635C3D2B"/>
    <w:rsid w:val="63615E5C"/>
    <w:rsid w:val="636861D8"/>
    <w:rsid w:val="636C3A73"/>
    <w:rsid w:val="637009E5"/>
    <w:rsid w:val="637C5546"/>
    <w:rsid w:val="637C5F97"/>
    <w:rsid w:val="63A51836"/>
    <w:rsid w:val="63A74B59"/>
    <w:rsid w:val="63BCFC97"/>
    <w:rsid w:val="63BE2DD3"/>
    <w:rsid w:val="63C17E4E"/>
    <w:rsid w:val="63D5387C"/>
    <w:rsid w:val="63E75FD3"/>
    <w:rsid w:val="63F30C8E"/>
    <w:rsid w:val="640D406C"/>
    <w:rsid w:val="64205E83"/>
    <w:rsid w:val="643665C9"/>
    <w:rsid w:val="64476F29"/>
    <w:rsid w:val="64601415"/>
    <w:rsid w:val="64676701"/>
    <w:rsid w:val="647C1FC7"/>
    <w:rsid w:val="649302B2"/>
    <w:rsid w:val="64A55079"/>
    <w:rsid w:val="64A70FDD"/>
    <w:rsid w:val="64AD75CB"/>
    <w:rsid w:val="64C06FBC"/>
    <w:rsid w:val="64D4595F"/>
    <w:rsid w:val="64D70778"/>
    <w:rsid w:val="64D90843"/>
    <w:rsid w:val="64DA7D2E"/>
    <w:rsid w:val="64DC7BAF"/>
    <w:rsid w:val="64DF4F6A"/>
    <w:rsid w:val="64E31491"/>
    <w:rsid w:val="64E55D4E"/>
    <w:rsid w:val="64F71817"/>
    <w:rsid w:val="64FC6EEE"/>
    <w:rsid w:val="65055B18"/>
    <w:rsid w:val="6513662C"/>
    <w:rsid w:val="65197936"/>
    <w:rsid w:val="65363F24"/>
    <w:rsid w:val="653F3F91"/>
    <w:rsid w:val="65435AA2"/>
    <w:rsid w:val="654E4446"/>
    <w:rsid w:val="65534AD5"/>
    <w:rsid w:val="658C6ED9"/>
    <w:rsid w:val="65B732B6"/>
    <w:rsid w:val="65BC2FDC"/>
    <w:rsid w:val="65C25A2B"/>
    <w:rsid w:val="65EB1CBE"/>
    <w:rsid w:val="65F06CFE"/>
    <w:rsid w:val="65F23A93"/>
    <w:rsid w:val="65FA31A3"/>
    <w:rsid w:val="662C7C52"/>
    <w:rsid w:val="66363894"/>
    <w:rsid w:val="663A5410"/>
    <w:rsid w:val="66547D12"/>
    <w:rsid w:val="665B7F56"/>
    <w:rsid w:val="66630F5B"/>
    <w:rsid w:val="66635066"/>
    <w:rsid w:val="667600FE"/>
    <w:rsid w:val="66824497"/>
    <w:rsid w:val="66827F88"/>
    <w:rsid w:val="66B977A1"/>
    <w:rsid w:val="66BE4C04"/>
    <w:rsid w:val="66C53541"/>
    <w:rsid w:val="66D16EB1"/>
    <w:rsid w:val="66D97586"/>
    <w:rsid w:val="66E85E6C"/>
    <w:rsid w:val="66EF226F"/>
    <w:rsid w:val="66F551CD"/>
    <w:rsid w:val="66FE0230"/>
    <w:rsid w:val="6711352C"/>
    <w:rsid w:val="67261818"/>
    <w:rsid w:val="67310E46"/>
    <w:rsid w:val="675635AD"/>
    <w:rsid w:val="676C5758"/>
    <w:rsid w:val="677156E7"/>
    <w:rsid w:val="67739553"/>
    <w:rsid w:val="67767181"/>
    <w:rsid w:val="67893000"/>
    <w:rsid w:val="67920971"/>
    <w:rsid w:val="6797136D"/>
    <w:rsid w:val="67B034E6"/>
    <w:rsid w:val="67BE646D"/>
    <w:rsid w:val="67CC1CEB"/>
    <w:rsid w:val="67D27892"/>
    <w:rsid w:val="67D72CA3"/>
    <w:rsid w:val="67FD0D26"/>
    <w:rsid w:val="680B1673"/>
    <w:rsid w:val="680C4DB4"/>
    <w:rsid w:val="68142C42"/>
    <w:rsid w:val="68307350"/>
    <w:rsid w:val="684D52D3"/>
    <w:rsid w:val="684E77D6"/>
    <w:rsid w:val="685B368C"/>
    <w:rsid w:val="687A05CB"/>
    <w:rsid w:val="689A5BC8"/>
    <w:rsid w:val="689B678F"/>
    <w:rsid w:val="68AC64A4"/>
    <w:rsid w:val="68B041DB"/>
    <w:rsid w:val="68B379A9"/>
    <w:rsid w:val="68B45E61"/>
    <w:rsid w:val="68D6547F"/>
    <w:rsid w:val="69152416"/>
    <w:rsid w:val="69314602"/>
    <w:rsid w:val="693462DE"/>
    <w:rsid w:val="693E4703"/>
    <w:rsid w:val="695E29E3"/>
    <w:rsid w:val="69675991"/>
    <w:rsid w:val="696C7681"/>
    <w:rsid w:val="6974326C"/>
    <w:rsid w:val="69756138"/>
    <w:rsid w:val="698A6567"/>
    <w:rsid w:val="69912070"/>
    <w:rsid w:val="69934956"/>
    <w:rsid w:val="699C00EC"/>
    <w:rsid w:val="699D220E"/>
    <w:rsid w:val="69AB1FCA"/>
    <w:rsid w:val="69C25D53"/>
    <w:rsid w:val="69C452B4"/>
    <w:rsid w:val="69D230CB"/>
    <w:rsid w:val="69DA7548"/>
    <w:rsid w:val="69DF521C"/>
    <w:rsid w:val="69E43874"/>
    <w:rsid w:val="69E46644"/>
    <w:rsid w:val="69F33107"/>
    <w:rsid w:val="69F65A80"/>
    <w:rsid w:val="6A0B5E11"/>
    <w:rsid w:val="6A1A30CF"/>
    <w:rsid w:val="6A416579"/>
    <w:rsid w:val="6A7259FE"/>
    <w:rsid w:val="6A8A71EB"/>
    <w:rsid w:val="6A992E96"/>
    <w:rsid w:val="6A9E5224"/>
    <w:rsid w:val="6AD76A7A"/>
    <w:rsid w:val="6AE249CB"/>
    <w:rsid w:val="6AE5205E"/>
    <w:rsid w:val="6AE55181"/>
    <w:rsid w:val="6AF84808"/>
    <w:rsid w:val="6B0A3135"/>
    <w:rsid w:val="6B0B7F49"/>
    <w:rsid w:val="6B1273C7"/>
    <w:rsid w:val="6B2A410B"/>
    <w:rsid w:val="6B384C9F"/>
    <w:rsid w:val="6B3F7B06"/>
    <w:rsid w:val="6B512BCC"/>
    <w:rsid w:val="6B5E8403"/>
    <w:rsid w:val="6B660F23"/>
    <w:rsid w:val="6B672341"/>
    <w:rsid w:val="6B7A65D8"/>
    <w:rsid w:val="6B903A69"/>
    <w:rsid w:val="6B9139CE"/>
    <w:rsid w:val="6B9C34E6"/>
    <w:rsid w:val="6BA97F88"/>
    <w:rsid w:val="6BB62340"/>
    <w:rsid w:val="6BB94D8C"/>
    <w:rsid w:val="6BBF7395"/>
    <w:rsid w:val="6BC835B3"/>
    <w:rsid w:val="6BD41160"/>
    <w:rsid w:val="6BDC329C"/>
    <w:rsid w:val="6BF414F1"/>
    <w:rsid w:val="6BFA3D6E"/>
    <w:rsid w:val="6C106C9B"/>
    <w:rsid w:val="6C157B3D"/>
    <w:rsid w:val="6C2B62D3"/>
    <w:rsid w:val="6C3D51B7"/>
    <w:rsid w:val="6C484D28"/>
    <w:rsid w:val="6C4D14D4"/>
    <w:rsid w:val="6C4E23DC"/>
    <w:rsid w:val="6C55119C"/>
    <w:rsid w:val="6C561B64"/>
    <w:rsid w:val="6C580FF4"/>
    <w:rsid w:val="6C8233EB"/>
    <w:rsid w:val="6C89348D"/>
    <w:rsid w:val="6C996BCD"/>
    <w:rsid w:val="6C9F2CF6"/>
    <w:rsid w:val="6CAA08FF"/>
    <w:rsid w:val="6CAA3353"/>
    <w:rsid w:val="6CCC1D7D"/>
    <w:rsid w:val="6CCC64BA"/>
    <w:rsid w:val="6CCD6E9C"/>
    <w:rsid w:val="6CD26AE8"/>
    <w:rsid w:val="6CD52274"/>
    <w:rsid w:val="6CEA21C3"/>
    <w:rsid w:val="6CFA602E"/>
    <w:rsid w:val="6CFF5502"/>
    <w:rsid w:val="6D03704C"/>
    <w:rsid w:val="6D0A4C82"/>
    <w:rsid w:val="6D2356D5"/>
    <w:rsid w:val="6D2B5458"/>
    <w:rsid w:val="6D3E2288"/>
    <w:rsid w:val="6D564CC8"/>
    <w:rsid w:val="6D733D37"/>
    <w:rsid w:val="6D804754"/>
    <w:rsid w:val="6D8B255B"/>
    <w:rsid w:val="6DA63C98"/>
    <w:rsid w:val="6DA92134"/>
    <w:rsid w:val="6DA97CAF"/>
    <w:rsid w:val="6DBE2E05"/>
    <w:rsid w:val="6DBED7FF"/>
    <w:rsid w:val="6DCE6D18"/>
    <w:rsid w:val="6DCF7009"/>
    <w:rsid w:val="6DDB422D"/>
    <w:rsid w:val="6DDF7E54"/>
    <w:rsid w:val="6DE95C25"/>
    <w:rsid w:val="6E02558E"/>
    <w:rsid w:val="6E09162A"/>
    <w:rsid w:val="6E1274A7"/>
    <w:rsid w:val="6E136C8A"/>
    <w:rsid w:val="6E367EAC"/>
    <w:rsid w:val="6E4A441B"/>
    <w:rsid w:val="6E4C23F3"/>
    <w:rsid w:val="6E64013F"/>
    <w:rsid w:val="6EAA19A2"/>
    <w:rsid w:val="6EB623C1"/>
    <w:rsid w:val="6EBA7108"/>
    <w:rsid w:val="6EBC01D5"/>
    <w:rsid w:val="6EC3572B"/>
    <w:rsid w:val="6ED32814"/>
    <w:rsid w:val="6EEC6F2A"/>
    <w:rsid w:val="6F03B190"/>
    <w:rsid w:val="6F1025BA"/>
    <w:rsid w:val="6F1E103C"/>
    <w:rsid w:val="6F27734B"/>
    <w:rsid w:val="6F2C1D50"/>
    <w:rsid w:val="6F3368B4"/>
    <w:rsid w:val="6F360023"/>
    <w:rsid w:val="6F3B5ABB"/>
    <w:rsid w:val="6F3F3964"/>
    <w:rsid w:val="6F4162E7"/>
    <w:rsid w:val="6F611B12"/>
    <w:rsid w:val="6F6B59B0"/>
    <w:rsid w:val="6F700541"/>
    <w:rsid w:val="6F7760CD"/>
    <w:rsid w:val="6F779697"/>
    <w:rsid w:val="6F7C17CC"/>
    <w:rsid w:val="6F7D53F8"/>
    <w:rsid w:val="6F7E7ACD"/>
    <w:rsid w:val="6F8428B9"/>
    <w:rsid w:val="6F8D7575"/>
    <w:rsid w:val="6F9401C4"/>
    <w:rsid w:val="6F945012"/>
    <w:rsid w:val="6F9E9985"/>
    <w:rsid w:val="6FAB37E0"/>
    <w:rsid w:val="6FB90C34"/>
    <w:rsid w:val="6FC007B4"/>
    <w:rsid w:val="6FCC0424"/>
    <w:rsid w:val="6FD47AD2"/>
    <w:rsid w:val="6FD6E57C"/>
    <w:rsid w:val="6FE66933"/>
    <w:rsid w:val="6FEA0C0F"/>
    <w:rsid w:val="6FF428F6"/>
    <w:rsid w:val="6FF9732E"/>
    <w:rsid w:val="6FF978A5"/>
    <w:rsid w:val="6FFD27F6"/>
    <w:rsid w:val="6FFF8F7B"/>
    <w:rsid w:val="7007308C"/>
    <w:rsid w:val="700E753D"/>
    <w:rsid w:val="702A088D"/>
    <w:rsid w:val="70305BDD"/>
    <w:rsid w:val="70556214"/>
    <w:rsid w:val="7057303A"/>
    <w:rsid w:val="7080697E"/>
    <w:rsid w:val="70AF4675"/>
    <w:rsid w:val="70BB57DB"/>
    <w:rsid w:val="70EE30E0"/>
    <w:rsid w:val="70FA6471"/>
    <w:rsid w:val="71127607"/>
    <w:rsid w:val="711B4773"/>
    <w:rsid w:val="712A3FC5"/>
    <w:rsid w:val="713B0938"/>
    <w:rsid w:val="714D4ACF"/>
    <w:rsid w:val="71543AC6"/>
    <w:rsid w:val="717B021D"/>
    <w:rsid w:val="7185070D"/>
    <w:rsid w:val="71AC5E9F"/>
    <w:rsid w:val="71AD37BF"/>
    <w:rsid w:val="71BC0064"/>
    <w:rsid w:val="71BC4118"/>
    <w:rsid w:val="71CD4B66"/>
    <w:rsid w:val="7204624A"/>
    <w:rsid w:val="720930EC"/>
    <w:rsid w:val="721C08BF"/>
    <w:rsid w:val="72444A80"/>
    <w:rsid w:val="724E1D74"/>
    <w:rsid w:val="725D7955"/>
    <w:rsid w:val="72601E47"/>
    <w:rsid w:val="727D595A"/>
    <w:rsid w:val="72842772"/>
    <w:rsid w:val="72A41A00"/>
    <w:rsid w:val="72AA6CEA"/>
    <w:rsid w:val="72BC2B38"/>
    <w:rsid w:val="72D34757"/>
    <w:rsid w:val="72D52D21"/>
    <w:rsid w:val="72D6363D"/>
    <w:rsid w:val="72DA1773"/>
    <w:rsid w:val="72DD62E4"/>
    <w:rsid w:val="72F3295B"/>
    <w:rsid w:val="7310293E"/>
    <w:rsid w:val="73234AF8"/>
    <w:rsid w:val="733E6683"/>
    <w:rsid w:val="733F0D8F"/>
    <w:rsid w:val="735A7977"/>
    <w:rsid w:val="736A3B2D"/>
    <w:rsid w:val="738065A7"/>
    <w:rsid w:val="738B3DCA"/>
    <w:rsid w:val="73951461"/>
    <w:rsid w:val="739841C4"/>
    <w:rsid w:val="73AD5CF9"/>
    <w:rsid w:val="73B11090"/>
    <w:rsid w:val="73C404BE"/>
    <w:rsid w:val="73C6512C"/>
    <w:rsid w:val="73D3C3A8"/>
    <w:rsid w:val="73E7300C"/>
    <w:rsid w:val="73F43927"/>
    <w:rsid w:val="73FC3B75"/>
    <w:rsid w:val="74027F4E"/>
    <w:rsid w:val="742C274C"/>
    <w:rsid w:val="742F40B5"/>
    <w:rsid w:val="744321AD"/>
    <w:rsid w:val="74493937"/>
    <w:rsid w:val="745B7503"/>
    <w:rsid w:val="746F012F"/>
    <w:rsid w:val="749D2A4B"/>
    <w:rsid w:val="749F6813"/>
    <w:rsid w:val="74B02D94"/>
    <w:rsid w:val="74B17968"/>
    <w:rsid w:val="74BA3CA2"/>
    <w:rsid w:val="74DA0D6F"/>
    <w:rsid w:val="74E87FF3"/>
    <w:rsid w:val="74EC1085"/>
    <w:rsid w:val="74EE5AFC"/>
    <w:rsid w:val="7507266E"/>
    <w:rsid w:val="752E41C6"/>
    <w:rsid w:val="7530098F"/>
    <w:rsid w:val="7534400C"/>
    <w:rsid w:val="75407A08"/>
    <w:rsid w:val="75410FAC"/>
    <w:rsid w:val="75660855"/>
    <w:rsid w:val="757B1010"/>
    <w:rsid w:val="759F108F"/>
    <w:rsid w:val="75BE30FA"/>
    <w:rsid w:val="75CF78E7"/>
    <w:rsid w:val="75D270BD"/>
    <w:rsid w:val="76060C9F"/>
    <w:rsid w:val="76347D47"/>
    <w:rsid w:val="7658778D"/>
    <w:rsid w:val="767E2624"/>
    <w:rsid w:val="767F1206"/>
    <w:rsid w:val="768C37AB"/>
    <w:rsid w:val="76BB24DB"/>
    <w:rsid w:val="76BB5E55"/>
    <w:rsid w:val="76BE4E65"/>
    <w:rsid w:val="76C27DFB"/>
    <w:rsid w:val="76C90950"/>
    <w:rsid w:val="76D23601"/>
    <w:rsid w:val="76E2728E"/>
    <w:rsid w:val="76F30336"/>
    <w:rsid w:val="76FA4DAA"/>
    <w:rsid w:val="76FB4B3D"/>
    <w:rsid w:val="76FE0619"/>
    <w:rsid w:val="77315AC6"/>
    <w:rsid w:val="7761011F"/>
    <w:rsid w:val="77683ABA"/>
    <w:rsid w:val="776F3F47"/>
    <w:rsid w:val="77701517"/>
    <w:rsid w:val="77894387"/>
    <w:rsid w:val="779E23E4"/>
    <w:rsid w:val="77A318EC"/>
    <w:rsid w:val="77A9419D"/>
    <w:rsid w:val="77C75117"/>
    <w:rsid w:val="77CC5F6D"/>
    <w:rsid w:val="77D90D75"/>
    <w:rsid w:val="77DC1FD3"/>
    <w:rsid w:val="77E7B805"/>
    <w:rsid w:val="78006D3F"/>
    <w:rsid w:val="78030643"/>
    <w:rsid w:val="78096004"/>
    <w:rsid w:val="780C71F3"/>
    <w:rsid w:val="780F0B72"/>
    <w:rsid w:val="78146346"/>
    <w:rsid w:val="78585296"/>
    <w:rsid w:val="785D44C3"/>
    <w:rsid w:val="786F07C1"/>
    <w:rsid w:val="78755A65"/>
    <w:rsid w:val="78770F4C"/>
    <w:rsid w:val="78796822"/>
    <w:rsid w:val="787F6A6A"/>
    <w:rsid w:val="78802314"/>
    <w:rsid w:val="7888044E"/>
    <w:rsid w:val="78B51AC3"/>
    <w:rsid w:val="78C513BF"/>
    <w:rsid w:val="78E106A7"/>
    <w:rsid w:val="79030169"/>
    <w:rsid w:val="79040533"/>
    <w:rsid w:val="79041B17"/>
    <w:rsid w:val="79286849"/>
    <w:rsid w:val="794740DC"/>
    <w:rsid w:val="794951D2"/>
    <w:rsid w:val="794C664D"/>
    <w:rsid w:val="7968393D"/>
    <w:rsid w:val="796C3F60"/>
    <w:rsid w:val="79711DAF"/>
    <w:rsid w:val="797F0E9C"/>
    <w:rsid w:val="798455A3"/>
    <w:rsid w:val="7984574E"/>
    <w:rsid w:val="79885DFE"/>
    <w:rsid w:val="79A75B65"/>
    <w:rsid w:val="79AA3BFA"/>
    <w:rsid w:val="79AF2B3E"/>
    <w:rsid w:val="79B5792D"/>
    <w:rsid w:val="79C41D65"/>
    <w:rsid w:val="79D7067F"/>
    <w:rsid w:val="79E3257D"/>
    <w:rsid w:val="79E65560"/>
    <w:rsid w:val="79EB733C"/>
    <w:rsid w:val="7A197A0A"/>
    <w:rsid w:val="7A207339"/>
    <w:rsid w:val="7A266154"/>
    <w:rsid w:val="7A28432B"/>
    <w:rsid w:val="7A382541"/>
    <w:rsid w:val="7A3F4F65"/>
    <w:rsid w:val="7A484B66"/>
    <w:rsid w:val="7A503DC0"/>
    <w:rsid w:val="7A636720"/>
    <w:rsid w:val="7A650A46"/>
    <w:rsid w:val="7A6D61E2"/>
    <w:rsid w:val="7A857032"/>
    <w:rsid w:val="7A8772A3"/>
    <w:rsid w:val="7AAE70DB"/>
    <w:rsid w:val="7AB20098"/>
    <w:rsid w:val="7AB342CF"/>
    <w:rsid w:val="7AB577F7"/>
    <w:rsid w:val="7ADB2472"/>
    <w:rsid w:val="7AF71EC1"/>
    <w:rsid w:val="7B047F9F"/>
    <w:rsid w:val="7B0D3D29"/>
    <w:rsid w:val="7B207D02"/>
    <w:rsid w:val="7B430014"/>
    <w:rsid w:val="7B6179CF"/>
    <w:rsid w:val="7B831AE5"/>
    <w:rsid w:val="7B9219D4"/>
    <w:rsid w:val="7B9711A8"/>
    <w:rsid w:val="7BA4205A"/>
    <w:rsid w:val="7BB841A4"/>
    <w:rsid w:val="7BC02341"/>
    <w:rsid w:val="7BCFC3B5"/>
    <w:rsid w:val="7BDD1C97"/>
    <w:rsid w:val="7BE720A8"/>
    <w:rsid w:val="7BF20477"/>
    <w:rsid w:val="7BF727AA"/>
    <w:rsid w:val="7BF96522"/>
    <w:rsid w:val="7BFD5669"/>
    <w:rsid w:val="7BFE4EA7"/>
    <w:rsid w:val="7C3D2A4B"/>
    <w:rsid w:val="7C492337"/>
    <w:rsid w:val="7C563807"/>
    <w:rsid w:val="7C7D62BF"/>
    <w:rsid w:val="7CA667CC"/>
    <w:rsid w:val="7CA85A01"/>
    <w:rsid w:val="7CAC3119"/>
    <w:rsid w:val="7CC25D22"/>
    <w:rsid w:val="7CF3190C"/>
    <w:rsid w:val="7D002D97"/>
    <w:rsid w:val="7D167760"/>
    <w:rsid w:val="7D24227B"/>
    <w:rsid w:val="7D493B5B"/>
    <w:rsid w:val="7D4B173B"/>
    <w:rsid w:val="7D514B92"/>
    <w:rsid w:val="7D534BFC"/>
    <w:rsid w:val="7D7276B8"/>
    <w:rsid w:val="7D732323"/>
    <w:rsid w:val="7D7B4DEC"/>
    <w:rsid w:val="7D7B4FCE"/>
    <w:rsid w:val="7D7FBE8E"/>
    <w:rsid w:val="7D9737E1"/>
    <w:rsid w:val="7DA30B59"/>
    <w:rsid w:val="7DA620E5"/>
    <w:rsid w:val="7DB85A57"/>
    <w:rsid w:val="7DCE2A36"/>
    <w:rsid w:val="7DD86068"/>
    <w:rsid w:val="7DED5F44"/>
    <w:rsid w:val="7DF115A2"/>
    <w:rsid w:val="7DF306CC"/>
    <w:rsid w:val="7DF3A12F"/>
    <w:rsid w:val="7DF751E7"/>
    <w:rsid w:val="7DFF1928"/>
    <w:rsid w:val="7DFF2170"/>
    <w:rsid w:val="7E3050A4"/>
    <w:rsid w:val="7E396C4C"/>
    <w:rsid w:val="7E3D07DD"/>
    <w:rsid w:val="7E55775E"/>
    <w:rsid w:val="7E7D13EE"/>
    <w:rsid w:val="7E861077"/>
    <w:rsid w:val="7E8B7265"/>
    <w:rsid w:val="7E9A7C88"/>
    <w:rsid w:val="7EA42EA1"/>
    <w:rsid w:val="7EA92AE7"/>
    <w:rsid w:val="7EB8328A"/>
    <w:rsid w:val="7EC7748A"/>
    <w:rsid w:val="7EDA4B80"/>
    <w:rsid w:val="7EE156D4"/>
    <w:rsid w:val="7EF3251B"/>
    <w:rsid w:val="7EFC0F0D"/>
    <w:rsid w:val="7EFE01E8"/>
    <w:rsid w:val="7EFF1737"/>
    <w:rsid w:val="7EFF3926"/>
    <w:rsid w:val="7F0B5594"/>
    <w:rsid w:val="7F2726FD"/>
    <w:rsid w:val="7F35ED35"/>
    <w:rsid w:val="7F57AF82"/>
    <w:rsid w:val="7F59995F"/>
    <w:rsid w:val="7F5F570D"/>
    <w:rsid w:val="7F6539A3"/>
    <w:rsid w:val="7F66581F"/>
    <w:rsid w:val="7F8D2CD9"/>
    <w:rsid w:val="7F8D5739"/>
    <w:rsid w:val="7F8D7767"/>
    <w:rsid w:val="7F9B1F0B"/>
    <w:rsid w:val="7FA27EE8"/>
    <w:rsid w:val="7FA31FC6"/>
    <w:rsid w:val="7FB50907"/>
    <w:rsid w:val="7FB92A04"/>
    <w:rsid w:val="7FBC1F33"/>
    <w:rsid w:val="7FBD6922"/>
    <w:rsid w:val="7FBE55F5"/>
    <w:rsid w:val="7FBF13DF"/>
    <w:rsid w:val="7FBF71B5"/>
    <w:rsid w:val="7FE32E21"/>
    <w:rsid w:val="7FE6454A"/>
    <w:rsid w:val="7FEB7AF3"/>
    <w:rsid w:val="7FF32CE5"/>
    <w:rsid w:val="7FF64EE9"/>
    <w:rsid w:val="7FFB603E"/>
    <w:rsid w:val="7FFD0967"/>
    <w:rsid w:val="7FFD68C5"/>
    <w:rsid w:val="7FFFC70C"/>
    <w:rsid w:val="937FE679"/>
    <w:rsid w:val="979EED47"/>
    <w:rsid w:val="97FCE643"/>
    <w:rsid w:val="9F3BB291"/>
    <w:rsid w:val="9F7F29ED"/>
    <w:rsid w:val="A36BDEDC"/>
    <w:rsid w:val="ABFE4832"/>
    <w:rsid w:val="AF5F6545"/>
    <w:rsid w:val="AF9100C2"/>
    <w:rsid w:val="AFFD1F8A"/>
    <w:rsid w:val="B1BEDCB8"/>
    <w:rsid w:val="B35D9D47"/>
    <w:rsid w:val="B7ED9DB9"/>
    <w:rsid w:val="B7FBE5B0"/>
    <w:rsid w:val="BABCC901"/>
    <w:rsid w:val="BB7BA85E"/>
    <w:rsid w:val="BC570E4F"/>
    <w:rsid w:val="BDFDB472"/>
    <w:rsid w:val="BE770F36"/>
    <w:rsid w:val="BF73B42E"/>
    <w:rsid w:val="BF8380E9"/>
    <w:rsid w:val="BFB5626B"/>
    <w:rsid w:val="BFCF069B"/>
    <w:rsid w:val="BFD51A53"/>
    <w:rsid w:val="BFFECC44"/>
    <w:rsid w:val="BFFF4787"/>
    <w:rsid w:val="BFFF5971"/>
    <w:rsid w:val="BFFF75CC"/>
    <w:rsid w:val="CDE7DC3A"/>
    <w:rsid w:val="CF7EB7C1"/>
    <w:rsid w:val="D42FC758"/>
    <w:rsid w:val="D5BCE428"/>
    <w:rsid w:val="D5F0A427"/>
    <w:rsid w:val="D93FEA0F"/>
    <w:rsid w:val="D99F80FE"/>
    <w:rsid w:val="DA7A6B35"/>
    <w:rsid w:val="DAEE9145"/>
    <w:rsid w:val="DBD76D48"/>
    <w:rsid w:val="DBD971BC"/>
    <w:rsid w:val="DC7A3D08"/>
    <w:rsid w:val="DDE71DC6"/>
    <w:rsid w:val="DDE7F6C9"/>
    <w:rsid w:val="DDFDD34C"/>
    <w:rsid w:val="DDFF5E0F"/>
    <w:rsid w:val="DE3E1FB8"/>
    <w:rsid w:val="DE5F12B5"/>
    <w:rsid w:val="DF583D7E"/>
    <w:rsid w:val="DF7F6FB1"/>
    <w:rsid w:val="DFD9BB7C"/>
    <w:rsid w:val="E68DA2A7"/>
    <w:rsid w:val="E6FB7547"/>
    <w:rsid w:val="EAAFC4DF"/>
    <w:rsid w:val="EB7E81DC"/>
    <w:rsid w:val="EDBFDFC3"/>
    <w:rsid w:val="EFF6A13D"/>
    <w:rsid w:val="EFFBB90E"/>
    <w:rsid w:val="EFFCF7B8"/>
    <w:rsid w:val="EFFF6DC6"/>
    <w:rsid w:val="EFFF90E9"/>
    <w:rsid w:val="EFFF9369"/>
    <w:rsid w:val="F2EF1861"/>
    <w:rsid w:val="F2F3C051"/>
    <w:rsid w:val="F3FE740F"/>
    <w:rsid w:val="F4EF3EAA"/>
    <w:rsid w:val="F5DD6B59"/>
    <w:rsid w:val="F5EF84F3"/>
    <w:rsid w:val="F5F312FB"/>
    <w:rsid w:val="F6AF86BC"/>
    <w:rsid w:val="F76FCEBE"/>
    <w:rsid w:val="F7DF6086"/>
    <w:rsid w:val="F7F3B6F5"/>
    <w:rsid w:val="FB6ABF7C"/>
    <w:rsid w:val="FB7E94D3"/>
    <w:rsid w:val="FBCDA0AF"/>
    <w:rsid w:val="FBFD23C7"/>
    <w:rsid w:val="FBFF69D4"/>
    <w:rsid w:val="FCF7C6D4"/>
    <w:rsid w:val="FDBF117B"/>
    <w:rsid w:val="FDEB0F11"/>
    <w:rsid w:val="FDFF93D3"/>
    <w:rsid w:val="FE3B7A06"/>
    <w:rsid w:val="FE4C29C6"/>
    <w:rsid w:val="FEAFD0D3"/>
    <w:rsid w:val="FEBE2119"/>
    <w:rsid w:val="FECF5FA4"/>
    <w:rsid w:val="FEDF8B7F"/>
    <w:rsid w:val="FF7BF50D"/>
    <w:rsid w:val="FF7DDFF7"/>
    <w:rsid w:val="FF7F88CE"/>
    <w:rsid w:val="FFDEAA4A"/>
    <w:rsid w:val="FFDFCED9"/>
    <w:rsid w:val="FFDFF350"/>
    <w:rsid w:val="FFE74EDB"/>
    <w:rsid w:val="FFE95369"/>
    <w:rsid w:val="FFFD494A"/>
    <w:rsid w:val="FFFD754E"/>
    <w:rsid w:val="FFFDA05C"/>
    <w:rsid w:val="FFFDF5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99"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312" w:lineRule="auto"/>
      <w:ind w:firstLine="200" w:firstLineChars="200"/>
      <w:jc w:val="both"/>
    </w:pPr>
    <w:rPr>
      <w:rFonts w:ascii="Times New Roman" w:hAnsi="Times New Roman" w:eastAsia="宋体" w:cs="Times New Roman"/>
      <w:kern w:val="2"/>
      <w:sz w:val="24"/>
      <w:szCs w:val="22"/>
      <w:lang w:val="en-US" w:eastAsia="zh-CN" w:bidi="ar-SA"/>
    </w:rPr>
  </w:style>
  <w:style w:type="paragraph" w:styleId="3">
    <w:name w:val="heading 1"/>
    <w:basedOn w:val="1"/>
    <w:next w:val="1"/>
    <w:qFormat/>
    <w:uiPriority w:val="0"/>
    <w:pPr>
      <w:keepNext/>
      <w:keepLines/>
      <w:spacing w:before="340" w:after="330" w:line="576" w:lineRule="auto"/>
      <w:outlineLvl w:val="0"/>
    </w:pPr>
    <w:rPr>
      <w:rFonts w:eastAsia="黑体"/>
      <w:kern w:val="44"/>
      <w:sz w:val="32"/>
    </w:rPr>
  </w:style>
  <w:style w:type="paragraph" w:styleId="4">
    <w:name w:val="heading 2"/>
    <w:basedOn w:val="1"/>
    <w:next w:val="1"/>
    <w:link w:val="29"/>
    <w:qFormat/>
    <w:uiPriority w:val="0"/>
    <w:pPr>
      <w:keepNext/>
      <w:keepLines/>
      <w:ind w:firstLine="0" w:firstLineChars="0"/>
      <w:jc w:val="center"/>
      <w:outlineLvl w:val="1"/>
    </w:pPr>
    <w:rPr>
      <w:rFonts w:ascii="Calibri Light" w:hAnsi="Calibri Light"/>
      <w:b/>
      <w:bCs/>
      <w:kern w:val="0"/>
      <w:sz w:val="36"/>
      <w:szCs w:val="32"/>
    </w:rPr>
  </w:style>
  <w:style w:type="character" w:default="1" w:styleId="21">
    <w:name w:val="Default Paragraph Font"/>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1"/>
    <w:link w:val="31"/>
    <w:qFormat/>
    <w:uiPriority w:val="0"/>
    <w:pPr>
      <w:spacing w:line="240" w:lineRule="auto"/>
      <w:ind w:firstLine="0" w:firstLineChars="0"/>
    </w:pPr>
    <w:rPr>
      <w:rFonts w:ascii="宋体" w:hAnsi="Courier New" w:cs="Courier New"/>
      <w:sz w:val="21"/>
      <w:szCs w:val="21"/>
    </w:rPr>
  </w:style>
  <w:style w:type="paragraph" w:styleId="5">
    <w:name w:val="Normal Indent"/>
    <w:basedOn w:val="1"/>
    <w:next w:val="1"/>
    <w:qFormat/>
    <w:uiPriority w:val="0"/>
    <w:pPr>
      <w:spacing w:line="240" w:lineRule="auto"/>
      <w:ind w:firstLine="420" w:firstLineChars="0"/>
    </w:pPr>
    <w:rPr>
      <w:sz w:val="21"/>
      <w:szCs w:val="21"/>
    </w:rPr>
  </w:style>
  <w:style w:type="paragraph" w:styleId="6">
    <w:name w:val="annotation text"/>
    <w:basedOn w:val="1"/>
    <w:link w:val="30"/>
    <w:qFormat/>
    <w:uiPriority w:val="0"/>
    <w:pPr>
      <w:jc w:val="left"/>
    </w:pPr>
  </w:style>
  <w:style w:type="paragraph" w:styleId="7">
    <w:name w:val="Body Text"/>
    <w:basedOn w:val="1"/>
    <w:qFormat/>
    <w:uiPriority w:val="0"/>
    <w:rPr>
      <w:rFonts w:eastAsia="黑体"/>
      <w:sz w:val="36"/>
      <w:szCs w:val="24"/>
    </w:rPr>
  </w:style>
  <w:style w:type="paragraph" w:styleId="8">
    <w:name w:val="Date"/>
    <w:basedOn w:val="1"/>
    <w:next w:val="1"/>
    <w:link w:val="32"/>
    <w:qFormat/>
    <w:uiPriority w:val="0"/>
    <w:pPr>
      <w:ind w:left="100" w:leftChars="2500"/>
    </w:pPr>
  </w:style>
  <w:style w:type="paragraph" w:styleId="9">
    <w:name w:val="Body Text Indent 2"/>
    <w:basedOn w:val="1"/>
    <w:qFormat/>
    <w:uiPriority w:val="0"/>
    <w:pPr>
      <w:spacing w:after="120" w:line="480" w:lineRule="auto"/>
      <w:ind w:left="420" w:leftChars="200" w:firstLine="0" w:firstLineChars="0"/>
    </w:pPr>
    <w:rPr>
      <w:sz w:val="21"/>
      <w:szCs w:val="21"/>
    </w:rPr>
  </w:style>
  <w:style w:type="paragraph" w:styleId="10">
    <w:name w:val="Balloon Text"/>
    <w:basedOn w:val="1"/>
    <w:semiHidden/>
    <w:qFormat/>
    <w:uiPriority w:val="0"/>
    <w:rPr>
      <w:sz w:val="18"/>
      <w:szCs w:val="18"/>
    </w:rPr>
  </w:style>
  <w:style w:type="paragraph" w:styleId="11">
    <w:name w:val="footer"/>
    <w:basedOn w:val="1"/>
    <w:link w:val="33"/>
    <w:qFormat/>
    <w:uiPriority w:val="99"/>
    <w:pPr>
      <w:tabs>
        <w:tab w:val="center" w:pos="4153"/>
        <w:tab w:val="right" w:pos="8306"/>
      </w:tabs>
      <w:ind w:firstLine="0" w:firstLineChars="0"/>
      <w:jc w:val="left"/>
    </w:pPr>
    <w:rPr>
      <w:sz w:val="18"/>
      <w:szCs w:val="18"/>
    </w:rPr>
  </w:style>
  <w:style w:type="paragraph" w:styleId="12">
    <w:name w:val="header"/>
    <w:basedOn w:val="1"/>
    <w:qFormat/>
    <w:uiPriority w:val="0"/>
    <w:pPr>
      <w:pBdr>
        <w:bottom w:val="single" w:color="auto" w:sz="6" w:space="1"/>
      </w:pBdr>
      <w:tabs>
        <w:tab w:val="center" w:pos="4153"/>
        <w:tab w:val="right" w:pos="8306"/>
      </w:tabs>
      <w:ind w:firstLine="0" w:firstLineChars="0"/>
      <w:jc w:val="center"/>
    </w:pPr>
    <w:rPr>
      <w:sz w:val="18"/>
      <w:szCs w:val="18"/>
    </w:rPr>
  </w:style>
  <w:style w:type="paragraph" w:styleId="13">
    <w:name w:val="toc 1"/>
    <w:basedOn w:val="1"/>
    <w:next w:val="1"/>
    <w:qFormat/>
    <w:uiPriority w:val="0"/>
  </w:style>
  <w:style w:type="paragraph" w:styleId="14">
    <w:name w:val="footnote text"/>
    <w:basedOn w:val="1"/>
    <w:qFormat/>
    <w:uiPriority w:val="0"/>
    <w:pPr>
      <w:snapToGrid w:val="0"/>
      <w:jc w:val="left"/>
    </w:pPr>
    <w:rPr>
      <w:sz w:val="18"/>
    </w:rPr>
  </w:style>
  <w:style w:type="paragraph" w:styleId="15">
    <w:name w:val="index 9"/>
    <w:basedOn w:val="1"/>
    <w:next w:val="1"/>
    <w:qFormat/>
    <w:uiPriority w:val="99"/>
    <w:pPr>
      <w:ind w:left="1600" w:leftChars="1600"/>
    </w:pPr>
  </w:style>
  <w:style w:type="paragraph" w:styleId="16">
    <w:name w:val="toc 2"/>
    <w:basedOn w:val="1"/>
    <w:next w:val="1"/>
    <w:qFormat/>
    <w:uiPriority w:val="0"/>
    <w:pPr>
      <w:ind w:left="420" w:leftChars="200"/>
    </w:pPr>
  </w:style>
  <w:style w:type="paragraph" w:styleId="17">
    <w:name w:val="Normal (Web)"/>
    <w:basedOn w:val="1"/>
    <w:qFormat/>
    <w:uiPriority w:val="0"/>
    <w:pPr>
      <w:widowControl/>
      <w:spacing w:before="100" w:beforeAutospacing="1" w:after="100" w:afterAutospacing="1"/>
      <w:jc w:val="left"/>
    </w:pPr>
    <w:rPr>
      <w:rFonts w:ascii="宋体" w:hAnsi="宋体" w:cs="宋体"/>
      <w:kern w:val="0"/>
    </w:rPr>
  </w:style>
  <w:style w:type="paragraph" w:styleId="18">
    <w:name w:val="annotation subject"/>
    <w:basedOn w:val="6"/>
    <w:next w:val="6"/>
    <w:link w:val="34"/>
    <w:qFormat/>
    <w:uiPriority w:val="0"/>
    <w:rPr>
      <w:b/>
      <w:bCs/>
    </w:rPr>
  </w:style>
  <w:style w:type="table" w:styleId="20">
    <w:name w:val="Table Grid"/>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qFormat/>
    <w:uiPriority w:val="22"/>
    <w:rPr>
      <w:b/>
    </w:rPr>
  </w:style>
  <w:style w:type="character" w:styleId="23">
    <w:name w:val="page number"/>
    <w:basedOn w:val="21"/>
    <w:qFormat/>
    <w:uiPriority w:val="0"/>
  </w:style>
  <w:style w:type="character" w:styleId="24">
    <w:name w:val="FollowedHyperlink"/>
    <w:unhideWhenUsed/>
    <w:qFormat/>
    <w:uiPriority w:val="99"/>
    <w:rPr>
      <w:color w:val="954F72"/>
      <w:u w:val="single"/>
    </w:rPr>
  </w:style>
  <w:style w:type="character" w:styleId="25">
    <w:name w:val="Emphasis"/>
    <w:basedOn w:val="21"/>
    <w:qFormat/>
    <w:uiPriority w:val="0"/>
    <w:rPr>
      <w:i/>
    </w:rPr>
  </w:style>
  <w:style w:type="character" w:styleId="26">
    <w:name w:val="Hyperlink"/>
    <w:qFormat/>
    <w:uiPriority w:val="99"/>
    <w:rPr>
      <w:color w:val="0000FF"/>
      <w:u w:val="single"/>
    </w:rPr>
  </w:style>
  <w:style w:type="character" w:styleId="27">
    <w:name w:val="annotation reference"/>
    <w:qFormat/>
    <w:uiPriority w:val="0"/>
    <w:rPr>
      <w:sz w:val="21"/>
      <w:szCs w:val="21"/>
    </w:rPr>
  </w:style>
  <w:style w:type="character" w:styleId="28">
    <w:name w:val="footnote reference"/>
    <w:qFormat/>
    <w:uiPriority w:val="0"/>
    <w:rPr>
      <w:vertAlign w:val="superscript"/>
    </w:rPr>
  </w:style>
  <w:style w:type="character" w:customStyle="1" w:styleId="29">
    <w:name w:val="标题 2 字符"/>
    <w:link w:val="4"/>
    <w:qFormat/>
    <w:uiPriority w:val="0"/>
    <w:rPr>
      <w:rFonts w:ascii="Calibri Light" w:hAnsi="Calibri Light" w:cs="Times New Roman"/>
      <w:b/>
      <w:bCs/>
      <w:sz w:val="36"/>
      <w:szCs w:val="32"/>
    </w:rPr>
  </w:style>
  <w:style w:type="character" w:customStyle="1" w:styleId="30">
    <w:name w:val="批注文字 字符"/>
    <w:link w:val="6"/>
    <w:qFormat/>
    <w:uiPriority w:val="0"/>
    <w:rPr>
      <w:rFonts w:ascii="Times New Roman" w:hAnsi="Times New Roman"/>
      <w:kern w:val="2"/>
      <w:sz w:val="24"/>
      <w:szCs w:val="22"/>
    </w:rPr>
  </w:style>
  <w:style w:type="character" w:customStyle="1" w:styleId="31">
    <w:name w:val="纯文本 字符1"/>
    <w:link w:val="2"/>
    <w:qFormat/>
    <w:uiPriority w:val="0"/>
    <w:rPr>
      <w:rFonts w:ascii="宋体" w:hAnsi="Courier New" w:cs="Courier New"/>
      <w:kern w:val="2"/>
      <w:sz w:val="21"/>
      <w:szCs w:val="21"/>
    </w:rPr>
  </w:style>
  <w:style w:type="character" w:customStyle="1" w:styleId="32">
    <w:name w:val="日期 字符"/>
    <w:link w:val="8"/>
    <w:qFormat/>
    <w:uiPriority w:val="0"/>
    <w:rPr>
      <w:kern w:val="2"/>
      <w:sz w:val="24"/>
      <w:szCs w:val="22"/>
    </w:rPr>
  </w:style>
  <w:style w:type="character" w:customStyle="1" w:styleId="33">
    <w:name w:val="页脚 字符"/>
    <w:link w:val="11"/>
    <w:qFormat/>
    <w:uiPriority w:val="99"/>
    <w:rPr>
      <w:kern w:val="2"/>
      <w:sz w:val="18"/>
      <w:szCs w:val="18"/>
    </w:rPr>
  </w:style>
  <w:style w:type="character" w:customStyle="1" w:styleId="34">
    <w:name w:val="批注主题 字符"/>
    <w:basedOn w:val="30"/>
    <w:link w:val="18"/>
    <w:qFormat/>
    <w:uiPriority w:val="0"/>
    <w:rPr>
      <w:rFonts w:ascii="Times New Roman" w:hAnsi="Times New Roman"/>
      <w:kern w:val="2"/>
      <w:sz w:val="24"/>
      <w:szCs w:val="22"/>
    </w:rPr>
  </w:style>
  <w:style w:type="character" w:customStyle="1" w:styleId="35">
    <w:name w:val="纯文本 字符"/>
    <w:qFormat/>
    <w:uiPriority w:val="0"/>
    <w:rPr>
      <w:rFonts w:ascii="宋体" w:hAnsi="Courier New" w:cs="Courier New"/>
      <w:kern w:val="2"/>
      <w:sz w:val="21"/>
      <w:szCs w:val="21"/>
    </w:rPr>
  </w:style>
  <w:style w:type="paragraph" w:customStyle="1" w:styleId="36">
    <w:name w:val="xl69"/>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cs="宋体"/>
      <w:kern w:val="0"/>
      <w:sz w:val="18"/>
      <w:szCs w:val="18"/>
    </w:rPr>
  </w:style>
  <w:style w:type="paragraph" w:customStyle="1" w:styleId="37">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宋体" w:hAnsi="宋体" w:cs="宋体"/>
      <w:kern w:val="0"/>
      <w:sz w:val="18"/>
      <w:szCs w:val="18"/>
    </w:rPr>
  </w:style>
  <w:style w:type="paragraph" w:customStyle="1" w:styleId="38">
    <w:name w:val="font5"/>
    <w:basedOn w:val="1"/>
    <w:qFormat/>
    <w:uiPriority w:val="0"/>
    <w:pPr>
      <w:widowControl/>
      <w:spacing w:before="100" w:beforeAutospacing="1" w:after="100" w:afterAutospacing="1" w:line="240" w:lineRule="auto"/>
      <w:ind w:firstLine="0" w:firstLineChars="0"/>
      <w:jc w:val="left"/>
    </w:pPr>
    <w:rPr>
      <w:rFonts w:ascii="宋体" w:hAnsi="宋体" w:cs="宋体"/>
      <w:kern w:val="0"/>
      <w:sz w:val="18"/>
      <w:szCs w:val="18"/>
    </w:rPr>
  </w:style>
  <w:style w:type="paragraph" w:customStyle="1" w:styleId="39">
    <w:name w:val="xl74"/>
    <w:basedOn w:val="1"/>
    <w:qFormat/>
    <w:uiPriority w:val="0"/>
    <w:pPr>
      <w:widowControl/>
      <w:spacing w:before="100" w:beforeAutospacing="1" w:after="100" w:afterAutospacing="1" w:line="240" w:lineRule="auto"/>
      <w:ind w:firstLine="0" w:firstLineChars="0"/>
      <w:jc w:val="left"/>
    </w:pPr>
    <w:rPr>
      <w:rFonts w:ascii="宋体" w:hAnsi="宋体" w:cs="宋体"/>
      <w:kern w:val="0"/>
      <w:sz w:val="20"/>
      <w:szCs w:val="20"/>
    </w:rPr>
  </w:style>
  <w:style w:type="paragraph" w:customStyle="1" w:styleId="40">
    <w:name w:val="无缩进"/>
    <w:basedOn w:val="1"/>
    <w:qFormat/>
    <w:uiPriority w:val="0"/>
    <w:pPr>
      <w:ind w:firstLine="0" w:firstLineChars="0"/>
    </w:pPr>
  </w:style>
  <w:style w:type="paragraph" w:customStyle="1" w:styleId="41">
    <w:name w:val="列出段落2"/>
    <w:basedOn w:val="1"/>
    <w:qFormat/>
    <w:uiPriority w:val="0"/>
    <w:pPr>
      <w:ind w:firstLine="420"/>
    </w:pPr>
  </w:style>
  <w:style w:type="paragraph" w:styleId="42">
    <w:name w:val="List Paragraph"/>
    <w:basedOn w:val="1"/>
    <w:qFormat/>
    <w:uiPriority w:val="99"/>
    <w:pPr>
      <w:ind w:firstLine="420"/>
    </w:pPr>
  </w:style>
  <w:style w:type="paragraph" w:customStyle="1" w:styleId="43">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宋体" w:hAnsi="宋体" w:cs="宋体"/>
      <w:kern w:val="0"/>
      <w:sz w:val="18"/>
      <w:szCs w:val="18"/>
    </w:rPr>
  </w:style>
  <w:style w:type="paragraph" w:customStyle="1" w:styleId="44">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cs="宋体"/>
      <w:kern w:val="0"/>
      <w:sz w:val="18"/>
      <w:szCs w:val="18"/>
    </w:rPr>
  </w:style>
  <w:style w:type="paragraph" w:customStyle="1" w:styleId="45">
    <w:name w:val="表格"/>
    <w:basedOn w:val="1"/>
    <w:qFormat/>
    <w:uiPriority w:val="0"/>
    <w:pPr>
      <w:spacing w:line="240" w:lineRule="auto"/>
      <w:ind w:firstLine="0" w:firstLineChars="0"/>
      <w:jc w:val="center"/>
    </w:pPr>
    <w:rPr>
      <w:rFonts w:ascii="Verdana" w:hAnsi="Verdana" w:eastAsia="仿宋_GB2312" w:cs="Verdana"/>
      <w:kern w:val="0"/>
      <w:sz w:val="21"/>
      <w:szCs w:val="21"/>
      <w:lang w:eastAsia="en-US"/>
    </w:rPr>
  </w:style>
  <w:style w:type="paragraph" w:customStyle="1" w:styleId="46">
    <w:name w:val="xl71"/>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cs="宋体"/>
      <w:kern w:val="0"/>
      <w:sz w:val="18"/>
      <w:szCs w:val="18"/>
    </w:rPr>
  </w:style>
  <w:style w:type="paragraph" w:customStyle="1" w:styleId="47">
    <w:name w:val="xl76"/>
    <w:basedOn w:val="1"/>
    <w:qFormat/>
    <w:uiPriority w:val="0"/>
    <w:pPr>
      <w:widowControl/>
      <w:spacing w:before="100" w:beforeAutospacing="1" w:after="100" w:afterAutospacing="1" w:line="240" w:lineRule="auto"/>
      <w:ind w:firstLine="0" w:firstLineChars="0"/>
      <w:jc w:val="left"/>
    </w:pPr>
    <w:rPr>
      <w:rFonts w:ascii="宋体" w:hAnsi="宋体" w:cs="宋体"/>
      <w:kern w:val="0"/>
      <w:sz w:val="18"/>
      <w:szCs w:val="18"/>
    </w:rPr>
  </w:style>
  <w:style w:type="paragraph" w:customStyle="1" w:styleId="48">
    <w:name w:val="WPSOffice手动目录 1"/>
    <w:qFormat/>
    <w:uiPriority w:val="0"/>
    <w:pPr>
      <w:spacing w:after="160" w:line="278" w:lineRule="auto"/>
    </w:pPr>
    <w:rPr>
      <w:rFonts w:ascii="Times New Roman" w:hAnsi="Times New Roman" w:eastAsia="宋体" w:cs="Times New Roman"/>
      <w:lang w:val="en-US" w:eastAsia="zh-CN" w:bidi="ar-SA"/>
    </w:rPr>
  </w:style>
  <w:style w:type="paragraph" w:customStyle="1" w:styleId="49">
    <w:name w:val="xl72"/>
    <w:basedOn w:val="1"/>
    <w:qFormat/>
    <w:uiPriority w:val="0"/>
    <w:pPr>
      <w:widowControl/>
      <w:spacing w:before="100" w:beforeAutospacing="1" w:after="100" w:afterAutospacing="1" w:line="240" w:lineRule="auto"/>
      <w:ind w:firstLine="0" w:firstLineChars="0"/>
      <w:jc w:val="left"/>
    </w:pPr>
    <w:rPr>
      <w:rFonts w:ascii="宋体" w:hAnsi="宋体" w:cs="宋体"/>
      <w:kern w:val="0"/>
      <w:szCs w:val="24"/>
    </w:rPr>
  </w:style>
  <w:style w:type="paragraph" w:customStyle="1" w:styleId="50">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51">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cs="宋体"/>
      <w:b/>
      <w:bCs/>
      <w:kern w:val="0"/>
      <w:sz w:val="20"/>
      <w:szCs w:val="20"/>
    </w:rPr>
  </w:style>
  <w:style w:type="paragraph" w:customStyle="1" w:styleId="52">
    <w:name w:val="xl70"/>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cs="宋体"/>
      <w:kern w:val="0"/>
      <w:sz w:val="18"/>
      <w:szCs w:val="18"/>
    </w:rPr>
  </w:style>
  <w:style w:type="paragraph" w:customStyle="1" w:styleId="53">
    <w:name w:val="msonormal"/>
    <w:basedOn w:val="1"/>
    <w:qFormat/>
    <w:uiPriority w:val="0"/>
    <w:pPr>
      <w:widowControl/>
      <w:spacing w:before="100" w:beforeAutospacing="1" w:after="100" w:afterAutospacing="1" w:line="240" w:lineRule="auto"/>
      <w:ind w:firstLine="0" w:firstLineChars="0"/>
      <w:jc w:val="left"/>
    </w:pPr>
    <w:rPr>
      <w:rFonts w:ascii="宋体" w:hAnsi="宋体" w:cs="宋体"/>
      <w:kern w:val="0"/>
      <w:szCs w:val="24"/>
    </w:rPr>
  </w:style>
  <w:style w:type="paragraph" w:customStyle="1" w:styleId="54">
    <w:name w:val="List Paragraph1"/>
    <w:basedOn w:val="1"/>
    <w:qFormat/>
    <w:uiPriority w:val="34"/>
    <w:pPr>
      <w:ind w:firstLine="420"/>
    </w:pPr>
  </w:style>
  <w:style w:type="paragraph" w:customStyle="1" w:styleId="5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宋体" w:hAnsi="宋体" w:cs="宋体"/>
      <w:kern w:val="0"/>
      <w:sz w:val="18"/>
      <w:szCs w:val="18"/>
    </w:rPr>
  </w:style>
  <w:style w:type="paragraph" w:customStyle="1" w:styleId="56">
    <w:name w:val="_Style 18"/>
    <w:basedOn w:val="1"/>
    <w:next w:val="42"/>
    <w:qFormat/>
    <w:uiPriority w:val="99"/>
    <w:pPr>
      <w:spacing w:line="240" w:lineRule="auto"/>
      <w:ind w:firstLine="420" w:firstLineChars="0"/>
    </w:pPr>
    <w:rPr>
      <w:sz w:val="21"/>
      <w:szCs w:val="24"/>
    </w:rPr>
  </w:style>
  <w:style w:type="character" w:customStyle="1" w:styleId="57">
    <w:name w:val="15"/>
    <w:basedOn w:val="21"/>
    <w:qFormat/>
    <w:uiPriority w:val="0"/>
    <w:rPr>
      <w:rFonts w:hint="default" w:ascii="Calibri" w:hAnsi="Calibri" w:cs="Calibri"/>
      <w:vertAlign w:val="superscript"/>
    </w:rPr>
  </w:style>
  <w:style w:type="character" w:customStyle="1" w:styleId="58">
    <w:name w:val="font61"/>
    <w:basedOn w:val="21"/>
    <w:qFormat/>
    <w:uiPriority w:val="0"/>
    <w:rPr>
      <w:rFonts w:hint="default" w:ascii="Calibri" w:hAnsi="Calibri" w:cs="Calibri"/>
      <w:color w:val="000000"/>
      <w:sz w:val="20"/>
      <w:szCs w:val="20"/>
      <w:u w:val="none"/>
    </w:rPr>
  </w:style>
  <w:style w:type="paragraph" w:customStyle="1" w:styleId="59">
    <w:name w:val="二级"/>
    <w:basedOn w:val="1"/>
    <w:qFormat/>
    <w:uiPriority w:val="0"/>
    <w:pPr>
      <w:ind w:firstLine="0" w:firstLineChars="0"/>
      <w:outlineLvl w:val="2"/>
    </w:pPr>
    <w:rPr>
      <w:rFonts w:ascii="宋体" w:hAnsi="宋体"/>
      <w:b/>
      <w:szCs w:val="28"/>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http://www.deepbbs.org</Company>
  <Pages>40</Pages>
  <Words>2291</Words>
  <Characters>13060</Characters>
  <Lines>108</Lines>
  <Paragraphs>30</Paragraphs>
  <TotalTime>226</TotalTime>
  <ScaleCrop>false</ScaleCrop>
  <LinksUpToDate>false</LinksUpToDate>
  <CharactersWithSpaces>15321</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2024-05-27T16:30:00Z</dcterms:created>
  <dc:creator>Administrator</dc:creator>
  <cp:lastModifiedBy>uos</cp:lastModifiedBy>
  <cp:lastPrinted>2024-05-29T11:24:00Z</cp:lastPrinted>
  <dcterms:modified xsi:type="dcterms:W3CDTF">2025-08-29T14:51:55Z</dcterms:modified>
  <dc:title>北京市市级财政支出项目</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5C4F78E99DFCCCB9BEF053667CC79F2B_43</vt:lpwstr>
  </property>
  <property fmtid="{D5CDD505-2E9C-101B-9397-08002B2CF9AE}" pid="4" name="KSOTemplateDocerSaveRecord">
    <vt:lpwstr>eyJoZGlkIjoiYWRiZjYwNDk0NWFmNTlkZjZlNjNlOWRjMjVlMjI2MGIiLCJ1c2VySWQiOiI1NDQ1NDA2MDAifQ==</vt:lpwstr>
  </property>
</Properties>
</file>