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C468C6">
      <w:pPr>
        <w:snapToGrid w:val="0"/>
        <w:spacing w:line="360" w:lineRule="auto"/>
        <w:jc w:val="center"/>
        <w:rPr>
          <w:rFonts w:hint="eastAsia" w:ascii="Times New Roman" w:hAnsi="Times New Roman" w:eastAsia="仿宋_GB2312" w:cs="仿宋_GB2312"/>
          <w:b/>
          <w:sz w:val="32"/>
          <w:szCs w:val="32"/>
        </w:rPr>
      </w:pPr>
    </w:p>
    <w:p w14:paraId="4AF43F9B">
      <w:pPr>
        <w:snapToGrid w:val="0"/>
        <w:spacing w:line="360" w:lineRule="auto"/>
        <w:jc w:val="center"/>
        <w:rPr>
          <w:rFonts w:hint="eastAsia" w:ascii="Times New Roman" w:hAnsi="Times New Roman" w:eastAsia="仿宋_GB2312" w:cs="仿宋_GB2312"/>
          <w:b/>
          <w:sz w:val="32"/>
          <w:szCs w:val="32"/>
        </w:rPr>
      </w:pPr>
    </w:p>
    <w:p w14:paraId="173908AF">
      <w:pPr>
        <w:rPr>
          <w:rFonts w:ascii="Times New Roman" w:hAnsi="Times New Roman"/>
        </w:rPr>
      </w:pPr>
    </w:p>
    <w:p w14:paraId="020EE038">
      <w:pPr>
        <w:rPr>
          <w:rFonts w:ascii="Times New Roman" w:hAnsi="Times New Roman"/>
        </w:rPr>
      </w:pPr>
    </w:p>
    <w:p w14:paraId="0FBC7221">
      <w:pPr>
        <w:rPr>
          <w:rFonts w:ascii="Times New Roman" w:hAnsi="Times New Roman"/>
        </w:rPr>
      </w:pPr>
    </w:p>
    <w:p w14:paraId="4B730ECB">
      <w:pPr>
        <w:snapToGrid w:val="0"/>
        <w:spacing w:line="360" w:lineRule="auto"/>
        <w:jc w:val="center"/>
        <w:rPr>
          <w:rFonts w:hint="eastAsia" w:ascii="Times New Roman" w:hAnsi="Times New Roman" w:eastAsia="方正小标宋简体"/>
          <w:bCs/>
          <w:sz w:val="52"/>
        </w:rPr>
      </w:pPr>
      <w:bookmarkStart w:id="0" w:name="_Toc1900"/>
      <w:r>
        <w:rPr>
          <w:rFonts w:hint="eastAsia" w:ascii="Times New Roman" w:hAnsi="Times New Roman" w:eastAsia="方正小标宋简体"/>
          <w:bCs/>
          <w:sz w:val="52"/>
        </w:rPr>
        <w:t>北京市文化市场综合执法总队</w:t>
      </w:r>
      <w:bookmarkEnd w:id="0"/>
    </w:p>
    <w:p w14:paraId="180B5212">
      <w:pPr>
        <w:snapToGrid w:val="0"/>
        <w:spacing w:line="360" w:lineRule="auto"/>
        <w:jc w:val="center"/>
        <w:rPr>
          <w:rFonts w:hint="eastAsia" w:ascii="Times New Roman" w:hAnsi="Times New Roman" w:eastAsia="方正小标宋简体"/>
          <w:bCs/>
          <w:sz w:val="52"/>
        </w:rPr>
      </w:pPr>
      <w:r>
        <w:rPr>
          <w:rFonts w:hint="eastAsia" w:ascii="Times New Roman" w:hAnsi="Times New Roman" w:eastAsia="方正小标宋简体"/>
          <w:bCs/>
          <w:sz w:val="52"/>
        </w:rPr>
        <w:t>202</w:t>
      </w:r>
      <w:r>
        <w:rPr>
          <w:rFonts w:hint="eastAsia" w:ascii="Times New Roman" w:hAnsi="Times New Roman" w:eastAsia="方正小标宋简体"/>
          <w:bCs/>
          <w:sz w:val="52"/>
          <w:lang w:eastAsia="zh-CN"/>
        </w:rPr>
        <w:t>4</w:t>
      </w:r>
      <w:r>
        <w:rPr>
          <w:rFonts w:hint="eastAsia" w:ascii="Times New Roman" w:hAnsi="Times New Roman" w:eastAsia="方正小标宋简体"/>
          <w:bCs/>
          <w:sz w:val="52"/>
        </w:rPr>
        <w:t>年度部门整体绩效评价报告</w:t>
      </w:r>
    </w:p>
    <w:p w14:paraId="05584B98">
      <w:pPr>
        <w:snapToGrid w:val="0"/>
        <w:spacing w:line="360" w:lineRule="auto"/>
        <w:jc w:val="center"/>
        <w:rPr>
          <w:rFonts w:hint="eastAsia" w:ascii="Times New Roman" w:hAnsi="Times New Roman" w:cs="宋体"/>
          <w:b/>
          <w:sz w:val="52"/>
          <w:szCs w:val="52"/>
        </w:rPr>
      </w:pPr>
    </w:p>
    <w:p w14:paraId="2758AB89">
      <w:pPr>
        <w:snapToGrid w:val="0"/>
        <w:spacing w:line="360" w:lineRule="auto"/>
        <w:rPr>
          <w:rFonts w:hint="eastAsia" w:ascii="Times New Roman" w:hAnsi="Times New Roman" w:eastAsia="仿宋_GB2312" w:cs="仿宋_GB2312"/>
          <w:b/>
          <w:sz w:val="32"/>
          <w:szCs w:val="32"/>
        </w:rPr>
      </w:pPr>
    </w:p>
    <w:p w14:paraId="0FB96BC8">
      <w:pPr>
        <w:snapToGrid w:val="0"/>
        <w:spacing w:line="360" w:lineRule="auto"/>
        <w:jc w:val="center"/>
        <w:rPr>
          <w:rFonts w:hint="eastAsia" w:ascii="Times New Roman" w:hAnsi="Times New Roman"/>
          <w:sz w:val="32"/>
          <w:szCs w:val="32"/>
        </w:rPr>
      </w:pPr>
      <w:r>
        <w:rPr>
          <w:rFonts w:hint="eastAsia" w:ascii="Times New Roman" w:hAnsi="Times New Roman"/>
          <w:sz w:val="32"/>
          <w:szCs w:val="32"/>
        </w:rPr>
        <w:t xml:space="preserve"> </w:t>
      </w:r>
    </w:p>
    <w:p w14:paraId="5768964C">
      <w:pPr>
        <w:snapToGrid w:val="0"/>
        <w:spacing w:line="360" w:lineRule="auto"/>
        <w:jc w:val="center"/>
        <w:rPr>
          <w:rFonts w:hint="eastAsia" w:ascii="Times New Roman" w:hAnsi="Times New Roman"/>
          <w:sz w:val="32"/>
          <w:szCs w:val="32"/>
        </w:rPr>
      </w:pPr>
    </w:p>
    <w:p w14:paraId="625AB5C1">
      <w:pPr>
        <w:rPr>
          <w:rFonts w:ascii="Times New Roman" w:hAnsi="Times New Roman"/>
        </w:rPr>
      </w:pPr>
    </w:p>
    <w:p w14:paraId="4CFB8647">
      <w:pPr>
        <w:rPr>
          <w:rFonts w:ascii="Times New Roman" w:hAnsi="Times New Roman"/>
        </w:rPr>
      </w:pPr>
    </w:p>
    <w:p w14:paraId="685B3179">
      <w:pPr>
        <w:rPr>
          <w:rFonts w:ascii="Times New Roman" w:hAnsi="Times New Roman"/>
        </w:rPr>
      </w:pPr>
    </w:p>
    <w:p w14:paraId="0D85ED70">
      <w:pPr>
        <w:rPr>
          <w:rFonts w:ascii="Times New Roman" w:hAnsi="Times New Roman"/>
        </w:rPr>
      </w:pPr>
    </w:p>
    <w:p w14:paraId="65F2AC8A">
      <w:pPr>
        <w:rPr>
          <w:rFonts w:ascii="Times New Roman" w:hAnsi="Times New Roman"/>
        </w:rPr>
      </w:pPr>
    </w:p>
    <w:p w14:paraId="29D21595">
      <w:pPr>
        <w:rPr>
          <w:rFonts w:ascii="Times New Roman" w:hAnsi="Times New Roman"/>
        </w:rPr>
      </w:pPr>
    </w:p>
    <w:p w14:paraId="7B92BABC">
      <w:pPr>
        <w:snapToGrid w:val="0"/>
        <w:spacing w:line="360" w:lineRule="auto"/>
        <w:jc w:val="center"/>
        <w:rPr>
          <w:rFonts w:hint="eastAsia" w:ascii="Times New Roman" w:hAnsi="Times New Roman"/>
          <w:sz w:val="32"/>
          <w:szCs w:val="32"/>
        </w:rPr>
      </w:pPr>
    </w:p>
    <w:p w14:paraId="4712B4AF">
      <w:pPr>
        <w:adjustRightInd w:val="0"/>
        <w:snapToGrid w:val="0"/>
        <w:spacing w:line="360" w:lineRule="auto"/>
        <w:jc w:val="center"/>
        <w:rPr>
          <w:rFonts w:hint="eastAsia" w:ascii="Times New Roman" w:hAnsi="Times New Roman" w:eastAsia="楷体"/>
          <w:sz w:val="32"/>
          <w:szCs w:val="32"/>
        </w:rPr>
      </w:pPr>
    </w:p>
    <w:p w14:paraId="33AA771D">
      <w:pPr>
        <w:adjustRightInd w:val="0"/>
        <w:snapToGrid w:val="0"/>
        <w:spacing w:line="360" w:lineRule="auto"/>
        <w:jc w:val="center"/>
        <w:rPr>
          <w:rFonts w:hint="eastAsia" w:ascii="Times New Roman" w:hAnsi="Times New Roman" w:eastAsia="楷体"/>
          <w:sz w:val="32"/>
          <w:szCs w:val="32"/>
        </w:rPr>
      </w:pPr>
      <w:bookmarkStart w:id="1" w:name="_Toc31871"/>
      <w:r>
        <w:rPr>
          <w:rFonts w:hint="eastAsia" w:ascii="Times New Roman" w:hAnsi="Times New Roman" w:eastAsia="楷体"/>
          <w:sz w:val="32"/>
          <w:szCs w:val="32"/>
        </w:rPr>
        <w:t>北京市文化市场综合执法总队</w:t>
      </w:r>
      <w:bookmarkEnd w:id="1"/>
    </w:p>
    <w:p w14:paraId="2DA86FB3">
      <w:pPr>
        <w:adjustRightInd w:val="0"/>
        <w:snapToGrid w:val="0"/>
        <w:spacing w:line="360" w:lineRule="auto"/>
        <w:jc w:val="center"/>
        <w:rPr>
          <w:rFonts w:hint="eastAsia" w:ascii="Times New Roman" w:hAnsi="Times New Roman" w:eastAsia="楷体"/>
          <w:sz w:val="32"/>
          <w:szCs w:val="32"/>
        </w:rPr>
      </w:pPr>
      <w:r>
        <w:rPr>
          <w:rFonts w:hint="eastAsia" w:ascii="Times New Roman" w:hAnsi="Times New Roman" w:eastAsia="楷体"/>
          <w:sz w:val="32"/>
          <w:szCs w:val="32"/>
        </w:rPr>
        <w:t>二〇二</w:t>
      </w:r>
      <w:r>
        <w:rPr>
          <w:rFonts w:hint="eastAsia" w:ascii="Times New Roman" w:hAnsi="Times New Roman" w:eastAsia="楷体"/>
          <w:sz w:val="32"/>
          <w:szCs w:val="32"/>
          <w:lang w:eastAsia="zh-CN"/>
        </w:rPr>
        <w:t>五</w:t>
      </w:r>
      <w:r>
        <w:rPr>
          <w:rFonts w:hint="eastAsia" w:ascii="Times New Roman" w:hAnsi="Times New Roman" w:eastAsia="楷体"/>
          <w:sz w:val="32"/>
          <w:szCs w:val="32"/>
        </w:rPr>
        <w:t>年</w:t>
      </w:r>
      <w:r>
        <w:rPr>
          <w:rFonts w:hint="eastAsia" w:ascii="Times New Roman" w:hAnsi="Times New Roman" w:eastAsia="楷体"/>
          <w:sz w:val="32"/>
          <w:szCs w:val="32"/>
          <w:lang w:eastAsia="zh-CN"/>
        </w:rPr>
        <w:t>四</w:t>
      </w:r>
      <w:r>
        <w:rPr>
          <w:rFonts w:hint="eastAsia" w:ascii="Times New Roman" w:hAnsi="Times New Roman" w:eastAsia="楷体"/>
          <w:sz w:val="32"/>
          <w:szCs w:val="32"/>
        </w:rPr>
        <w:t>月</w:t>
      </w:r>
    </w:p>
    <w:p w14:paraId="1D3A8452">
      <w:pPr>
        <w:widowControl/>
        <w:jc w:val="left"/>
        <w:rPr>
          <w:rFonts w:hint="eastAsia" w:ascii="Times New Roman" w:hAnsi="Times New Roman" w:eastAsia="楷体"/>
          <w:sz w:val="32"/>
          <w:szCs w:val="32"/>
        </w:rPr>
      </w:pPr>
      <w:r>
        <w:rPr>
          <w:rFonts w:ascii="Times New Roman" w:hAnsi="Times New Roman" w:eastAsia="楷体"/>
          <w:sz w:val="32"/>
          <w:szCs w:val="32"/>
        </w:rPr>
        <w:br w:type="page"/>
      </w:r>
    </w:p>
    <w:p w14:paraId="1D298C3C">
      <w:pPr>
        <w:widowControl/>
        <w:jc w:val="left"/>
        <w:rPr>
          <w:rFonts w:hint="eastAsia" w:ascii="Times New Roman" w:hAnsi="Times New Roman" w:eastAsia="楷体"/>
          <w:sz w:val="32"/>
          <w:szCs w:val="32"/>
        </w:rPr>
      </w:pPr>
    </w:p>
    <w:sdt>
      <w:sdtPr>
        <w:rPr>
          <w:rFonts w:hint="eastAsia" w:ascii="Times New Roman" w:hAnsi="Times New Roman" w:eastAsia="黑体" w:cs="黑体"/>
          <w:sz w:val="32"/>
          <w:szCs w:val="32"/>
        </w:rPr>
        <w:id w:val="147473207"/>
        <w:docPartObj>
          <w:docPartGallery w:val="Table of Contents"/>
          <w:docPartUnique/>
        </w:docPartObj>
      </w:sdtPr>
      <w:sdtEndPr>
        <w:rPr>
          <w:rFonts w:hint="eastAsia" w:ascii="Times New Roman" w:hAnsi="Times New Roman" w:eastAsia="方正小标宋简体" w:cs="Times New Roman"/>
          <w:b/>
          <w:sz w:val="21"/>
          <w:szCs w:val="44"/>
        </w:rPr>
      </w:sdtEndPr>
      <w:sdtContent>
        <w:p w14:paraId="5CF91FDC">
          <w:pPr>
            <w:jc w:val="center"/>
            <w:rPr>
              <w:rFonts w:hint="eastAsia" w:ascii="Times New Roman" w:hAnsi="Times New Roman" w:eastAsia="黑体" w:cs="黑体"/>
              <w:sz w:val="32"/>
              <w:szCs w:val="32"/>
            </w:rPr>
          </w:pPr>
          <w:r>
            <w:rPr>
              <w:rFonts w:ascii="Times New Roman" w:hAnsi="Times New Roman" w:eastAsia="黑体" w:cs="黑体"/>
              <w:sz w:val="32"/>
              <w:szCs w:val="32"/>
            </w:rPr>
            <w:t>目  录</w:t>
          </w:r>
        </w:p>
        <w:p w14:paraId="5C4814C2">
          <w:pPr>
            <w:pStyle w:val="14"/>
            <w:tabs>
              <w:tab w:val="right" w:leader="dot" w:pos="8296"/>
            </w:tabs>
            <w:rPr>
              <w:rFonts w:ascii="Times New Roman" w:hAnsi="Times New Roman" w:eastAsiaTheme="minorEastAsia" w:cstheme="minorBidi"/>
              <w:sz w:val="32"/>
              <w:szCs w:val="32"/>
              <w14:ligatures w14:val="standardContextual"/>
            </w:rPr>
          </w:pPr>
          <w:r>
            <w:rPr>
              <w:rFonts w:hint="eastAsia" w:ascii="Times New Roman" w:hAnsi="Times New Roman" w:eastAsia="方正小标宋简体"/>
              <w:sz w:val="32"/>
              <w:szCs w:val="32"/>
            </w:rPr>
            <w:fldChar w:fldCharType="begin"/>
          </w:r>
          <w:r>
            <w:rPr>
              <w:rFonts w:ascii="Times New Roman" w:hAnsi="Times New Roman" w:eastAsia="方正小标宋简体"/>
              <w:sz w:val="32"/>
              <w:szCs w:val="32"/>
            </w:rPr>
            <w:instrText xml:space="preserve">TOC \o "1-2" \h \u </w:instrText>
          </w:r>
          <w:r>
            <w:rPr>
              <w:rFonts w:hint="eastAsia" w:ascii="Times New Roman" w:hAnsi="Times New Roman" w:eastAsia="方正小标宋简体"/>
              <w:sz w:val="32"/>
              <w:szCs w:val="32"/>
            </w:rPr>
            <w:fldChar w:fldCharType="separate"/>
          </w:r>
          <w:r>
            <w:rPr>
              <w:rFonts w:ascii="Times New Roman" w:hAnsi="Times New Roman"/>
            </w:rPr>
            <w:fldChar w:fldCharType="begin"/>
          </w:r>
          <w:r>
            <w:rPr>
              <w:rFonts w:ascii="Times New Roman" w:hAnsi="Times New Roman"/>
            </w:rPr>
            <w:instrText xml:space="preserve"> HYPERLINK \l "_Toc165913327" </w:instrText>
          </w:r>
          <w:r>
            <w:rPr>
              <w:rFonts w:ascii="Times New Roman" w:hAnsi="Times New Roman"/>
            </w:rPr>
            <w:fldChar w:fldCharType="separate"/>
          </w:r>
          <w:r>
            <w:rPr>
              <w:rStyle w:val="23"/>
              <w:rFonts w:ascii="Times New Roman" w:hAnsi="Times New Roman" w:eastAsia="黑体" w:cs="宋体"/>
              <w:kern w:val="0"/>
              <w:sz w:val="32"/>
              <w:szCs w:val="32"/>
            </w:rPr>
            <w:t>一、部门概况</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_Toc165913327 \h </w:instrText>
          </w:r>
          <w:r>
            <w:rPr>
              <w:rFonts w:ascii="Times New Roman" w:hAnsi="Times New Roman"/>
              <w:sz w:val="32"/>
              <w:szCs w:val="32"/>
            </w:rPr>
            <w:fldChar w:fldCharType="separate"/>
          </w:r>
          <w:r>
            <w:rPr>
              <w:rFonts w:ascii="Times New Roman" w:hAnsi="Times New Roman"/>
              <w:sz w:val="32"/>
              <w:szCs w:val="32"/>
            </w:rPr>
            <w:t>1</w:t>
          </w:r>
          <w:r>
            <w:rPr>
              <w:rFonts w:ascii="Times New Roman" w:hAnsi="Times New Roman"/>
              <w:sz w:val="32"/>
              <w:szCs w:val="32"/>
            </w:rPr>
            <w:fldChar w:fldCharType="end"/>
          </w:r>
          <w:r>
            <w:rPr>
              <w:rFonts w:ascii="Times New Roman" w:hAnsi="Times New Roman"/>
              <w:sz w:val="32"/>
              <w:szCs w:val="32"/>
            </w:rPr>
            <w:fldChar w:fldCharType="end"/>
          </w:r>
        </w:p>
        <w:p w14:paraId="54514E83">
          <w:pPr>
            <w:pStyle w:val="16"/>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"_Toc165913328" </w:instrText>
          </w:r>
          <w:r>
            <w:rPr>
              <w:rFonts w:ascii="Times New Roman" w:hAnsi="Times New Roman"/>
            </w:rPr>
            <w:fldChar w:fldCharType="separate"/>
          </w:r>
          <w:r>
            <w:rPr>
              <w:rStyle w:val="23"/>
              <w:rFonts w:ascii="Times New Roman" w:hAnsi="Times New Roman" w:eastAsia="楷体_GB2312"/>
              <w:sz w:val="32"/>
              <w:szCs w:val="32"/>
            </w:rPr>
            <w:t>（一）机构设置及职责工作任务情况</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_Toc165913328 \h </w:instrText>
          </w:r>
          <w:r>
            <w:rPr>
              <w:rFonts w:ascii="Times New Roman" w:hAnsi="Times New Roman"/>
              <w:sz w:val="32"/>
              <w:szCs w:val="32"/>
            </w:rPr>
            <w:fldChar w:fldCharType="separate"/>
          </w:r>
          <w:r>
            <w:rPr>
              <w:rFonts w:ascii="Times New Roman" w:hAnsi="Times New Roman"/>
              <w:sz w:val="32"/>
              <w:szCs w:val="32"/>
            </w:rPr>
            <w:t>1</w:t>
          </w:r>
          <w:r>
            <w:rPr>
              <w:rFonts w:ascii="Times New Roman" w:hAnsi="Times New Roman"/>
              <w:sz w:val="32"/>
              <w:szCs w:val="32"/>
            </w:rPr>
            <w:fldChar w:fldCharType="end"/>
          </w:r>
          <w:r>
            <w:rPr>
              <w:rFonts w:ascii="Times New Roman" w:hAnsi="Times New Roman"/>
              <w:sz w:val="32"/>
              <w:szCs w:val="32"/>
            </w:rPr>
            <w:fldChar w:fldCharType="end"/>
          </w:r>
        </w:p>
        <w:p w14:paraId="4E3DD0FB">
          <w:pPr>
            <w:pStyle w:val="16"/>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"_Toc165913329" </w:instrText>
          </w:r>
          <w:r>
            <w:rPr>
              <w:rFonts w:ascii="Times New Roman" w:hAnsi="Times New Roman"/>
            </w:rPr>
            <w:fldChar w:fldCharType="separate"/>
          </w:r>
          <w:r>
            <w:rPr>
              <w:rStyle w:val="23"/>
              <w:rFonts w:ascii="Times New Roman" w:hAnsi="Times New Roman" w:eastAsia="楷体_GB2312"/>
              <w:sz w:val="32"/>
              <w:szCs w:val="32"/>
            </w:rPr>
            <w:t>（二）部门整体绩效目标设立情况</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_Toc165913329 \h </w:instrText>
          </w:r>
          <w:r>
            <w:rPr>
              <w:rFonts w:ascii="Times New Roman" w:hAnsi="Times New Roman"/>
              <w:sz w:val="32"/>
              <w:szCs w:val="32"/>
            </w:rPr>
            <w:fldChar w:fldCharType="separate"/>
          </w:r>
          <w:r>
            <w:rPr>
              <w:rFonts w:ascii="Times New Roman" w:hAnsi="Times New Roman"/>
              <w:sz w:val="32"/>
              <w:szCs w:val="32"/>
            </w:rPr>
            <w:t>2</w:t>
          </w:r>
          <w:r>
            <w:rPr>
              <w:rFonts w:ascii="Times New Roman" w:hAnsi="Times New Roman"/>
              <w:sz w:val="32"/>
              <w:szCs w:val="32"/>
            </w:rPr>
            <w:fldChar w:fldCharType="end"/>
          </w:r>
          <w:r>
            <w:rPr>
              <w:rFonts w:ascii="Times New Roman" w:hAnsi="Times New Roman"/>
              <w:sz w:val="32"/>
              <w:szCs w:val="32"/>
            </w:rPr>
            <w:fldChar w:fldCharType="end"/>
          </w:r>
        </w:p>
        <w:p w14:paraId="3486FB69">
          <w:pPr>
            <w:pStyle w:val="14"/>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"_Toc165913330" </w:instrText>
          </w:r>
          <w:r>
            <w:rPr>
              <w:rFonts w:ascii="Times New Roman" w:hAnsi="Times New Roman"/>
            </w:rPr>
            <w:fldChar w:fldCharType="separate"/>
          </w:r>
          <w:r>
            <w:rPr>
              <w:rStyle w:val="23"/>
              <w:rFonts w:ascii="Times New Roman" w:hAnsi="Times New Roman" w:eastAsia="黑体" w:cs="宋体"/>
              <w:kern w:val="0"/>
              <w:sz w:val="32"/>
              <w:szCs w:val="32"/>
            </w:rPr>
            <w:t>二、当年预算执行情况</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_Toc165913330 \h </w:instrText>
          </w:r>
          <w:r>
            <w:rPr>
              <w:rFonts w:ascii="Times New Roman" w:hAnsi="Times New Roman"/>
              <w:sz w:val="32"/>
              <w:szCs w:val="32"/>
            </w:rPr>
            <w:fldChar w:fldCharType="separate"/>
          </w:r>
          <w:r>
            <w:rPr>
              <w:rFonts w:ascii="Times New Roman" w:hAnsi="Times New Roman"/>
              <w:sz w:val="32"/>
              <w:szCs w:val="32"/>
            </w:rPr>
            <w:t>5</w:t>
          </w:r>
          <w:r>
            <w:rPr>
              <w:rFonts w:ascii="Times New Roman" w:hAnsi="Times New Roman"/>
              <w:sz w:val="32"/>
              <w:szCs w:val="32"/>
            </w:rPr>
            <w:fldChar w:fldCharType="end"/>
          </w:r>
          <w:r>
            <w:rPr>
              <w:rFonts w:ascii="Times New Roman" w:hAnsi="Times New Roman"/>
              <w:sz w:val="32"/>
              <w:szCs w:val="32"/>
            </w:rPr>
            <w:fldChar w:fldCharType="end"/>
          </w:r>
        </w:p>
        <w:p w14:paraId="3967B6E6">
          <w:pPr>
            <w:pStyle w:val="14"/>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"_Toc165913331" </w:instrText>
          </w:r>
          <w:r>
            <w:rPr>
              <w:rFonts w:ascii="Times New Roman" w:hAnsi="Times New Roman"/>
            </w:rPr>
            <w:fldChar w:fldCharType="separate"/>
          </w:r>
          <w:r>
            <w:rPr>
              <w:rStyle w:val="23"/>
              <w:rFonts w:ascii="Times New Roman" w:hAnsi="Times New Roman" w:eastAsia="黑体" w:cs="宋体"/>
              <w:kern w:val="0"/>
              <w:sz w:val="32"/>
              <w:szCs w:val="32"/>
            </w:rPr>
            <w:t>三、整体绩效目标实现情况</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_Toc165913331 \h </w:instrText>
          </w:r>
          <w:r>
            <w:rPr>
              <w:rFonts w:ascii="Times New Roman" w:hAnsi="Times New Roman"/>
              <w:sz w:val="32"/>
              <w:szCs w:val="32"/>
            </w:rPr>
            <w:fldChar w:fldCharType="separate"/>
          </w:r>
          <w:r>
            <w:rPr>
              <w:rFonts w:ascii="Times New Roman" w:hAnsi="Times New Roman"/>
              <w:sz w:val="32"/>
              <w:szCs w:val="32"/>
            </w:rPr>
            <w:t>5</w:t>
          </w:r>
          <w:r>
            <w:rPr>
              <w:rFonts w:ascii="Times New Roman" w:hAnsi="Times New Roman"/>
              <w:sz w:val="32"/>
              <w:szCs w:val="32"/>
            </w:rPr>
            <w:fldChar w:fldCharType="end"/>
          </w:r>
          <w:r>
            <w:rPr>
              <w:rFonts w:ascii="Times New Roman" w:hAnsi="Times New Roman"/>
              <w:sz w:val="32"/>
              <w:szCs w:val="32"/>
            </w:rPr>
            <w:fldChar w:fldCharType="end"/>
          </w:r>
        </w:p>
        <w:p w14:paraId="5AE06188">
          <w:pPr>
            <w:pStyle w:val="16"/>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"_Toc165913332" </w:instrText>
          </w:r>
          <w:r>
            <w:rPr>
              <w:rFonts w:ascii="Times New Roman" w:hAnsi="Times New Roman"/>
            </w:rPr>
            <w:fldChar w:fldCharType="separate"/>
          </w:r>
          <w:r>
            <w:rPr>
              <w:rStyle w:val="23"/>
              <w:rFonts w:ascii="Times New Roman" w:hAnsi="Times New Roman" w:eastAsia="楷体_GB2312"/>
              <w:sz w:val="32"/>
              <w:szCs w:val="32"/>
            </w:rPr>
            <w:t>（一）产出完成情况分析</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_Toc165913332 \h </w:instrText>
          </w:r>
          <w:r>
            <w:rPr>
              <w:rFonts w:ascii="Times New Roman" w:hAnsi="Times New Roman"/>
              <w:sz w:val="32"/>
              <w:szCs w:val="32"/>
            </w:rPr>
            <w:fldChar w:fldCharType="separate"/>
          </w:r>
          <w:r>
            <w:rPr>
              <w:rFonts w:ascii="Times New Roman" w:hAnsi="Times New Roman"/>
              <w:sz w:val="32"/>
              <w:szCs w:val="32"/>
            </w:rPr>
            <w:t>5</w:t>
          </w:r>
          <w:r>
            <w:rPr>
              <w:rFonts w:ascii="Times New Roman" w:hAnsi="Times New Roman"/>
              <w:sz w:val="32"/>
              <w:szCs w:val="32"/>
            </w:rPr>
            <w:fldChar w:fldCharType="end"/>
          </w:r>
          <w:r>
            <w:rPr>
              <w:rFonts w:ascii="Times New Roman" w:hAnsi="Times New Roman"/>
              <w:sz w:val="32"/>
              <w:szCs w:val="32"/>
            </w:rPr>
            <w:fldChar w:fldCharType="end"/>
          </w:r>
        </w:p>
        <w:p w14:paraId="6D0A7F49">
          <w:pPr>
            <w:pStyle w:val="16"/>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"_Toc165913333" </w:instrText>
          </w:r>
          <w:r>
            <w:rPr>
              <w:rFonts w:ascii="Times New Roman" w:hAnsi="Times New Roman"/>
            </w:rPr>
            <w:fldChar w:fldCharType="separate"/>
          </w:r>
          <w:r>
            <w:rPr>
              <w:rStyle w:val="23"/>
              <w:rFonts w:ascii="Times New Roman" w:hAnsi="Times New Roman" w:eastAsia="楷体_GB2312"/>
              <w:sz w:val="32"/>
              <w:szCs w:val="32"/>
            </w:rPr>
            <w:t>（二）效果实现情况分析</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_Toc165913333 \h </w:instrText>
          </w:r>
          <w:r>
            <w:rPr>
              <w:rFonts w:ascii="Times New Roman" w:hAnsi="Times New Roman"/>
              <w:sz w:val="32"/>
              <w:szCs w:val="32"/>
            </w:rPr>
            <w:fldChar w:fldCharType="separate"/>
          </w:r>
          <w:r>
            <w:rPr>
              <w:rFonts w:ascii="Times New Roman" w:hAnsi="Times New Roman"/>
              <w:sz w:val="32"/>
              <w:szCs w:val="32"/>
            </w:rPr>
            <w:t>12</w:t>
          </w:r>
          <w:r>
            <w:rPr>
              <w:rFonts w:ascii="Times New Roman" w:hAnsi="Times New Roman"/>
              <w:sz w:val="32"/>
              <w:szCs w:val="32"/>
            </w:rPr>
            <w:fldChar w:fldCharType="end"/>
          </w:r>
          <w:r>
            <w:rPr>
              <w:rFonts w:ascii="Times New Roman" w:hAnsi="Times New Roman"/>
              <w:sz w:val="32"/>
              <w:szCs w:val="32"/>
            </w:rPr>
            <w:fldChar w:fldCharType="end"/>
          </w:r>
        </w:p>
        <w:p w14:paraId="46C20E67">
          <w:pPr>
            <w:pStyle w:val="14"/>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"_Toc165913334" </w:instrText>
          </w:r>
          <w:r>
            <w:rPr>
              <w:rFonts w:ascii="Times New Roman" w:hAnsi="Times New Roman"/>
            </w:rPr>
            <w:fldChar w:fldCharType="separate"/>
          </w:r>
          <w:r>
            <w:rPr>
              <w:rStyle w:val="23"/>
              <w:rFonts w:ascii="Times New Roman" w:hAnsi="Times New Roman" w:eastAsia="黑体" w:cs="宋体"/>
              <w:kern w:val="0"/>
              <w:sz w:val="32"/>
              <w:szCs w:val="32"/>
            </w:rPr>
            <w:t>四、预算管理情况分析</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_Toc165913334 \h </w:instrText>
          </w:r>
          <w:r>
            <w:rPr>
              <w:rFonts w:ascii="Times New Roman" w:hAnsi="Times New Roman"/>
              <w:sz w:val="32"/>
              <w:szCs w:val="32"/>
            </w:rPr>
            <w:fldChar w:fldCharType="separate"/>
          </w:r>
          <w:r>
            <w:rPr>
              <w:rFonts w:ascii="Times New Roman" w:hAnsi="Times New Roman"/>
              <w:sz w:val="32"/>
              <w:szCs w:val="32"/>
            </w:rPr>
            <w:t>15</w:t>
          </w:r>
          <w:r>
            <w:rPr>
              <w:rFonts w:ascii="Times New Roman" w:hAnsi="Times New Roman"/>
              <w:sz w:val="32"/>
              <w:szCs w:val="32"/>
            </w:rPr>
            <w:fldChar w:fldCharType="end"/>
          </w:r>
          <w:r>
            <w:rPr>
              <w:rFonts w:ascii="Times New Roman" w:hAnsi="Times New Roman"/>
              <w:sz w:val="32"/>
              <w:szCs w:val="32"/>
            </w:rPr>
            <w:fldChar w:fldCharType="end"/>
          </w:r>
        </w:p>
        <w:p w14:paraId="1DAF5B10">
          <w:pPr>
            <w:pStyle w:val="16"/>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"_Toc165913335" </w:instrText>
          </w:r>
          <w:r>
            <w:rPr>
              <w:rFonts w:ascii="Times New Roman" w:hAnsi="Times New Roman"/>
            </w:rPr>
            <w:fldChar w:fldCharType="separate"/>
          </w:r>
          <w:r>
            <w:rPr>
              <w:rStyle w:val="23"/>
              <w:rFonts w:ascii="Times New Roman" w:hAnsi="Times New Roman" w:eastAsia="楷体_GB2312"/>
              <w:sz w:val="32"/>
              <w:szCs w:val="32"/>
            </w:rPr>
            <w:t>（一）财务管理</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_Toc165913335 \h </w:instrText>
          </w:r>
          <w:r>
            <w:rPr>
              <w:rFonts w:ascii="Times New Roman" w:hAnsi="Times New Roman"/>
              <w:sz w:val="32"/>
              <w:szCs w:val="32"/>
            </w:rPr>
            <w:fldChar w:fldCharType="separate"/>
          </w:r>
          <w:r>
            <w:rPr>
              <w:rFonts w:ascii="Times New Roman" w:hAnsi="Times New Roman"/>
              <w:sz w:val="32"/>
              <w:szCs w:val="32"/>
            </w:rPr>
            <w:t>15</w:t>
          </w:r>
          <w:r>
            <w:rPr>
              <w:rFonts w:ascii="Times New Roman" w:hAnsi="Times New Roman"/>
              <w:sz w:val="32"/>
              <w:szCs w:val="32"/>
            </w:rPr>
            <w:fldChar w:fldCharType="end"/>
          </w:r>
          <w:r>
            <w:rPr>
              <w:rFonts w:ascii="Times New Roman" w:hAnsi="Times New Roman"/>
              <w:sz w:val="32"/>
              <w:szCs w:val="32"/>
            </w:rPr>
            <w:fldChar w:fldCharType="end"/>
          </w:r>
        </w:p>
        <w:p w14:paraId="6B453FE3">
          <w:pPr>
            <w:pStyle w:val="16"/>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"_Toc165913336" </w:instrText>
          </w:r>
          <w:r>
            <w:rPr>
              <w:rFonts w:ascii="Times New Roman" w:hAnsi="Times New Roman"/>
            </w:rPr>
            <w:fldChar w:fldCharType="separate"/>
          </w:r>
          <w:r>
            <w:rPr>
              <w:rStyle w:val="23"/>
              <w:rFonts w:ascii="Times New Roman" w:hAnsi="Times New Roman" w:eastAsia="楷体_GB2312"/>
              <w:sz w:val="32"/>
              <w:szCs w:val="32"/>
            </w:rPr>
            <w:t>（二）资产管理</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_Toc165913336 \h </w:instrText>
          </w:r>
          <w:r>
            <w:rPr>
              <w:rFonts w:ascii="Times New Roman" w:hAnsi="Times New Roman"/>
              <w:sz w:val="32"/>
              <w:szCs w:val="32"/>
            </w:rPr>
            <w:fldChar w:fldCharType="separate"/>
          </w:r>
          <w:r>
            <w:rPr>
              <w:rFonts w:ascii="Times New Roman" w:hAnsi="Times New Roman"/>
              <w:sz w:val="32"/>
              <w:szCs w:val="32"/>
            </w:rPr>
            <w:t>17</w:t>
          </w:r>
          <w:r>
            <w:rPr>
              <w:rFonts w:ascii="Times New Roman" w:hAnsi="Times New Roman"/>
              <w:sz w:val="32"/>
              <w:szCs w:val="32"/>
            </w:rPr>
            <w:fldChar w:fldCharType="end"/>
          </w:r>
          <w:r>
            <w:rPr>
              <w:rFonts w:ascii="Times New Roman" w:hAnsi="Times New Roman"/>
              <w:sz w:val="32"/>
              <w:szCs w:val="32"/>
            </w:rPr>
            <w:fldChar w:fldCharType="end"/>
          </w:r>
        </w:p>
        <w:p w14:paraId="5AB0E7D1">
          <w:pPr>
            <w:pStyle w:val="16"/>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"_Toc165913337" </w:instrText>
          </w:r>
          <w:r>
            <w:rPr>
              <w:rFonts w:ascii="Times New Roman" w:hAnsi="Times New Roman"/>
            </w:rPr>
            <w:fldChar w:fldCharType="separate"/>
          </w:r>
          <w:r>
            <w:rPr>
              <w:rStyle w:val="23"/>
              <w:rFonts w:ascii="Times New Roman" w:hAnsi="Times New Roman" w:eastAsia="楷体_GB2312"/>
              <w:sz w:val="32"/>
              <w:szCs w:val="32"/>
            </w:rPr>
            <w:t>（三）绩效管理</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_Toc165913337 \h </w:instrText>
          </w:r>
          <w:r>
            <w:rPr>
              <w:rFonts w:ascii="Times New Roman" w:hAnsi="Times New Roman"/>
              <w:sz w:val="32"/>
              <w:szCs w:val="32"/>
            </w:rPr>
            <w:fldChar w:fldCharType="separate"/>
          </w:r>
          <w:r>
            <w:rPr>
              <w:rFonts w:ascii="Times New Roman" w:hAnsi="Times New Roman"/>
              <w:sz w:val="32"/>
              <w:szCs w:val="32"/>
            </w:rPr>
            <w:t>17</w:t>
          </w:r>
          <w:r>
            <w:rPr>
              <w:rFonts w:ascii="Times New Roman" w:hAnsi="Times New Roman"/>
              <w:sz w:val="32"/>
              <w:szCs w:val="32"/>
            </w:rPr>
            <w:fldChar w:fldCharType="end"/>
          </w:r>
          <w:r>
            <w:rPr>
              <w:rFonts w:ascii="Times New Roman" w:hAnsi="Times New Roman"/>
              <w:sz w:val="32"/>
              <w:szCs w:val="32"/>
            </w:rPr>
            <w:fldChar w:fldCharType="end"/>
          </w:r>
        </w:p>
        <w:p w14:paraId="4FBA1C9C">
          <w:pPr>
            <w:pStyle w:val="16"/>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"_Toc165913338" </w:instrText>
          </w:r>
          <w:r>
            <w:rPr>
              <w:rFonts w:ascii="Times New Roman" w:hAnsi="Times New Roman"/>
            </w:rPr>
            <w:fldChar w:fldCharType="separate"/>
          </w:r>
          <w:r>
            <w:rPr>
              <w:rStyle w:val="23"/>
              <w:rFonts w:ascii="Times New Roman" w:hAnsi="Times New Roman" w:eastAsia="楷体_GB2312"/>
              <w:sz w:val="32"/>
              <w:szCs w:val="32"/>
            </w:rPr>
            <w:t>（四）结转结余率</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_Toc165913338 \h </w:instrText>
          </w:r>
          <w:r>
            <w:rPr>
              <w:rFonts w:ascii="Times New Roman" w:hAnsi="Times New Roman"/>
              <w:sz w:val="32"/>
              <w:szCs w:val="32"/>
            </w:rPr>
            <w:fldChar w:fldCharType="separate"/>
          </w:r>
          <w:r>
            <w:rPr>
              <w:rFonts w:ascii="Times New Roman" w:hAnsi="Times New Roman"/>
              <w:sz w:val="32"/>
              <w:szCs w:val="32"/>
            </w:rPr>
            <w:t>19</w:t>
          </w:r>
          <w:r>
            <w:rPr>
              <w:rFonts w:ascii="Times New Roman" w:hAnsi="Times New Roman"/>
              <w:sz w:val="32"/>
              <w:szCs w:val="32"/>
            </w:rPr>
            <w:fldChar w:fldCharType="end"/>
          </w:r>
          <w:r>
            <w:rPr>
              <w:rFonts w:ascii="Times New Roman" w:hAnsi="Times New Roman"/>
              <w:sz w:val="32"/>
              <w:szCs w:val="32"/>
            </w:rPr>
            <w:fldChar w:fldCharType="end"/>
          </w:r>
        </w:p>
        <w:p w14:paraId="31E864CA">
          <w:pPr>
            <w:pStyle w:val="16"/>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"_Toc165913339" </w:instrText>
          </w:r>
          <w:r>
            <w:rPr>
              <w:rFonts w:ascii="Times New Roman" w:hAnsi="Times New Roman"/>
            </w:rPr>
            <w:fldChar w:fldCharType="separate"/>
          </w:r>
          <w:r>
            <w:rPr>
              <w:rStyle w:val="23"/>
              <w:rFonts w:ascii="Times New Roman" w:hAnsi="Times New Roman" w:eastAsia="楷体_GB2312"/>
              <w:sz w:val="32"/>
              <w:szCs w:val="32"/>
            </w:rPr>
            <w:t>（五）部门预决算差异率</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_Toc165913339 \h </w:instrText>
          </w:r>
          <w:r>
            <w:rPr>
              <w:rFonts w:ascii="Times New Roman" w:hAnsi="Times New Roman"/>
              <w:sz w:val="32"/>
              <w:szCs w:val="32"/>
            </w:rPr>
            <w:fldChar w:fldCharType="separate"/>
          </w:r>
          <w:r>
            <w:rPr>
              <w:rFonts w:ascii="Times New Roman" w:hAnsi="Times New Roman"/>
              <w:sz w:val="32"/>
              <w:szCs w:val="32"/>
            </w:rPr>
            <w:t>19</w:t>
          </w:r>
          <w:r>
            <w:rPr>
              <w:rFonts w:ascii="Times New Roman" w:hAnsi="Times New Roman"/>
              <w:sz w:val="32"/>
              <w:szCs w:val="32"/>
            </w:rPr>
            <w:fldChar w:fldCharType="end"/>
          </w:r>
          <w:r>
            <w:rPr>
              <w:rFonts w:ascii="Times New Roman" w:hAnsi="Times New Roman"/>
              <w:sz w:val="32"/>
              <w:szCs w:val="32"/>
            </w:rPr>
            <w:fldChar w:fldCharType="end"/>
          </w:r>
        </w:p>
        <w:p w14:paraId="3B6F643D">
          <w:pPr>
            <w:pStyle w:val="14"/>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"_Toc165913340" </w:instrText>
          </w:r>
          <w:r>
            <w:rPr>
              <w:rFonts w:ascii="Times New Roman" w:hAnsi="Times New Roman"/>
            </w:rPr>
            <w:fldChar w:fldCharType="separate"/>
          </w:r>
          <w:r>
            <w:rPr>
              <w:rStyle w:val="23"/>
              <w:rFonts w:ascii="Times New Roman" w:hAnsi="Times New Roman" w:eastAsia="黑体"/>
              <w:sz w:val="32"/>
              <w:szCs w:val="32"/>
            </w:rPr>
            <w:t>五、总体评价结论</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_Toc165913340 \h </w:instrText>
          </w:r>
          <w:r>
            <w:rPr>
              <w:rFonts w:ascii="Times New Roman" w:hAnsi="Times New Roman"/>
              <w:sz w:val="32"/>
              <w:szCs w:val="32"/>
            </w:rPr>
            <w:fldChar w:fldCharType="separate"/>
          </w:r>
          <w:r>
            <w:rPr>
              <w:rFonts w:ascii="Times New Roman" w:hAnsi="Times New Roman"/>
              <w:sz w:val="32"/>
              <w:szCs w:val="32"/>
            </w:rPr>
            <w:t>19</w:t>
          </w:r>
          <w:r>
            <w:rPr>
              <w:rFonts w:ascii="Times New Roman" w:hAnsi="Times New Roman"/>
              <w:sz w:val="32"/>
              <w:szCs w:val="32"/>
            </w:rPr>
            <w:fldChar w:fldCharType="end"/>
          </w:r>
          <w:r>
            <w:rPr>
              <w:rFonts w:ascii="Times New Roman" w:hAnsi="Times New Roman"/>
              <w:sz w:val="32"/>
              <w:szCs w:val="32"/>
            </w:rPr>
            <w:fldChar w:fldCharType="end"/>
          </w:r>
        </w:p>
        <w:p w14:paraId="3B653D3F">
          <w:pPr>
            <w:pStyle w:val="16"/>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"_Toc165913341" </w:instrText>
          </w:r>
          <w:r>
            <w:rPr>
              <w:rFonts w:ascii="Times New Roman" w:hAnsi="Times New Roman"/>
            </w:rPr>
            <w:fldChar w:fldCharType="separate"/>
          </w:r>
          <w:r>
            <w:rPr>
              <w:rStyle w:val="23"/>
              <w:rFonts w:ascii="Times New Roman" w:hAnsi="Times New Roman" w:eastAsia="楷体_GB2312"/>
              <w:sz w:val="32"/>
              <w:szCs w:val="32"/>
            </w:rPr>
            <w:t>（一）评价得分情况</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_Toc165913341 \h </w:instrText>
          </w:r>
          <w:r>
            <w:rPr>
              <w:rFonts w:ascii="Times New Roman" w:hAnsi="Times New Roman"/>
              <w:sz w:val="32"/>
              <w:szCs w:val="32"/>
            </w:rPr>
            <w:fldChar w:fldCharType="separate"/>
          </w:r>
          <w:r>
            <w:rPr>
              <w:rFonts w:ascii="Times New Roman" w:hAnsi="Times New Roman"/>
              <w:sz w:val="32"/>
              <w:szCs w:val="32"/>
            </w:rPr>
            <w:t>19</w:t>
          </w:r>
          <w:r>
            <w:rPr>
              <w:rFonts w:ascii="Times New Roman" w:hAnsi="Times New Roman"/>
              <w:sz w:val="32"/>
              <w:szCs w:val="32"/>
            </w:rPr>
            <w:fldChar w:fldCharType="end"/>
          </w:r>
          <w:r>
            <w:rPr>
              <w:rFonts w:ascii="Times New Roman" w:hAnsi="Times New Roman"/>
              <w:sz w:val="32"/>
              <w:szCs w:val="32"/>
            </w:rPr>
            <w:fldChar w:fldCharType="end"/>
          </w:r>
        </w:p>
        <w:p w14:paraId="35EB5F7F">
          <w:pPr>
            <w:pStyle w:val="16"/>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"_Toc165913342" </w:instrText>
          </w:r>
          <w:r>
            <w:rPr>
              <w:rFonts w:ascii="Times New Roman" w:hAnsi="Times New Roman"/>
            </w:rPr>
            <w:fldChar w:fldCharType="separate"/>
          </w:r>
          <w:r>
            <w:rPr>
              <w:rStyle w:val="23"/>
              <w:rFonts w:ascii="Times New Roman" w:hAnsi="Times New Roman" w:eastAsia="楷体_GB2312"/>
              <w:sz w:val="32"/>
              <w:szCs w:val="32"/>
            </w:rPr>
            <w:t>（二）存在的问题及原因分析</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_Toc165913342 \h </w:instrText>
          </w:r>
          <w:r>
            <w:rPr>
              <w:rFonts w:ascii="Times New Roman" w:hAnsi="Times New Roman"/>
              <w:sz w:val="32"/>
              <w:szCs w:val="32"/>
            </w:rPr>
            <w:fldChar w:fldCharType="separate"/>
          </w:r>
          <w:r>
            <w:rPr>
              <w:rFonts w:ascii="Times New Roman" w:hAnsi="Times New Roman"/>
              <w:sz w:val="32"/>
              <w:szCs w:val="32"/>
            </w:rPr>
            <w:t>20</w:t>
          </w:r>
          <w:r>
            <w:rPr>
              <w:rFonts w:ascii="Times New Roman" w:hAnsi="Times New Roman"/>
              <w:sz w:val="32"/>
              <w:szCs w:val="32"/>
            </w:rPr>
            <w:fldChar w:fldCharType="end"/>
          </w:r>
          <w:r>
            <w:rPr>
              <w:rFonts w:ascii="Times New Roman" w:hAnsi="Times New Roman"/>
              <w:sz w:val="32"/>
              <w:szCs w:val="32"/>
            </w:rPr>
            <w:fldChar w:fldCharType="end"/>
          </w:r>
        </w:p>
        <w:p w14:paraId="21BB5B2A">
          <w:pPr>
            <w:pStyle w:val="14"/>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"_Toc165913343" </w:instrText>
          </w:r>
          <w:r>
            <w:rPr>
              <w:rFonts w:ascii="Times New Roman" w:hAnsi="Times New Roman"/>
            </w:rPr>
            <w:fldChar w:fldCharType="separate"/>
          </w:r>
          <w:r>
            <w:rPr>
              <w:rStyle w:val="23"/>
              <w:rFonts w:ascii="Times New Roman" w:hAnsi="Times New Roman" w:eastAsia="黑体" w:cs="宋体"/>
              <w:kern w:val="0"/>
              <w:sz w:val="32"/>
              <w:szCs w:val="32"/>
            </w:rPr>
            <w:t>六、措施建议</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_Toc165913343 \h </w:instrText>
          </w:r>
          <w:r>
            <w:rPr>
              <w:rFonts w:ascii="Times New Roman" w:hAnsi="Times New Roman"/>
              <w:sz w:val="32"/>
              <w:szCs w:val="32"/>
            </w:rPr>
            <w:fldChar w:fldCharType="separate"/>
          </w:r>
          <w:r>
            <w:rPr>
              <w:rFonts w:ascii="Times New Roman" w:hAnsi="Times New Roman"/>
              <w:sz w:val="32"/>
              <w:szCs w:val="32"/>
            </w:rPr>
            <w:t>20</w:t>
          </w:r>
          <w:r>
            <w:rPr>
              <w:rFonts w:ascii="Times New Roman" w:hAnsi="Times New Roman"/>
              <w:sz w:val="32"/>
              <w:szCs w:val="32"/>
            </w:rPr>
            <w:fldChar w:fldCharType="end"/>
          </w:r>
          <w:r>
            <w:rPr>
              <w:rFonts w:ascii="Times New Roman" w:hAnsi="Times New Roman"/>
              <w:sz w:val="32"/>
              <w:szCs w:val="32"/>
            </w:rPr>
            <w:fldChar w:fldCharType="end"/>
          </w:r>
        </w:p>
        <w:p w14:paraId="2BA50D6F">
          <w:pPr>
            <w:pStyle w:val="14"/>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"_Toc165913344" </w:instrText>
          </w:r>
          <w:r>
            <w:rPr>
              <w:rFonts w:ascii="Times New Roman" w:hAnsi="Times New Roman"/>
            </w:rPr>
            <w:fldChar w:fldCharType="separate"/>
          </w:r>
          <w:r>
            <w:rPr>
              <w:rStyle w:val="23"/>
              <w:rFonts w:ascii="Times New Roman" w:hAnsi="Times New Roman" w:eastAsia="黑体" w:cs="宋体"/>
              <w:kern w:val="0"/>
              <w:sz w:val="32"/>
              <w:szCs w:val="32"/>
            </w:rPr>
            <w:t>七、附件</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_Toc165913344 \h </w:instrText>
          </w:r>
          <w:r>
            <w:rPr>
              <w:rFonts w:ascii="Times New Roman" w:hAnsi="Times New Roman"/>
              <w:sz w:val="32"/>
              <w:szCs w:val="32"/>
            </w:rPr>
            <w:fldChar w:fldCharType="separate"/>
          </w:r>
          <w:r>
            <w:rPr>
              <w:rFonts w:ascii="Times New Roman" w:hAnsi="Times New Roman"/>
              <w:sz w:val="32"/>
              <w:szCs w:val="32"/>
            </w:rPr>
            <w:t>21</w:t>
          </w:r>
          <w:r>
            <w:rPr>
              <w:rFonts w:ascii="Times New Roman" w:hAnsi="Times New Roman"/>
              <w:sz w:val="32"/>
              <w:szCs w:val="32"/>
            </w:rPr>
            <w:fldChar w:fldCharType="end"/>
          </w:r>
          <w:r>
            <w:rPr>
              <w:rFonts w:ascii="Times New Roman" w:hAnsi="Times New Roman"/>
              <w:sz w:val="32"/>
              <w:szCs w:val="32"/>
            </w:rPr>
            <w:fldChar w:fldCharType="end"/>
          </w:r>
        </w:p>
        <w:p w14:paraId="7C7D6FEE">
          <w:pPr>
            <w:jc w:val="center"/>
            <w:rPr>
              <w:rFonts w:ascii="Times New Roman" w:hAnsi="Times New Roman" w:eastAsia="方正小标宋简体"/>
              <w:b/>
              <w:szCs w:val="44"/>
            </w:rPr>
          </w:pPr>
          <w:r>
            <w:rPr>
              <w:rFonts w:hint="eastAsia" w:ascii="Times New Roman" w:hAnsi="Times New Roman" w:eastAsia="方正小标宋简体"/>
              <w:sz w:val="32"/>
              <w:szCs w:val="32"/>
            </w:rPr>
            <w:fldChar w:fldCharType="end"/>
          </w:r>
        </w:p>
      </w:sdtContent>
    </w:sdt>
    <w:p w14:paraId="5C74377A">
      <w:pPr>
        <w:jc w:val="center"/>
        <w:rPr>
          <w:rFonts w:ascii="Times New Roman" w:hAnsi="Times New Roman" w:eastAsia="方正小标宋简体"/>
          <w:b/>
          <w:szCs w:val="44"/>
        </w:rPr>
      </w:pPr>
    </w:p>
    <w:p w14:paraId="01DDF8D8">
      <w:pPr>
        <w:jc w:val="center"/>
        <w:rPr>
          <w:rFonts w:ascii="Times New Roman" w:hAnsi="Times New Roman" w:eastAsia="方正小标宋简体"/>
          <w:b/>
          <w:szCs w:val="44"/>
        </w:rPr>
      </w:pPr>
    </w:p>
    <w:p w14:paraId="0CCBDFB1">
      <w:pPr>
        <w:jc w:val="center"/>
        <w:rPr>
          <w:rFonts w:ascii="Times New Roman" w:hAnsi="Times New Roman" w:eastAsia="方正小标宋简体"/>
          <w:b/>
          <w:szCs w:val="44"/>
        </w:rPr>
      </w:pPr>
    </w:p>
    <w:p w14:paraId="7601377C">
      <w:pPr>
        <w:jc w:val="center"/>
        <w:rPr>
          <w:rFonts w:ascii="Times New Roman" w:hAnsi="Times New Roman" w:eastAsia="方正小标宋简体"/>
          <w:b/>
          <w:szCs w:val="44"/>
        </w:rPr>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851" w:footer="992" w:gutter="0"/>
          <w:cols w:space="425" w:num="1"/>
          <w:docGrid w:type="lines" w:linePitch="312" w:charSpace="0"/>
        </w:sectPr>
      </w:pPr>
    </w:p>
    <w:p w14:paraId="27BA79EC">
      <w:pPr>
        <w:spacing w:line="560" w:lineRule="exact"/>
        <w:jc w:val="center"/>
        <w:rPr>
          <w:rFonts w:ascii="Times New Roman" w:hAnsi="Times New Roman" w:eastAsia="方正小标宋简体"/>
          <w:sz w:val="44"/>
          <w:szCs w:val="44"/>
        </w:rPr>
      </w:pPr>
      <w:bookmarkStart w:id="2" w:name="_Toc30976"/>
      <w:r>
        <w:rPr>
          <w:rFonts w:hint="eastAsia" w:ascii="Times New Roman" w:hAnsi="Times New Roman" w:eastAsia="方正小标宋简体"/>
          <w:sz w:val="44"/>
          <w:szCs w:val="44"/>
        </w:rPr>
        <w:t>北京市文化市场综合执法总队</w:t>
      </w:r>
      <w:bookmarkEnd w:id="2"/>
    </w:p>
    <w:p w14:paraId="37E41F89">
      <w:pPr>
        <w:spacing w:line="560" w:lineRule="exact"/>
        <w:jc w:val="center"/>
        <w:rPr>
          <w:rFonts w:ascii="Times New Roman" w:hAnsi="Times New Roman" w:eastAsia="方正小标宋简体"/>
          <w:sz w:val="44"/>
          <w:szCs w:val="44"/>
        </w:rPr>
      </w:pPr>
      <w:r>
        <w:rPr>
          <w:rFonts w:hint="eastAsia" w:ascii="Times New Roman" w:hAnsi="Times New Roman" w:eastAsia="方正小标宋简体"/>
          <w:sz w:val="44"/>
          <w:szCs w:val="44"/>
        </w:rPr>
        <w:t>202</w:t>
      </w:r>
      <w:r>
        <w:rPr>
          <w:rFonts w:hint="eastAsia" w:ascii="Times New Roman" w:hAnsi="Times New Roman" w:eastAsia="方正小标宋简体"/>
          <w:sz w:val="44"/>
          <w:szCs w:val="44"/>
          <w:lang w:eastAsia="zh-CN"/>
        </w:rPr>
        <w:t>4</w:t>
      </w:r>
      <w:r>
        <w:rPr>
          <w:rFonts w:hint="eastAsia" w:ascii="Times New Roman" w:hAnsi="Times New Roman" w:eastAsia="方正小标宋简体"/>
          <w:sz w:val="44"/>
          <w:szCs w:val="44"/>
        </w:rPr>
        <w:t>年度部门整体绩效评价报告</w:t>
      </w:r>
    </w:p>
    <w:p w14:paraId="459AAB94">
      <w:pPr>
        <w:jc w:val="center"/>
        <w:rPr>
          <w:rFonts w:ascii="Times New Roman" w:hAnsi="Times New Roman"/>
          <w:szCs w:val="30"/>
        </w:rPr>
      </w:pPr>
    </w:p>
    <w:p w14:paraId="59B51A51">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0"/>
        <w:rPr>
          <w:rFonts w:hint="eastAsia" w:ascii="Times New Roman" w:hAnsi="Times New Roman" w:eastAsia="黑体" w:cs="宋体"/>
          <w:color w:val="000000"/>
          <w:kern w:val="0"/>
          <w:sz w:val="32"/>
          <w:szCs w:val="32"/>
        </w:rPr>
      </w:pPr>
      <w:bookmarkStart w:id="3" w:name="_Toc165913327"/>
      <w:bookmarkStart w:id="4" w:name="_Toc15233"/>
      <w:r>
        <w:rPr>
          <w:rFonts w:hint="eastAsia" w:ascii="Times New Roman" w:hAnsi="Times New Roman" w:eastAsia="黑体" w:cs="宋体"/>
          <w:color w:val="000000"/>
          <w:kern w:val="0"/>
          <w:sz w:val="32"/>
          <w:szCs w:val="32"/>
        </w:rPr>
        <w:t>一、部门概况</w:t>
      </w:r>
      <w:bookmarkEnd w:id="3"/>
      <w:bookmarkEnd w:id="4"/>
    </w:p>
    <w:p w14:paraId="13BF6F31">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1"/>
        <w:rPr>
          <w:rFonts w:hint="eastAsia" w:ascii="Times New Roman" w:hAnsi="Times New Roman" w:eastAsia="楷体_GB2312"/>
          <w:sz w:val="32"/>
          <w:szCs w:val="32"/>
        </w:rPr>
      </w:pPr>
      <w:bookmarkStart w:id="5" w:name="_Toc165913328"/>
      <w:bookmarkStart w:id="6" w:name="_Toc10847"/>
      <w:r>
        <w:rPr>
          <w:rFonts w:hint="eastAsia" w:ascii="Times New Roman" w:hAnsi="Times New Roman" w:eastAsia="楷体_GB2312"/>
          <w:sz w:val="32"/>
          <w:szCs w:val="32"/>
        </w:rPr>
        <w:t>（一）机构设置及职责工作任务情况</w:t>
      </w:r>
      <w:bookmarkEnd w:id="5"/>
      <w:bookmarkEnd w:id="6"/>
    </w:p>
    <w:p w14:paraId="32197581">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1.部门机构设置</w:t>
      </w:r>
    </w:p>
    <w:p w14:paraId="19913C10">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北京市文化市场综合执法总队（以下简称“市文化市场执法总队”）为市委宣传部、市文化和旅游局双重管理的副局级行政执法机构，以市文化和旅游局名义执法。</w:t>
      </w:r>
    </w:p>
    <w:p w14:paraId="2941A9D9">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2.部门职能</w:t>
      </w:r>
    </w:p>
    <w:p w14:paraId="571DA40D">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根据中共北京市委机构编制委员会《关于北京市文化市场综合执法总队职责机构编制事项的通知》（京编委〔2020〕16号）、《关于市文化市场综合执法总队所属事业单位改革有关事项的批复》（京编委〔2021〕45号），市文化市场执法总队主要有以下职能：</w:t>
      </w:r>
    </w:p>
    <w:p w14:paraId="272B65BC">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Chars="0" w:firstLine="640" w:firstLineChars="200"/>
        <w:textAlignment w:val="auto"/>
        <w:rPr>
          <w:rFonts w:hint="eastAsia" w:ascii="Times New Roman" w:hAnsi="Times New Roman" w:eastAsia="仿宋_GB2312" w:cs="宋体"/>
          <w:kern w:val="0"/>
          <w:sz w:val="32"/>
          <w:szCs w:val="32"/>
        </w:rPr>
      </w:pPr>
      <w:r>
        <w:rPr>
          <w:rFonts w:hint="eastAsia" w:eastAsia="仿宋_GB2312" w:cs="宋体"/>
          <w:kern w:val="0"/>
          <w:sz w:val="32"/>
          <w:szCs w:val="32"/>
          <w:lang w:eastAsia="zh-CN"/>
        </w:rPr>
        <w:t>（</w:t>
      </w:r>
      <w:r>
        <w:rPr>
          <w:rFonts w:hint="eastAsia" w:eastAsia="仿宋_GB2312" w:cs="宋体"/>
          <w:kern w:val="0"/>
          <w:sz w:val="32"/>
          <w:szCs w:val="32"/>
          <w:lang w:val="en-US" w:eastAsia="zh-CN"/>
        </w:rPr>
        <w:t>1</w:t>
      </w:r>
      <w:r>
        <w:rPr>
          <w:rFonts w:hint="eastAsia" w:eastAsia="仿宋_GB2312" w:cs="宋体"/>
          <w:kern w:val="0"/>
          <w:sz w:val="32"/>
          <w:szCs w:val="32"/>
          <w:lang w:eastAsia="zh-CN"/>
        </w:rPr>
        <w:t>）</w:t>
      </w:r>
      <w:r>
        <w:rPr>
          <w:rFonts w:hint="eastAsia" w:ascii="Times New Roman" w:hAnsi="Times New Roman" w:eastAsia="仿宋_GB2312" w:cs="宋体"/>
          <w:kern w:val="0"/>
          <w:sz w:val="32"/>
          <w:szCs w:val="32"/>
        </w:rPr>
        <w:t>负责集中行使法律、法规、规章规定的文化、文物、新闻出版、版权、广播电视、电影、旅游市场以及宗教等领域应由省级行政主管部门行使的行政处罚权以及与之相关的行政检查、行政强制权；</w:t>
      </w:r>
    </w:p>
    <w:p w14:paraId="46EA9D10">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Chars="0" w:firstLine="640" w:firstLineChars="200"/>
        <w:textAlignment w:val="auto"/>
        <w:rPr>
          <w:rFonts w:hint="eastAsia" w:ascii="Times New Roman" w:hAnsi="Times New Roman" w:eastAsia="仿宋_GB2312" w:cs="宋体"/>
          <w:kern w:val="0"/>
          <w:sz w:val="32"/>
          <w:szCs w:val="32"/>
        </w:rPr>
      </w:pPr>
      <w:r>
        <w:rPr>
          <w:rFonts w:hint="eastAsia" w:eastAsia="仿宋_GB2312" w:cs="宋体"/>
          <w:kern w:val="0"/>
          <w:sz w:val="32"/>
          <w:szCs w:val="32"/>
          <w:lang w:eastAsia="zh-CN"/>
        </w:rPr>
        <w:t>（</w:t>
      </w:r>
      <w:r>
        <w:rPr>
          <w:rFonts w:hint="eastAsia" w:eastAsia="仿宋_GB2312" w:cs="宋体"/>
          <w:kern w:val="0"/>
          <w:sz w:val="32"/>
          <w:szCs w:val="32"/>
          <w:lang w:val="en-US" w:eastAsia="zh-CN"/>
        </w:rPr>
        <w:t>2</w:t>
      </w:r>
      <w:r>
        <w:rPr>
          <w:rFonts w:hint="eastAsia" w:eastAsia="仿宋_GB2312" w:cs="宋体"/>
          <w:kern w:val="0"/>
          <w:sz w:val="32"/>
          <w:szCs w:val="32"/>
          <w:lang w:eastAsia="zh-CN"/>
        </w:rPr>
        <w:t>）</w:t>
      </w:r>
      <w:r>
        <w:rPr>
          <w:rFonts w:hint="eastAsia" w:ascii="Times New Roman" w:hAnsi="Times New Roman" w:eastAsia="仿宋_GB2312" w:cs="宋体"/>
          <w:kern w:val="0"/>
          <w:sz w:val="32"/>
          <w:szCs w:val="32"/>
        </w:rPr>
        <w:t>负责相关领域重大疑难复杂案件和跨区域案件的查处工作；</w:t>
      </w:r>
    </w:p>
    <w:p w14:paraId="31983865">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Chars="0" w:firstLine="640" w:firstLineChars="200"/>
        <w:textAlignment w:val="auto"/>
        <w:rPr>
          <w:rFonts w:hint="eastAsia" w:ascii="Times New Roman" w:hAnsi="Times New Roman" w:eastAsia="仿宋_GB2312" w:cs="宋体"/>
          <w:kern w:val="0"/>
          <w:sz w:val="32"/>
          <w:szCs w:val="32"/>
        </w:rPr>
      </w:pPr>
      <w:r>
        <w:rPr>
          <w:rFonts w:hint="eastAsia" w:eastAsia="仿宋_GB2312" w:cs="宋体"/>
          <w:kern w:val="0"/>
          <w:sz w:val="32"/>
          <w:szCs w:val="32"/>
          <w:lang w:eastAsia="zh-CN"/>
        </w:rPr>
        <w:t>（</w:t>
      </w:r>
      <w:r>
        <w:rPr>
          <w:rFonts w:hint="eastAsia" w:eastAsia="仿宋_GB2312" w:cs="宋体"/>
          <w:kern w:val="0"/>
          <w:sz w:val="32"/>
          <w:szCs w:val="32"/>
          <w:lang w:val="en-US" w:eastAsia="zh-CN"/>
        </w:rPr>
        <w:t>3</w:t>
      </w:r>
      <w:r>
        <w:rPr>
          <w:rFonts w:hint="eastAsia" w:eastAsia="仿宋_GB2312" w:cs="宋体"/>
          <w:kern w:val="0"/>
          <w:sz w:val="32"/>
          <w:szCs w:val="32"/>
          <w:lang w:eastAsia="zh-CN"/>
        </w:rPr>
        <w:t>）</w:t>
      </w:r>
      <w:r>
        <w:rPr>
          <w:rFonts w:hint="eastAsia" w:ascii="Times New Roman" w:hAnsi="Times New Roman" w:eastAsia="仿宋_GB2312" w:cs="宋体"/>
          <w:kern w:val="0"/>
          <w:sz w:val="32"/>
          <w:szCs w:val="32"/>
        </w:rPr>
        <w:t>负责指导、协调、监督、考核各区文化市场综合执法工作；</w:t>
      </w:r>
    </w:p>
    <w:p w14:paraId="37B83C68">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Chars="0" w:firstLine="640" w:firstLineChars="200"/>
        <w:textAlignment w:val="auto"/>
        <w:rPr>
          <w:rFonts w:hint="eastAsia" w:ascii="Times New Roman" w:hAnsi="Times New Roman" w:eastAsia="仿宋_GB2312" w:cs="宋体"/>
          <w:kern w:val="0"/>
          <w:sz w:val="32"/>
          <w:szCs w:val="32"/>
        </w:rPr>
      </w:pPr>
      <w:r>
        <w:rPr>
          <w:rFonts w:hint="eastAsia" w:eastAsia="仿宋_GB2312" w:cs="宋体"/>
          <w:kern w:val="0"/>
          <w:sz w:val="32"/>
          <w:szCs w:val="32"/>
          <w:lang w:eastAsia="zh-CN"/>
        </w:rPr>
        <w:t>（</w:t>
      </w:r>
      <w:r>
        <w:rPr>
          <w:rFonts w:hint="eastAsia" w:eastAsia="仿宋_GB2312" w:cs="宋体"/>
          <w:kern w:val="0"/>
          <w:sz w:val="32"/>
          <w:szCs w:val="32"/>
          <w:lang w:val="en-US" w:eastAsia="zh-CN"/>
        </w:rPr>
        <w:t>4</w:t>
      </w:r>
      <w:r>
        <w:rPr>
          <w:rFonts w:hint="eastAsia" w:eastAsia="仿宋_GB2312" w:cs="宋体"/>
          <w:kern w:val="0"/>
          <w:sz w:val="32"/>
          <w:szCs w:val="32"/>
          <w:lang w:eastAsia="zh-CN"/>
        </w:rPr>
        <w:t>）</w:t>
      </w:r>
      <w:r>
        <w:rPr>
          <w:rFonts w:hint="eastAsia" w:ascii="Times New Roman" w:hAnsi="Times New Roman" w:eastAsia="仿宋_GB2312" w:cs="宋体"/>
          <w:kern w:val="0"/>
          <w:sz w:val="32"/>
          <w:szCs w:val="32"/>
        </w:rPr>
        <w:t>承担“扫黄打非”有关工作任务；</w:t>
      </w:r>
    </w:p>
    <w:p w14:paraId="31F220B9">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Chars="0" w:firstLine="640" w:firstLineChars="200"/>
        <w:textAlignment w:val="auto"/>
        <w:rPr>
          <w:rFonts w:hint="eastAsia" w:ascii="Times New Roman" w:hAnsi="Times New Roman" w:eastAsia="仿宋_GB2312" w:cs="宋体"/>
          <w:kern w:val="0"/>
          <w:sz w:val="32"/>
          <w:szCs w:val="32"/>
        </w:rPr>
      </w:pPr>
      <w:r>
        <w:rPr>
          <w:rFonts w:hint="eastAsia" w:eastAsia="仿宋_GB2312" w:cs="宋体"/>
          <w:kern w:val="0"/>
          <w:sz w:val="32"/>
          <w:szCs w:val="32"/>
          <w:lang w:eastAsia="zh-CN"/>
        </w:rPr>
        <w:t>（</w:t>
      </w:r>
      <w:r>
        <w:rPr>
          <w:rFonts w:hint="eastAsia" w:eastAsia="仿宋_GB2312" w:cs="宋体"/>
          <w:kern w:val="0"/>
          <w:sz w:val="32"/>
          <w:szCs w:val="32"/>
          <w:lang w:val="en-US" w:eastAsia="zh-CN"/>
        </w:rPr>
        <w:t>5</w:t>
      </w:r>
      <w:r>
        <w:rPr>
          <w:rFonts w:hint="eastAsia" w:eastAsia="仿宋_GB2312" w:cs="宋体"/>
          <w:kern w:val="0"/>
          <w:sz w:val="32"/>
          <w:szCs w:val="32"/>
          <w:lang w:eastAsia="zh-CN"/>
        </w:rPr>
        <w:t>）</w:t>
      </w:r>
      <w:r>
        <w:rPr>
          <w:rFonts w:hint="eastAsia" w:ascii="Times New Roman" w:hAnsi="Times New Roman" w:eastAsia="仿宋_GB2312" w:cs="宋体"/>
          <w:kern w:val="0"/>
          <w:sz w:val="32"/>
          <w:szCs w:val="32"/>
        </w:rPr>
        <w:t>完成市委、市政府和市委宣传部、市文化和旅游局交办的其他任务。</w:t>
      </w:r>
    </w:p>
    <w:p w14:paraId="30DE22DD">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3.202</w:t>
      </w:r>
      <w:r>
        <w:rPr>
          <w:rFonts w:hint="eastAsia" w:ascii="Times New Roman" w:hAnsi="Times New Roman" w:eastAsia="仿宋_GB2312" w:cs="宋体"/>
          <w:kern w:val="0"/>
          <w:sz w:val="32"/>
          <w:szCs w:val="32"/>
          <w:lang w:val="en-US" w:eastAsia="zh-CN"/>
        </w:rPr>
        <w:t>4</w:t>
      </w:r>
      <w:r>
        <w:rPr>
          <w:rFonts w:hint="eastAsia" w:ascii="Times New Roman" w:hAnsi="Times New Roman" w:eastAsia="仿宋_GB2312" w:cs="宋体"/>
          <w:kern w:val="0"/>
          <w:sz w:val="32"/>
          <w:szCs w:val="32"/>
        </w:rPr>
        <w:t>年重点工作任务</w:t>
      </w:r>
    </w:p>
    <w:p w14:paraId="360419B9">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outlineLvl w:val="9"/>
        <w:rPr>
          <w:rFonts w:hint="default"/>
        </w:rPr>
      </w:pPr>
      <w:bookmarkStart w:id="7" w:name="_Toc165913329"/>
      <w:bookmarkStart w:id="8" w:name="_Toc24403"/>
      <w:r>
        <w:rPr>
          <w:rFonts w:hint="eastAsia" w:eastAsia="仿宋_GB2312" w:cs="仿宋_GB2312"/>
          <w:sz w:val="32"/>
          <w:szCs w:val="32"/>
          <w:lang w:val="en-US" w:eastAsia="zh-CN"/>
        </w:rPr>
        <w:t>为</w:t>
      </w:r>
      <w:r>
        <w:rPr>
          <w:rFonts w:hint="eastAsia" w:ascii="Times New Roman" w:hAnsi="Times New Roman" w:eastAsia="仿宋_GB2312" w:cs="仿宋_GB2312"/>
          <w:sz w:val="32"/>
          <w:szCs w:val="32"/>
        </w:rPr>
        <w:t>深入贯彻党的二十大和</w:t>
      </w:r>
      <w:r>
        <w:rPr>
          <w:rFonts w:hint="eastAsia" w:ascii="Times New Roman" w:hAnsi="Times New Roman" w:eastAsia="仿宋_GB2312" w:cs="仿宋_GB2312"/>
          <w:sz w:val="32"/>
          <w:szCs w:val="32"/>
          <w:lang w:eastAsia="zh-CN"/>
        </w:rPr>
        <w:t>党的二十届二中全会精神</w:t>
      </w:r>
      <w:r>
        <w:rPr>
          <w:rFonts w:hint="eastAsia" w:ascii="Times New Roman" w:hAnsi="Times New Roman" w:eastAsia="仿宋_GB2312" w:cs="仿宋_GB2312"/>
          <w:sz w:val="32"/>
          <w:szCs w:val="32"/>
        </w:rPr>
        <w:t>，</w:t>
      </w:r>
      <w:r>
        <w:rPr>
          <w:rFonts w:hint="eastAsia" w:ascii="仿宋_GB2312" w:hAnsi="仿宋_GB2312" w:eastAsia="仿宋_GB2312" w:cs="仿宋_GB2312"/>
          <w:sz w:val="32"/>
          <w:szCs w:val="32"/>
        </w:rPr>
        <w:t>坚决落实工作部署，</w:t>
      </w:r>
      <w:r>
        <w:rPr>
          <w:rFonts w:hint="eastAsia" w:ascii="Times New Roman" w:hAnsi="Times New Roman" w:eastAsia="仿宋_GB2312" w:cs="仿宋_GB2312"/>
          <w:sz w:val="32"/>
          <w:szCs w:val="32"/>
        </w:rPr>
        <w:t>全面推进文化市场综合执法改革，持续深化政治思维与法治思维相统一的执法理念，着力锤炼“敏感、预判、决断”首都文化执法三项基本功，切实提升依法行政能力水平，纵深推进全面从严管党治队，</w:t>
      </w:r>
      <w:r>
        <w:rPr>
          <w:rFonts w:hint="eastAsia" w:ascii="仿宋_GB2312" w:hAnsi="仿宋_GB2312" w:eastAsia="仿宋_GB2312" w:cs="仿宋_GB2312"/>
          <w:sz w:val="32"/>
          <w:szCs w:val="32"/>
        </w:rPr>
        <w:t>护航首都文旅市场高质量发展</w:t>
      </w:r>
      <w:r>
        <w:rPr>
          <w:rFonts w:hint="eastAsia" w:ascii="仿宋_GB2312" w:hAnsi="仿宋_GB2312" w:eastAsia="仿宋_GB2312" w:cs="仿宋_GB2312"/>
          <w:sz w:val="32"/>
          <w:szCs w:val="32"/>
          <w:lang w:eastAsia="zh-CN"/>
        </w:rPr>
        <w:t>，</w:t>
      </w:r>
      <w:r>
        <w:rPr>
          <w:rFonts w:hint="eastAsia" w:ascii="Times New Roman" w:hAnsi="Times New Roman" w:eastAsia="仿宋_GB2312" w:cs="宋体"/>
          <w:kern w:val="0"/>
          <w:sz w:val="32"/>
          <w:szCs w:val="32"/>
        </w:rPr>
        <w:t>市文化市场执法总队</w:t>
      </w:r>
      <w:r>
        <w:rPr>
          <w:rFonts w:hint="default" w:ascii="Times New Roman" w:hAnsi="Times New Roman" w:eastAsia="仿宋_GB2312" w:cs="仿宋_GB2312"/>
          <w:sz w:val="32"/>
          <w:szCs w:val="32"/>
          <w:lang w:val="en-US" w:eastAsia="zh-CN"/>
        </w:rPr>
        <w:t>编制了2024年工作要点</w:t>
      </w:r>
      <w:r>
        <w:rPr>
          <w:rFonts w:hint="eastAsia" w:eastAsia="仿宋_GB2312" w:cs="仿宋_GB2312"/>
          <w:sz w:val="32"/>
          <w:szCs w:val="32"/>
          <w:lang w:val="en-US" w:eastAsia="zh-CN"/>
        </w:rPr>
        <w:t>，明确了年度重点工作任务和工作方向，确保年度工作有序推进，优化内部资源配置，提高工作效率。</w:t>
      </w:r>
      <w:r>
        <w:rPr>
          <w:rFonts w:hint="default" w:eastAsia="仿宋_GB2312" w:cs="仿宋_GB2312"/>
          <w:sz w:val="32"/>
          <w:szCs w:val="32"/>
          <w:lang w:val="en-US" w:eastAsia="zh-CN"/>
        </w:rPr>
        <w:t>具体工作</w:t>
      </w:r>
      <w:r>
        <w:rPr>
          <w:rFonts w:hint="eastAsia" w:eastAsia="仿宋_GB2312" w:cs="仿宋_GB2312"/>
          <w:sz w:val="32"/>
          <w:szCs w:val="32"/>
          <w:lang w:val="en-US" w:eastAsia="zh-CN"/>
        </w:rPr>
        <w:t>内容</w:t>
      </w:r>
      <w:r>
        <w:rPr>
          <w:rFonts w:hint="default" w:eastAsia="仿宋_GB2312" w:cs="仿宋_GB2312"/>
          <w:sz w:val="32"/>
          <w:szCs w:val="32"/>
          <w:lang w:val="en-US" w:eastAsia="zh-CN"/>
        </w:rPr>
        <w:t>如下表</w:t>
      </w:r>
      <w:r>
        <w:rPr>
          <w:rFonts w:hint="eastAsia" w:eastAsia="仿宋_GB2312" w:cs="仿宋_GB2312"/>
          <w:sz w:val="32"/>
          <w:szCs w:val="32"/>
          <w:lang w:val="en-US" w:eastAsia="zh-CN"/>
        </w:rPr>
        <w:t>1</w:t>
      </w:r>
      <w:r>
        <w:rPr>
          <w:rFonts w:hint="default" w:eastAsia="仿宋_GB2312" w:cs="仿宋_GB2312"/>
          <w:sz w:val="32"/>
          <w:szCs w:val="32"/>
          <w:lang w:val="en-US" w:eastAsia="zh-CN"/>
        </w:rPr>
        <w:t>：</w:t>
      </w:r>
    </w:p>
    <w:p w14:paraId="04105B7B">
      <w:pPr>
        <w:pStyle w:val="2"/>
        <w:rPr>
          <w:rFonts w:hint="default" w:ascii="Times New Roman" w:hAnsi="Times New Roman" w:eastAsia="黑体" w:cs="Times New Roman Regular"/>
          <w:sz w:val="24"/>
          <w:szCs w:val="24"/>
          <w:highlight w:val="none"/>
        </w:rPr>
      </w:pPr>
    </w:p>
    <w:p w14:paraId="48AFE0C2">
      <w:pPr>
        <w:rPr>
          <w:rFonts w:hint="default" w:ascii="Times New Roman" w:hAnsi="Times New Roman" w:eastAsia="黑体" w:cs="Times New Roman Regular"/>
          <w:sz w:val="24"/>
          <w:szCs w:val="24"/>
          <w:highlight w:val="none"/>
        </w:rPr>
      </w:pPr>
    </w:p>
    <w:p w14:paraId="46D93936">
      <w:pPr>
        <w:pStyle w:val="2"/>
        <w:rPr>
          <w:rFonts w:hint="default" w:ascii="Times New Roman" w:hAnsi="Times New Roman" w:eastAsia="黑体" w:cs="Times New Roman Regular"/>
          <w:sz w:val="24"/>
          <w:szCs w:val="24"/>
          <w:highlight w:val="none"/>
        </w:rPr>
      </w:pPr>
    </w:p>
    <w:p w14:paraId="631B19EF">
      <w:pPr>
        <w:rPr>
          <w:rFonts w:hint="default" w:ascii="Times New Roman" w:hAnsi="Times New Roman" w:eastAsia="黑体" w:cs="Times New Roman Regular"/>
          <w:sz w:val="24"/>
          <w:szCs w:val="24"/>
          <w:highlight w:val="none"/>
        </w:rPr>
      </w:pPr>
    </w:p>
    <w:p w14:paraId="6420730D">
      <w:pPr>
        <w:pStyle w:val="2"/>
        <w:rPr>
          <w:rFonts w:hint="default" w:ascii="Times New Roman" w:hAnsi="Times New Roman" w:eastAsia="黑体" w:cs="Times New Roman Regular"/>
          <w:sz w:val="24"/>
          <w:szCs w:val="24"/>
          <w:highlight w:val="none"/>
        </w:rPr>
      </w:pPr>
    </w:p>
    <w:p w14:paraId="6FD0350C">
      <w:pPr>
        <w:rPr>
          <w:rFonts w:hint="default" w:ascii="Times New Roman" w:hAnsi="Times New Roman" w:eastAsia="黑体" w:cs="Times New Roman Regular"/>
          <w:sz w:val="24"/>
          <w:szCs w:val="24"/>
          <w:highlight w:val="none"/>
        </w:rPr>
      </w:pPr>
    </w:p>
    <w:p w14:paraId="7D9C614D">
      <w:pPr>
        <w:pStyle w:val="2"/>
        <w:rPr>
          <w:rFonts w:hint="default" w:ascii="Times New Roman" w:hAnsi="Times New Roman" w:eastAsia="黑体" w:cs="Times New Roman Regular"/>
          <w:sz w:val="24"/>
          <w:szCs w:val="24"/>
          <w:highlight w:val="none"/>
        </w:rPr>
      </w:pPr>
    </w:p>
    <w:p w14:paraId="4FA69D8E">
      <w:pPr>
        <w:rPr>
          <w:rFonts w:hint="default" w:ascii="Times New Roman" w:hAnsi="Times New Roman" w:eastAsia="黑体" w:cs="Times New Roman Regular"/>
          <w:sz w:val="24"/>
          <w:szCs w:val="24"/>
          <w:highlight w:val="none"/>
        </w:rPr>
      </w:pPr>
    </w:p>
    <w:p w14:paraId="0A70B2B6">
      <w:pPr>
        <w:pStyle w:val="2"/>
        <w:rPr>
          <w:rFonts w:hint="default" w:ascii="Times New Roman" w:hAnsi="Times New Roman" w:eastAsia="黑体" w:cs="Times New Roman Regular"/>
          <w:sz w:val="24"/>
          <w:szCs w:val="24"/>
          <w:highlight w:val="none"/>
        </w:rPr>
      </w:pPr>
    </w:p>
    <w:p w14:paraId="2DA1DADB">
      <w:pPr>
        <w:rPr>
          <w:rFonts w:hint="default" w:ascii="Times New Roman" w:hAnsi="Times New Roman" w:eastAsia="黑体" w:cs="Times New Roman Regular"/>
          <w:sz w:val="24"/>
          <w:szCs w:val="24"/>
          <w:highlight w:val="none"/>
        </w:rPr>
      </w:pPr>
    </w:p>
    <w:p w14:paraId="563682E1">
      <w:pPr>
        <w:pStyle w:val="2"/>
        <w:rPr>
          <w:rFonts w:hint="default" w:ascii="Times New Roman" w:hAnsi="Times New Roman" w:eastAsia="黑体" w:cs="Times New Roman Regular"/>
          <w:sz w:val="24"/>
          <w:szCs w:val="24"/>
          <w:highlight w:val="none"/>
        </w:rPr>
      </w:pPr>
    </w:p>
    <w:p w14:paraId="2E869352">
      <w:pPr>
        <w:rPr>
          <w:rFonts w:hint="default" w:ascii="Times New Roman" w:hAnsi="Times New Roman" w:eastAsia="黑体" w:cs="Times New Roman Regular"/>
          <w:sz w:val="24"/>
          <w:szCs w:val="24"/>
          <w:highlight w:val="none"/>
        </w:rPr>
      </w:pPr>
    </w:p>
    <w:p w14:paraId="46CB0904">
      <w:pPr>
        <w:pStyle w:val="2"/>
        <w:rPr>
          <w:rFonts w:hint="default" w:ascii="Times New Roman" w:hAnsi="Times New Roman" w:eastAsia="黑体" w:cs="Times New Roman Regular"/>
          <w:sz w:val="24"/>
          <w:szCs w:val="24"/>
          <w:highlight w:val="none"/>
        </w:rPr>
      </w:pPr>
    </w:p>
    <w:p w14:paraId="5D9C99CD">
      <w:pPr>
        <w:rPr>
          <w:rFonts w:hint="default" w:ascii="Times New Roman" w:hAnsi="Times New Roman" w:eastAsia="黑体" w:cs="Times New Roman Regular"/>
          <w:sz w:val="24"/>
          <w:szCs w:val="24"/>
          <w:highlight w:val="none"/>
        </w:rPr>
      </w:pPr>
    </w:p>
    <w:p w14:paraId="1D20B2F1">
      <w:pPr>
        <w:pStyle w:val="2"/>
        <w:rPr>
          <w:rFonts w:hint="default"/>
        </w:rPr>
      </w:pPr>
    </w:p>
    <w:p w14:paraId="42C5E173">
      <w:pPr>
        <w:spacing w:after="200" w:line="560" w:lineRule="exact"/>
        <w:ind w:firstLine="0" w:firstLineChars="0"/>
        <w:jc w:val="center"/>
        <w:rPr>
          <w:rFonts w:hint="eastAsia" w:ascii="Times New Roman" w:hAnsi="Times New Roman" w:eastAsia="黑体" w:cs="Times New Roman Regular"/>
          <w:sz w:val="24"/>
          <w:szCs w:val="24"/>
          <w:highlight w:val="none"/>
          <w:lang w:eastAsia="zh-CN"/>
        </w:rPr>
      </w:pPr>
      <w:r>
        <w:rPr>
          <w:rFonts w:hint="default" w:ascii="Times New Roman" w:hAnsi="Times New Roman" w:eastAsia="黑体" w:cs="Times New Roman Regular"/>
          <w:sz w:val="24"/>
          <w:szCs w:val="24"/>
          <w:highlight w:val="none"/>
        </w:rPr>
        <w:t xml:space="preserve">表 </w:t>
      </w:r>
      <w:r>
        <w:rPr>
          <w:rFonts w:hint="default" w:ascii="Times New Roman" w:hAnsi="Times New Roman" w:eastAsia="黑体" w:cs="Times New Roman Regular"/>
          <w:sz w:val="24"/>
          <w:szCs w:val="24"/>
          <w:highlight w:val="none"/>
        </w:rPr>
        <w:fldChar w:fldCharType="begin"/>
      </w:r>
      <w:r>
        <w:rPr>
          <w:rFonts w:hint="default" w:ascii="Times New Roman" w:hAnsi="Times New Roman" w:eastAsia="黑体" w:cs="Times New Roman Regular"/>
          <w:sz w:val="24"/>
          <w:szCs w:val="24"/>
          <w:highlight w:val="none"/>
        </w:rPr>
        <w:instrText xml:space="preserve"> SEQ 表 \* ARABIC </w:instrText>
      </w:r>
      <w:r>
        <w:rPr>
          <w:rFonts w:hint="default" w:ascii="Times New Roman" w:hAnsi="Times New Roman" w:eastAsia="黑体" w:cs="Times New Roman Regular"/>
          <w:sz w:val="24"/>
          <w:szCs w:val="24"/>
          <w:highlight w:val="none"/>
        </w:rPr>
        <w:fldChar w:fldCharType="separate"/>
      </w:r>
      <w:r>
        <w:rPr>
          <w:rFonts w:hint="default" w:ascii="Times New Roman" w:hAnsi="Times New Roman" w:eastAsia="黑体" w:cs="Times New Roman Regular"/>
          <w:sz w:val="24"/>
          <w:szCs w:val="24"/>
          <w:highlight w:val="none"/>
        </w:rPr>
        <w:t>1</w:t>
      </w:r>
      <w:r>
        <w:rPr>
          <w:rFonts w:hint="default" w:ascii="Times New Roman" w:hAnsi="Times New Roman" w:eastAsia="黑体" w:cs="Times New Roman Regular"/>
          <w:sz w:val="24"/>
          <w:szCs w:val="24"/>
          <w:highlight w:val="none"/>
        </w:rPr>
        <w:fldChar w:fldCharType="end"/>
      </w:r>
      <w:r>
        <w:rPr>
          <w:rFonts w:hint="eastAsia" w:ascii="Times New Roman" w:hAnsi="Times New Roman" w:eastAsia="黑体" w:cs="Times New Roman Regular"/>
          <w:sz w:val="24"/>
          <w:szCs w:val="24"/>
          <w:highlight w:val="none"/>
          <w:lang w:val="en-US" w:eastAsia="zh-CN"/>
        </w:rPr>
        <w:t xml:space="preserve">  </w:t>
      </w:r>
      <w:r>
        <w:rPr>
          <w:rFonts w:hint="default" w:ascii="Times New Roman" w:hAnsi="Times New Roman" w:eastAsia="黑体" w:cs="Times New Roman Regular"/>
          <w:sz w:val="24"/>
          <w:szCs w:val="24"/>
          <w:highlight w:val="none"/>
        </w:rPr>
        <w:t>202</w:t>
      </w:r>
      <w:r>
        <w:rPr>
          <w:rFonts w:hint="eastAsia" w:ascii="Times New Roman" w:hAnsi="Times New Roman" w:eastAsia="黑体" w:cs="Times New Roman Regular"/>
          <w:sz w:val="24"/>
          <w:szCs w:val="24"/>
          <w:highlight w:val="none"/>
          <w:lang w:val="en-US" w:eastAsia="zh-CN"/>
        </w:rPr>
        <w:t>4</w:t>
      </w:r>
      <w:r>
        <w:rPr>
          <w:rFonts w:hint="default" w:ascii="Times New Roman" w:hAnsi="Times New Roman" w:eastAsia="黑体" w:cs="Times New Roman Regular"/>
          <w:sz w:val="24"/>
          <w:szCs w:val="24"/>
          <w:highlight w:val="none"/>
        </w:rPr>
        <w:t>年度市</w:t>
      </w:r>
      <w:r>
        <w:rPr>
          <w:rFonts w:hint="eastAsia" w:ascii="Times New Roman" w:hAnsi="Times New Roman" w:eastAsia="黑体" w:cs="Times New Roman Regular"/>
          <w:sz w:val="24"/>
          <w:szCs w:val="24"/>
          <w:highlight w:val="none"/>
          <w:lang w:val="en-US" w:eastAsia="zh-CN"/>
        </w:rPr>
        <w:t>文化市场执法总队</w:t>
      </w:r>
      <w:r>
        <w:rPr>
          <w:rFonts w:hint="default" w:ascii="Times New Roman" w:hAnsi="Times New Roman" w:eastAsia="黑体" w:cs="Times New Roman Regular"/>
          <w:sz w:val="24"/>
          <w:szCs w:val="24"/>
          <w:highlight w:val="none"/>
        </w:rPr>
        <w:t>工作</w:t>
      </w:r>
      <w:r>
        <w:rPr>
          <w:rFonts w:hint="eastAsia" w:ascii="Times New Roman" w:hAnsi="Times New Roman" w:eastAsia="黑体" w:cs="Times New Roman Regular"/>
          <w:sz w:val="24"/>
          <w:szCs w:val="24"/>
          <w:highlight w:val="none"/>
          <w:lang w:val="en-US" w:eastAsia="zh-CN"/>
        </w:rPr>
        <w:t>要点</w:t>
      </w:r>
    </w:p>
    <w:tbl>
      <w:tblPr>
        <w:tblStyle w:val="19"/>
        <w:tblW w:w="9466" w:type="dxa"/>
        <w:tblInd w:w="-36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7"/>
        <w:gridCol w:w="1433"/>
        <w:gridCol w:w="7266"/>
      </w:tblGrid>
      <w:tr w14:paraId="7A966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767" w:type="dxa"/>
            <w:vAlign w:val="center"/>
          </w:tcPr>
          <w:p w14:paraId="63B7E4AF">
            <w:pPr>
              <w:pStyle w:val="8"/>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序号</w:t>
            </w:r>
          </w:p>
        </w:tc>
        <w:tc>
          <w:tcPr>
            <w:tcW w:w="1433" w:type="dxa"/>
            <w:vAlign w:val="center"/>
          </w:tcPr>
          <w:p w14:paraId="62C9B7A1">
            <w:pPr>
              <w:pStyle w:val="8"/>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工作任务</w:t>
            </w:r>
          </w:p>
        </w:tc>
        <w:tc>
          <w:tcPr>
            <w:tcW w:w="7266" w:type="dxa"/>
            <w:vAlign w:val="center"/>
          </w:tcPr>
          <w:p w14:paraId="52B153D3">
            <w:pPr>
              <w:pStyle w:val="8"/>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具体内容</w:t>
            </w:r>
          </w:p>
        </w:tc>
      </w:tr>
      <w:tr w14:paraId="5F06A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2" w:hRule="atLeast"/>
        </w:trPr>
        <w:tc>
          <w:tcPr>
            <w:tcW w:w="767" w:type="dxa"/>
            <w:vAlign w:val="center"/>
          </w:tcPr>
          <w:p w14:paraId="72413815">
            <w:pPr>
              <w:pStyle w:val="8"/>
              <w:keepNext w:val="0"/>
              <w:keepLines w:val="0"/>
              <w:pageBreakBefore w:val="0"/>
              <w:widowControl w:val="0"/>
              <w:kinsoku/>
              <w:wordWrap/>
              <w:overflowPunct/>
              <w:topLinePunct w:val="0"/>
              <w:autoSpaceDE/>
              <w:autoSpaceDN/>
              <w:bidi w:val="0"/>
              <w:adjustRightInd/>
              <w:snapToGrid w:val="0"/>
              <w:spacing w:line="560" w:lineRule="exact"/>
              <w:jc w:val="center"/>
              <w:textAlignment w:val="auto"/>
              <w:outlineLvl w:val="9"/>
              <w:rPr>
                <w:rFonts w:hint="eastAsia" w:ascii="Times New Roman" w:hAnsi="Times New Roman" w:eastAsia="宋体" w:cs="仿宋_GB2312"/>
                <w:sz w:val="21"/>
                <w:szCs w:val="32"/>
                <w:vertAlign w:val="baseline"/>
                <w:lang w:val="en-US" w:eastAsia="zh-CN"/>
              </w:rPr>
            </w:pPr>
            <w:r>
              <w:rPr>
                <w:rFonts w:hint="eastAsia" w:ascii="Times New Roman" w:hAnsi="Times New Roman" w:eastAsia="宋体" w:cs="仿宋_GB2312"/>
                <w:sz w:val="21"/>
                <w:szCs w:val="32"/>
                <w:vertAlign w:val="baseline"/>
                <w:lang w:val="en-US" w:eastAsia="zh-CN"/>
              </w:rPr>
              <w:t>1</w:t>
            </w:r>
          </w:p>
        </w:tc>
        <w:tc>
          <w:tcPr>
            <w:tcW w:w="1433" w:type="dxa"/>
            <w:vAlign w:val="center"/>
          </w:tcPr>
          <w:p w14:paraId="7892D9FD">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Times New Roman" w:hAnsi="Times New Roman" w:eastAsia="宋体" w:cs="楷体_GB2312"/>
                <w:sz w:val="21"/>
                <w:szCs w:val="21"/>
                <w:lang w:val="en-US" w:eastAsia="zh-CN"/>
              </w:rPr>
            </w:pPr>
            <w:r>
              <w:rPr>
                <w:rFonts w:hint="eastAsia" w:ascii="Times New Roman" w:hAnsi="Times New Roman" w:eastAsia="宋体" w:cs="楷体_GB2312"/>
                <w:sz w:val="21"/>
                <w:szCs w:val="21"/>
              </w:rPr>
              <w:t>统筹推进“五大治理”，聚力护航首都文旅事业、文旅产业高质量发展</w:t>
            </w:r>
            <w:r>
              <w:rPr>
                <w:rFonts w:hint="eastAsia" w:ascii="Times New Roman" w:hAnsi="Times New Roman" w:eastAsia="宋体" w:cs="楷体_GB2312"/>
                <w:sz w:val="21"/>
                <w:szCs w:val="21"/>
                <w:lang w:eastAsia="zh-CN"/>
              </w:rPr>
              <w:t>。</w:t>
            </w:r>
          </w:p>
          <w:p w14:paraId="6F571837">
            <w:pPr>
              <w:pStyle w:val="8"/>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Times New Roman" w:hAnsi="Times New Roman" w:eastAsia="宋体" w:cs="仿宋_GB2312"/>
                <w:sz w:val="21"/>
                <w:szCs w:val="21"/>
                <w:vertAlign w:val="baseline"/>
              </w:rPr>
            </w:pPr>
          </w:p>
        </w:tc>
        <w:tc>
          <w:tcPr>
            <w:tcW w:w="7266" w:type="dxa"/>
            <w:vAlign w:val="center"/>
          </w:tcPr>
          <w:p w14:paraId="7EC38BF2">
            <w:pPr>
              <w:numPr>
                <w:ilvl w:val="0"/>
                <w:numId w:val="0"/>
              </w:numPr>
              <w:jc w:val="both"/>
              <w:rPr>
                <w:rFonts w:hint="eastAsia" w:ascii="Times New Roman" w:hAnsi="Times New Roman" w:eastAsia="宋体" w:cs="楷体_GB2312"/>
                <w:sz w:val="21"/>
                <w:szCs w:val="21"/>
              </w:rPr>
            </w:pPr>
            <w:r>
              <w:rPr>
                <w:rFonts w:hint="eastAsia" w:ascii="Times New Roman" w:hAnsi="Times New Roman" w:cs="楷体_GB2312"/>
                <w:sz w:val="21"/>
                <w:szCs w:val="21"/>
                <w:lang w:eastAsia="zh-CN"/>
              </w:rPr>
              <w:t>（</w:t>
            </w:r>
            <w:r>
              <w:rPr>
                <w:rFonts w:hint="eastAsia" w:ascii="Times New Roman" w:hAnsi="Times New Roman" w:cs="楷体_GB2312"/>
                <w:sz w:val="21"/>
                <w:szCs w:val="21"/>
                <w:lang w:val="en-US" w:eastAsia="zh-CN"/>
              </w:rPr>
              <w:t>1</w:t>
            </w:r>
            <w:r>
              <w:rPr>
                <w:rFonts w:hint="eastAsia" w:ascii="Times New Roman" w:hAnsi="Times New Roman" w:cs="楷体_GB2312"/>
                <w:sz w:val="21"/>
                <w:szCs w:val="21"/>
                <w:lang w:eastAsia="zh-CN"/>
              </w:rPr>
              <w:t>）</w:t>
            </w:r>
            <w:r>
              <w:rPr>
                <w:rFonts w:hint="eastAsia" w:ascii="Times New Roman" w:hAnsi="Times New Roman" w:eastAsia="宋体" w:cs="楷体_GB2312"/>
                <w:sz w:val="21"/>
                <w:szCs w:val="21"/>
              </w:rPr>
              <w:t>纵深推进文娱领域综合治理。严肃整治演出市场违法乱象，联合文旅、公安等部门开展打击“黄牛”炒票专项行动，持续加大违法违规行为打击整治力度，积极探索剧本娱乐、电竞酒店等新业态执法监管</w:t>
            </w:r>
            <w:r>
              <w:rPr>
                <w:rFonts w:hint="eastAsia" w:cs="楷体_GB2312"/>
                <w:sz w:val="21"/>
                <w:szCs w:val="21"/>
                <w:lang w:eastAsia="zh-CN"/>
              </w:rPr>
              <w:t>，</w:t>
            </w:r>
            <w:r>
              <w:rPr>
                <w:rFonts w:hint="eastAsia" w:cs="楷体_GB2312"/>
                <w:sz w:val="21"/>
                <w:szCs w:val="21"/>
                <w:lang w:val="en-US" w:eastAsia="zh-CN"/>
              </w:rPr>
              <w:t>强化</w:t>
            </w:r>
            <w:r>
              <w:rPr>
                <w:rFonts w:hint="eastAsia" w:cs="楷体_GB2312"/>
                <w:sz w:val="21"/>
                <w:szCs w:val="21"/>
                <w:lang w:eastAsia="zh-CN"/>
              </w:rPr>
              <w:t>重大案事件查办</w:t>
            </w:r>
            <w:r>
              <w:rPr>
                <w:rFonts w:hint="eastAsia" w:ascii="Times New Roman" w:hAnsi="Times New Roman" w:eastAsia="宋体" w:cs="楷体_GB2312"/>
                <w:sz w:val="21"/>
                <w:szCs w:val="21"/>
              </w:rPr>
              <w:t>。</w:t>
            </w:r>
          </w:p>
          <w:p w14:paraId="44A54B6C">
            <w:pPr>
              <w:numPr>
                <w:ilvl w:val="0"/>
                <w:numId w:val="0"/>
              </w:numPr>
              <w:jc w:val="both"/>
              <w:rPr>
                <w:rFonts w:hint="default" w:ascii="Times New Roman" w:hAnsi="Times New Roman" w:eastAsia="宋体" w:cs="楷体_GB2312"/>
                <w:sz w:val="21"/>
                <w:szCs w:val="21"/>
                <w:lang w:val="en-US" w:eastAsia="zh-CN"/>
              </w:rPr>
            </w:pPr>
            <w:r>
              <w:rPr>
                <w:rFonts w:hint="eastAsia" w:ascii="Times New Roman" w:hAnsi="Times New Roman" w:eastAsia="宋体" w:cs="楷体_GB2312"/>
                <w:sz w:val="21"/>
                <w:szCs w:val="21"/>
                <w:lang w:eastAsia="zh-CN"/>
              </w:rPr>
              <w:t>（</w:t>
            </w:r>
            <w:r>
              <w:rPr>
                <w:rFonts w:hint="eastAsia" w:ascii="Times New Roman" w:hAnsi="Times New Roman" w:eastAsia="宋体" w:cs="楷体_GB2312"/>
                <w:sz w:val="21"/>
                <w:szCs w:val="21"/>
                <w:lang w:val="en-US" w:eastAsia="zh-CN"/>
              </w:rPr>
              <w:t>2</w:t>
            </w:r>
            <w:r>
              <w:rPr>
                <w:rFonts w:hint="eastAsia" w:ascii="Times New Roman" w:hAnsi="Times New Roman" w:eastAsia="宋体" w:cs="楷体_GB2312"/>
                <w:sz w:val="21"/>
                <w:szCs w:val="21"/>
                <w:lang w:eastAsia="zh-CN"/>
              </w:rPr>
              <w:t>）</w:t>
            </w:r>
            <w:r>
              <w:rPr>
                <w:rFonts w:hint="eastAsia" w:ascii="Times New Roman" w:hAnsi="Times New Roman" w:eastAsia="宋体" w:cs="楷体_GB2312"/>
                <w:sz w:val="21"/>
                <w:szCs w:val="21"/>
              </w:rPr>
              <w:t>纵深推进“扫黄打非”协同治理。用足用好京津冀执法协作机制</w:t>
            </w:r>
            <w:r>
              <w:rPr>
                <w:rFonts w:hint="eastAsia" w:cs="楷体_GB2312"/>
                <w:sz w:val="21"/>
                <w:szCs w:val="21"/>
                <w:lang w:eastAsia="zh-CN"/>
              </w:rPr>
              <w:t>，</w:t>
            </w:r>
            <w:r>
              <w:rPr>
                <w:rFonts w:hint="eastAsia" w:ascii="Times New Roman" w:hAnsi="Times New Roman" w:eastAsia="宋体" w:cs="楷体_GB2312"/>
                <w:sz w:val="21"/>
                <w:szCs w:val="21"/>
              </w:rPr>
              <w:t>强化网上书店、直播带货售书监管。抓好资质、产品、渠道检查核验，清理整治无证经营网店。强化媒体融合、院线电影、文创产品等重点领域版权监管。</w:t>
            </w:r>
          </w:p>
          <w:p w14:paraId="2A51CA48">
            <w:pPr>
              <w:numPr>
                <w:ilvl w:val="0"/>
                <w:numId w:val="0"/>
              </w:numPr>
              <w:jc w:val="both"/>
              <w:rPr>
                <w:rFonts w:hint="default" w:ascii="Times New Roman" w:hAnsi="Times New Roman" w:eastAsia="宋体" w:cs="楷体_GB2312"/>
                <w:sz w:val="21"/>
                <w:szCs w:val="21"/>
                <w:lang w:val="en-US" w:eastAsia="zh-CN"/>
              </w:rPr>
            </w:pPr>
            <w:r>
              <w:rPr>
                <w:rFonts w:hint="eastAsia" w:ascii="Times New Roman" w:hAnsi="Times New Roman" w:cs="楷体_GB2312"/>
                <w:sz w:val="21"/>
                <w:szCs w:val="21"/>
                <w:lang w:eastAsia="zh-CN"/>
              </w:rPr>
              <w:t>（</w:t>
            </w:r>
            <w:r>
              <w:rPr>
                <w:rFonts w:hint="eastAsia" w:cs="楷体_GB2312"/>
                <w:sz w:val="21"/>
                <w:szCs w:val="21"/>
                <w:lang w:val="en-US" w:eastAsia="zh-CN"/>
              </w:rPr>
              <w:t>3</w:t>
            </w:r>
            <w:r>
              <w:rPr>
                <w:rFonts w:hint="eastAsia" w:ascii="Times New Roman" w:hAnsi="Times New Roman" w:cs="楷体_GB2312"/>
                <w:sz w:val="21"/>
                <w:szCs w:val="21"/>
                <w:lang w:eastAsia="zh-CN"/>
              </w:rPr>
              <w:t>）</w:t>
            </w:r>
            <w:r>
              <w:rPr>
                <w:rFonts w:hint="eastAsia" w:ascii="Times New Roman" w:hAnsi="Times New Roman" w:eastAsia="宋体" w:cs="楷体_GB2312"/>
                <w:sz w:val="21"/>
                <w:szCs w:val="21"/>
              </w:rPr>
              <w:t>纵深推进净化未成年人网络环境专项治理。深入开展网络出版物、音视听、直播、动漫系列专项执法行动，加大未成年人沉迷网络游戏问题整治力度。</w:t>
            </w:r>
          </w:p>
          <w:p w14:paraId="3A8FDFBF">
            <w:pPr>
              <w:numPr>
                <w:ilvl w:val="0"/>
                <w:numId w:val="0"/>
              </w:numPr>
              <w:jc w:val="both"/>
              <w:rPr>
                <w:rFonts w:hint="eastAsia" w:ascii="Times New Roman" w:hAnsi="Times New Roman" w:eastAsia="宋体" w:cs="楷体_GB2312"/>
                <w:sz w:val="21"/>
                <w:szCs w:val="21"/>
              </w:rPr>
            </w:pPr>
            <w:r>
              <w:rPr>
                <w:rFonts w:hint="eastAsia" w:ascii="Times New Roman" w:hAnsi="Times New Roman" w:cs="楷体_GB2312"/>
                <w:sz w:val="21"/>
                <w:szCs w:val="21"/>
                <w:lang w:eastAsia="zh-CN"/>
              </w:rPr>
              <w:t>（</w:t>
            </w:r>
            <w:r>
              <w:rPr>
                <w:rFonts w:hint="eastAsia" w:cs="楷体_GB2312"/>
                <w:sz w:val="21"/>
                <w:szCs w:val="21"/>
                <w:lang w:val="en-US" w:eastAsia="zh-CN"/>
              </w:rPr>
              <w:t>4</w:t>
            </w:r>
            <w:r>
              <w:rPr>
                <w:rFonts w:hint="eastAsia" w:ascii="Times New Roman" w:hAnsi="Times New Roman" w:cs="楷体_GB2312"/>
                <w:sz w:val="21"/>
                <w:szCs w:val="21"/>
                <w:lang w:eastAsia="zh-CN"/>
              </w:rPr>
              <w:t>）</w:t>
            </w:r>
            <w:r>
              <w:rPr>
                <w:rFonts w:hint="eastAsia" w:ascii="Times New Roman" w:hAnsi="Times New Roman" w:eastAsia="宋体" w:cs="楷体_GB2312"/>
                <w:sz w:val="21"/>
                <w:szCs w:val="21"/>
              </w:rPr>
              <w:t>纵深推进非法“一日游”长效治理。做好“每月一题”涉旅行社专项治理。突出线上线下联合整治，加强对在线旅游平台检查巡查，重点打击虚假宣传、引流推广等6类违法行为，持续净化在线旅游市场环境。</w:t>
            </w:r>
          </w:p>
          <w:p w14:paraId="09AC14B4">
            <w:pPr>
              <w:numPr>
                <w:ilvl w:val="0"/>
                <w:numId w:val="0"/>
              </w:numPr>
              <w:jc w:val="both"/>
              <w:rPr>
                <w:rFonts w:hint="default" w:ascii="Times New Roman" w:hAnsi="Times New Roman" w:eastAsia="宋体"/>
                <w:lang w:val="en-US" w:eastAsia="zh-CN"/>
              </w:rPr>
            </w:pPr>
            <w:r>
              <w:rPr>
                <w:rFonts w:hint="eastAsia" w:ascii="Times New Roman" w:hAnsi="Times New Roman" w:cs="楷体_GB2312"/>
                <w:sz w:val="21"/>
                <w:szCs w:val="21"/>
                <w:lang w:eastAsia="zh-CN"/>
              </w:rPr>
              <w:t>（</w:t>
            </w:r>
            <w:r>
              <w:rPr>
                <w:rFonts w:hint="eastAsia" w:cs="楷体_GB2312"/>
                <w:sz w:val="21"/>
                <w:szCs w:val="21"/>
                <w:lang w:val="en-US" w:eastAsia="zh-CN"/>
              </w:rPr>
              <w:t>5</w:t>
            </w:r>
            <w:r>
              <w:rPr>
                <w:rFonts w:hint="eastAsia" w:ascii="Times New Roman" w:hAnsi="Times New Roman" w:cs="楷体_GB2312"/>
                <w:sz w:val="21"/>
                <w:szCs w:val="21"/>
                <w:lang w:eastAsia="zh-CN"/>
              </w:rPr>
              <w:t>）</w:t>
            </w:r>
            <w:r>
              <w:rPr>
                <w:rFonts w:hint="eastAsia" w:ascii="Times New Roman" w:hAnsi="Times New Roman" w:eastAsia="宋体" w:cs="楷体_GB2312"/>
                <w:sz w:val="21"/>
                <w:szCs w:val="21"/>
              </w:rPr>
              <w:t>纵深推进文物领域重点治理。加强全国重点文物保护单位执法检查力度，积极开展与文物、公安、海关等部门执法协作，打击文物市场违法违规行为。</w:t>
            </w:r>
          </w:p>
        </w:tc>
      </w:tr>
      <w:tr w14:paraId="62704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0" w:hRule="atLeast"/>
        </w:trPr>
        <w:tc>
          <w:tcPr>
            <w:tcW w:w="767" w:type="dxa"/>
            <w:vAlign w:val="center"/>
          </w:tcPr>
          <w:p w14:paraId="4C870C16">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Times New Roman" w:hAnsi="Times New Roman" w:eastAsia="宋体" w:cs="楷体_GB2312"/>
                <w:sz w:val="21"/>
                <w:szCs w:val="21"/>
                <w:lang w:val="en-US" w:eastAsia="zh-CN"/>
              </w:rPr>
            </w:pPr>
            <w:r>
              <w:rPr>
                <w:rFonts w:hint="eastAsia" w:ascii="Times New Roman" w:hAnsi="Times New Roman" w:eastAsia="宋体" w:cs="楷体_GB2312"/>
                <w:sz w:val="21"/>
                <w:szCs w:val="21"/>
                <w:lang w:val="en-US" w:eastAsia="zh-CN"/>
              </w:rPr>
              <w:t>2</w:t>
            </w:r>
          </w:p>
        </w:tc>
        <w:tc>
          <w:tcPr>
            <w:tcW w:w="1433" w:type="dxa"/>
            <w:vAlign w:val="center"/>
          </w:tcPr>
          <w:p w14:paraId="2C9ECB71">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Times New Roman" w:hAnsi="Times New Roman" w:eastAsia="宋体" w:cs="楷体_GB2312"/>
                <w:sz w:val="21"/>
                <w:szCs w:val="21"/>
              </w:rPr>
            </w:pPr>
            <w:r>
              <w:rPr>
                <w:rFonts w:hint="eastAsia" w:ascii="Times New Roman" w:hAnsi="Times New Roman" w:eastAsia="宋体" w:cs="楷体_GB2312"/>
                <w:sz w:val="21"/>
                <w:szCs w:val="21"/>
              </w:rPr>
              <w:t>着力构建“五个体系”，全面提升依法行政能力水平</w:t>
            </w:r>
            <w:r>
              <w:rPr>
                <w:rFonts w:hint="eastAsia" w:ascii="Times New Roman" w:hAnsi="Times New Roman" w:eastAsia="宋体" w:cs="楷体_GB2312"/>
                <w:sz w:val="21"/>
                <w:szCs w:val="21"/>
                <w:lang w:eastAsia="zh-CN"/>
              </w:rPr>
              <w:t>。</w:t>
            </w:r>
          </w:p>
        </w:tc>
        <w:tc>
          <w:tcPr>
            <w:tcW w:w="7266" w:type="dxa"/>
            <w:vAlign w:val="center"/>
          </w:tcPr>
          <w:p w14:paraId="3E9C771B">
            <w:pPr>
              <w:pStyle w:val="8"/>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Times New Roman" w:hAnsi="Times New Roman" w:eastAsia="宋体" w:cs="楷体_GB2312"/>
                <w:kern w:val="2"/>
                <w:sz w:val="21"/>
                <w:szCs w:val="21"/>
                <w:lang w:val="en-US" w:eastAsia="zh-CN" w:bidi="ar-SA"/>
              </w:rPr>
            </w:pPr>
            <w:r>
              <w:rPr>
                <w:rFonts w:hint="eastAsia" w:ascii="Times New Roman" w:hAnsi="Times New Roman" w:cs="楷体_GB2312"/>
                <w:sz w:val="21"/>
                <w:szCs w:val="21"/>
                <w:lang w:eastAsia="zh-CN"/>
              </w:rPr>
              <w:t>（</w:t>
            </w:r>
            <w:r>
              <w:rPr>
                <w:rFonts w:hint="eastAsia" w:ascii="Times New Roman" w:hAnsi="Times New Roman" w:cs="楷体_GB2312"/>
                <w:sz w:val="21"/>
                <w:szCs w:val="21"/>
                <w:lang w:val="en-US" w:eastAsia="zh-CN"/>
              </w:rPr>
              <w:t>1</w:t>
            </w:r>
            <w:r>
              <w:rPr>
                <w:rFonts w:hint="eastAsia" w:ascii="Times New Roman" w:hAnsi="Times New Roman" w:cs="楷体_GB2312"/>
                <w:sz w:val="21"/>
                <w:szCs w:val="21"/>
                <w:lang w:eastAsia="zh-CN"/>
              </w:rPr>
              <w:t>）</w:t>
            </w:r>
            <w:r>
              <w:rPr>
                <w:rFonts w:hint="eastAsia" w:ascii="Times New Roman" w:hAnsi="Times New Roman" w:eastAsia="宋体" w:cs="楷体_GB2312"/>
                <w:kern w:val="2"/>
                <w:sz w:val="21"/>
                <w:szCs w:val="21"/>
                <w:lang w:val="en-US" w:eastAsia="zh-CN" w:bidi="ar-SA"/>
              </w:rPr>
              <w:t>着力构建完备的执法规范体系。组织开展“案件质量大提升”活动，研究出台文化市场综合执法考核办法和执法优秀案卷评选办法，探索建立执法案卷“月互查、季评查”制度与“每周执法小提示”机制。</w:t>
            </w:r>
          </w:p>
          <w:p w14:paraId="782BE2FF">
            <w:pPr>
              <w:pStyle w:val="8"/>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Times New Roman" w:hAnsi="Times New Roman" w:eastAsia="宋体" w:cs="楷体_GB2312"/>
                <w:kern w:val="2"/>
                <w:sz w:val="21"/>
                <w:szCs w:val="21"/>
                <w:lang w:val="en-US" w:eastAsia="zh-CN" w:bidi="ar-SA"/>
              </w:rPr>
            </w:pPr>
            <w:r>
              <w:rPr>
                <w:rFonts w:hint="eastAsia" w:ascii="Times New Roman" w:hAnsi="Times New Roman" w:cs="楷体_GB2312"/>
                <w:sz w:val="21"/>
                <w:szCs w:val="21"/>
                <w:lang w:eastAsia="zh-CN"/>
              </w:rPr>
              <w:t>（</w:t>
            </w:r>
            <w:r>
              <w:rPr>
                <w:rFonts w:hint="eastAsia" w:ascii="Times New Roman" w:hAnsi="Times New Roman" w:cs="楷体_GB2312"/>
                <w:sz w:val="21"/>
                <w:szCs w:val="21"/>
                <w:lang w:val="en-US" w:eastAsia="zh-CN"/>
              </w:rPr>
              <w:t>2</w:t>
            </w:r>
            <w:r>
              <w:rPr>
                <w:rFonts w:hint="eastAsia" w:ascii="Times New Roman" w:hAnsi="Times New Roman" w:cs="楷体_GB2312"/>
                <w:sz w:val="21"/>
                <w:szCs w:val="21"/>
                <w:lang w:eastAsia="zh-CN"/>
              </w:rPr>
              <w:t>）</w:t>
            </w:r>
            <w:r>
              <w:rPr>
                <w:rFonts w:hint="eastAsia" w:ascii="Times New Roman" w:hAnsi="Times New Roman" w:eastAsia="宋体" w:cs="楷体_GB2312"/>
                <w:kern w:val="2"/>
                <w:sz w:val="21"/>
                <w:szCs w:val="21"/>
                <w:lang w:val="en-US" w:eastAsia="zh-CN" w:bidi="ar-SA"/>
              </w:rPr>
              <w:t>着力构建高效的执法实施体系。研究出台《市区两级共有职权行使划分方案》，修订《北京市文化市场案件办理实施细则》，促进文化执法成果转化。</w:t>
            </w:r>
          </w:p>
          <w:p w14:paraId="6EB1D1F4">
            <w:pPr>
              <w:pStyle w:val="8"/>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Times New Roman" w:hAnsi="Times New Roman" w:eastAsia="宋体" w:cs="楷体_GB2312"/>
                <w:kern w:val="2"/>
                <w:sz w:val="21"/>
                <w:szCs w:val="21"/>
                <w:lang w:val="en-US" w:eastAsia="zh-CN" w:bidi="ar-SA"/>
              </w:rPr>
            </w:pPr>
            <w:r>
              <w:rPr>
                <w:rFonts w:hint="eastAsia" w:ascii="Times New Roman" w:hAnsi="Times New Roman" w:cs="楷体_GB2312"/>
                <w:sz w:val="21"/>
                <w:szCs w:val="21"/>
                <w:lang w:eastAsia="zh-CN"/>
              </w:rPr>
              <w:t>（</w:t>
            </w:r>
            <w:r>
              <w:rPr>
                <w:rFonts w:hint="eastAsia" w:ascii="Times New Roman" w:hAnsi="Times New Roman" w:cs="楷体_GB2312"/>
                <w:sz w:val="21"/>
                <w:szCs w:val="21"/>
                <w:lang w:val="en-US" w:eastAsia="zh-CN"/>
              </w:rPr>
              <w:t>3</w:t>
            </w:r>
            <w:r>
              <w:rPr>
                <w:rFonts w:hint="eastAsia" w:ascii="Times New Roman" w:hAnsi="Times New Roman" w:cs="楷体_GB2312"/>
                <w:sz w:val="21"/>
                <w:szCs w:val="21"/>
                <w:lang w:eastAsia="zh-CN"/>
              </w:rPr>
              <w:t>）</w:t>
            </w:r>
            <w:r>
              <w:rPr>
                <w:rFonts w:hint="eastAsia" w:ascii="Times New Roman" w:hAnsi="Times New Roman" w:eastAsia="宋体" w:cs="楷体_GB2312"/>
                <w:kern w:val="2"/>
                <w:sz w:val="21"/>
                <w:szCs w:val="21"/>
                <w:lang w:val="en-US" w:eastAsia="zh-CN" w:bidi="ar-SA"/>
              </w:rPr>
              <w:t>着力构建严密的执法监督体系。发挥法制监督与纪检监督联动作用，组织开展执法记录仪使用、超期办案、违规撤案等专项监督。突出强化监督审核科技支撑，紧扣举报受理、线索发现、证据采集等关键环节，开展全过程监督。</w:t>
            </w:r>
          </w:p>
          <w:p w14:paraId="6BF7E98C">
            <w:pPr>
              <w:pStyle w:val="8"/>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Times New Roman" w:hAnsi="Times New Roman" w:eastAsia="宋体" w:cs="楷体_GB2312"/>
                <w:kern w:val="2"/>
                <w:sz w:val="21"/>
                <w:szCs w:val="21"/>
                <w:lang w:val="en-US" w:eastAsia="zh-CN" w:bidi="ar-SA"/>
              </w:rPr>
            </w:pPr>
            <w:r>
              <w:rPr>
                <w:rFonts w:hint="eastAsia" w:ascii="Times New Roman" w:hAnsi="Times New Roman" w:cs="楷体_GB2312"/>
                <w:sz w:val="21"/>
                <w:szCs w:val="21"/>
                <w:lang w:eastAsia="zh-CN"/>
              </w:rPr>
              <w:t>（</w:t>
            </w:r>
            <w:r>
              <w:rPr>
                <w:rFonts w:hint="eastAsia" w:ascii="Times New Roman" w:hAnsi="Times New Roman" w:cs="楷体_GB2312"/>
                <w:sz w:val="21"/>
                <w:szCs w:val="21"/>
                <w:lang w:val="en-US" w:eastAsia="zh-CN"/>
              </w:rPr>
              <w:t>4</w:t>
            </w:r>
            <w:r>
              <w:rPr>
                <w:rFonts w:hint="eastAsia" w:ascii="Times New Roman" w:hAnsi="Times New Roman" w:cs="楷体_GB2312"/>
                <w:sz w:val="21"/>
                <w:szCs w:val="21"/>
                <w:lang w:eastAsia="zh-CN"/>
              </w:rPr>
              <w:t>）</w:t>
            </w:r>
            <w:r>
              <w:rPr>
                <w:rFonts w:hint="eastAsia" w:ascii="Times New Roman" w:hAnsi="Times New Roman" w:eastAsia="宋体" w:cs="楷体_GB2312"/>
                <w:kern w:val="2"/>
                <w:sz w:val="21"/>
                <w:szCs w:val="21"/>
                <w:lang w:val="en-US" w:eastAsia="zh-CN" w:bidi="ar-SA"/>
              </w:rPr>
              <w:t>着力构建坚强的执法保障体系。深入推进智慧监管，升级文化执法信息化工作平台，建立健全行政处罚案卷电子档案。深入推进执法培训，持续加强“普训+专训+特训”依法行政能力生成体系建设。</w:t>
            </w:r>
          </w:p>
          <w:p w14:paraId="1F2BB485">
            <w:pPr>
              <w:pStyle w:val="8"/>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default"/>
                <w:lang w:val="en-US" w:eastAsia="zh-CN"/>
              </w:rPr>
            </w:pPr>
            <w:r>
              <w:rPr>
                <w:rFonts w:hint="eastAsia" w:ascii="Times New Roman" w:hAnsi="Times New Roman" w:cs="楷体_GB2312"/>
                <w:sz w:val="21"/>
                <w:szCs w:val="21"/>
                <w:lang w:eastAsia="zh-CN"/>
              </w:rPr>
              <w:t>（</w:t>
            </w:r>
            <w:r>
              <w:rPr>
                <w:rFonts w:hint="eastAsia" w:ascii="Times New Roman" w:hAnsi="Times New Roman" w:cs="楷体_GB2312"/>
                <w:sz w:val="21"/>
                <w:szCs w:val="21"/>
                <w:lang w:val="en-US" w:eastAsia="zh-CN"/>
              </w:rPr>
              <w:t>5</w:t>
            </w:r>
            <w:r>
              <w:rPr>
                <w:rFonts w:hint="eastAsia" w:ascii="Times New Roman" w:hAnsi="Times New Roman" w:cs="楷体_GB2312"/>
                <w:sz w:val="21"/>
                <w:szCs w:val="21"/>
                <w:lang w:eastAsia="zh-CN"/>
              </w:rPr>
              <w:t>）</w:t>
            </w:r>
            <w:r>
              <w:rPr>
                <w:rFonts w:hint="eastAsia" w:ascii="Times New Roman" w:hAnsi="Times New Roman" w:eastAsia="宋体" w:cs="楷体_GB2312"/>
                <w:kern w:val="2"/>
                <w:sz w:val="21"/>
                <w:szCs w:val="21"/>
                <w:lang w:val="en-US" w:eastAsia="zh-CN" w:bidi="ar-SA"/>
              </w:rPr>
              <w:t>着力构建优质的执法服务体系。全面优化营商环境，深化落实《初次违法后果轻微不予处罚实施办法》，研究出台“第三批免罚清单”。持续推动以“风险+信用”为核心的分级分类监管，积极推进非现场执法监管模式。</w:t>
            </w:r>
          </w:p>
        </w:tc>
      </w:tr>
      <w:tr w14:paraId="07D8C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1" w:hRule="atLeast"/>
        </w:trPr>
        <w:tc>
          <w:tcPr>
            <w:tcW w:w="767" w:type="dxa"/>
            <w:vAlign w:val="center"/>
          </w:tcPr>
          <w:p w14:paraId="4F53F8E2">
            <w:pPr>
              <w:pStyle w:val="8"/>
              <w:keepNext w:val="0"/>
              <w:keepLines w:val="0"/>
              <w:pageBreakBefore w:val="0"/>
              <w:widowControl w:val="0"/>
              <w:kinsoku/>
              <w:wordWrap/>
              <w:overflowPunct/>
              <w:topLinePunct w:val="0"/>
              <w:autoSpaceDE/>
              <w:autoSpaceDN/>
              <w:bidi w:val="0"/>
              <w:adjustRightInd/>
              <w:snapToGrid w:val="0"/>
              <w:spacing w:line="560" w:lineRule="exact"/>
              <w:jc w:val="center"/>
              <w:textAlignment w:val="auto"/>
              <w:outlineLvl w:val="9"/>
              <w:rPr>
                <w:rFonts w:hint="eastAsia" w:ascii="Times New Roman" w:hAnsi="Times New Roman" w:eastAsia="宋体" w:cs="楷体_GB2312"/>
                <w:kern w:val="2"/>
                <w:sz w:val="21"/>
                <w:szCs w:val="21"/>
                <w:lang w:val="en-US" w:eastAsia="zh-CN" w:bidi="ar-SA"/>
              </w:rPr>
            </w:pPr>
            <w:r>
              <w:rPr>
                <w:rFonts w:hint="eastAsia" w:ascii="Times New Roman" w:hAnsi="Times New Roman" w:eastAsia="宋体" w:cs="楷体_GB2312"/>
                <w:kern w:val="2"/>
                <w:sz w:val="21"/>
                <w:szCs w:val="21"/>
                <w:lang w:val="en-US" w:eastAsia="zh-CN" w:bidi="ar-SA"/>
              </w:rPr>
              <w:t>3</w:t>
            </w:r>
          </w:p>
        </w:tc>
        <w:tc>
          <w:tcPr>
            <w:tcW w:w="1433" w:type="dxa"/>
            <w:vAlign w:val="center"/>
          </w:tcPr>
          <w:p w14:paraId="2B0E9324">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Times New Roman" w:hAnsi="Times New Roman" w:eastAsia="宋体" w:cs="楷体_GB2312"/>
                <w:kern w:val="2"/>
                <w:sz w:val="21"/>
                <w:szCs w:val="21"/>
                <w:lang w:val="en-US" w:eastAsia="zh-CN" w:bidi="ar-SA"/>
              </w:rPr>
            </w:pPr>
            <w:r>
              <w:rPr>
                <w:rFonts w:hint="eastAsia" w:ascii="Times New Roman" w:hAnsi="Times New Roman" w:eastAsia="宋体" w:cs="楷体_GB2312"/>
                <w:kern w:val="2"/>
                <w:sz w:val="21"/>
                <w:szCs w:val="21"/>
                <w:lang w:val="en-US" w:eastAsia="zh-CN" w:bidi="ar-SA"/>
              </w:rPr>
              <w:t>突出强化“五个赋能”，一体推进全面从严管党治队</w:t>
            </w:r>
            <w:r>
              <w:rPr>
                <w:rFonts w:hint="eastAsia" w:ascii="Times New Roman" w:hAnsi="Times New Roman" w:cs="楷体_GB2312"/>
                <w:kern w:val="2"/>
                <w:sz w:val="21"/>
                <w:szCs w:val="21"/>
                <w:lang w:val="en-US" w:eastAsia="zh-CN" w:bidi="ar-SA"/>
              </w:rPr>
              <w:t>。</w:t>
            </w:r>
          </w:p>
          <w:p w14:paraId="6F2AC97D">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Times New Roman" w:hAnsi="Times New Roman" w:eastAsia="宋体" w:cs="楷体_GB2312"/>
                <w:kern w:val="2"/>
                <w:sz w:val="21"/>
                <w:szCs w:val="21"/>
                <w:lang w:val="en-US" w:eastAsia="zh-CN" w:bidi="ar-SA"/>
              </w:rPr>
            </w:pPr>
          </w:p>
        </w:tc>
        <w:tc>
          <w:tcPr>
            <w:tcW w:w="7266" w:type="dxa"/>
            <w:vAlign w:val="center"/>
          </w:tcPr>
          <w:p w14:paraId="24408744">
            <w:pPr>
              <w:keepNext w:val="0"/>
              <w:keepLines w:val="0"/>
              <w:pageBreakBefore w:val="0"/>
              <w:widowControl w:val="0"/>
              <w:numPr>
                <w:ilvl w:val="0"/>
                <w:numId w:val="1"/>
              </w:numPr>
              <w:kinsoku/>
              <w:wordWrap/>
              <w:overflowPunct/>
              <w:topLinePunct w:val="0"/>
              <w:autoSpaceDE/>
              <w:autoSpaceDN/>
              <w:bidi w:val="0"/>
              <w:adjustRightInd/>
              <w:spacing w:line="240" w:lineRule="auto"/>
              <w:jc w:val="both"/>
              <w:textAlignment w:val="auto"/>
              <w:rPr>
                <w:rFonts w:hint="eastAsia" w:ascii="Times New Roman" w:hAnsi="Times New Roman" w:eastAsia="宋体" w:cs="楷体_GB2312"/>
                <w:sz w:val="21"/>
                <w:szCs w:val="21"/>
                <w:lang w:val="en-US" w:eastAsia="zh-CN"/>
              </w:rPr>
            </w:pPr>
            <w:r>
              <w:rPr>
                <w:rFonts w:hint="eastAsia" w:ascii="Times New Roman" w:hAnsi="Times New Roman" w:eastAsia="宋体" w:cs="楷体_GB2312"/>
                <w:sz w:val="21"/>
                <w:szCs w:val="21"/>
                <w:lang w:val="en-US" w:eastAsia="zh-CN"/>
              </w:rPr>
              <w:t>深化学习赋能。严格落实总队党委会“第一议题”制度，巩固深化“五个一”党建品牌经验成果。活化运用“书记开讲啦”“学习微党课”等总队学习平台，推动党的创新理论学习、“五史”学习一体贯通、引领实践。</w:t>
            </w:r>
          </w:p>
          <w:p w14:paraId="040CAB6D">
            <w:pPr>
              <w:keepNext w:val="0"/>
              <w:keepLines w:val="0"/>
              <w:pageBreakBefore w:val="0"/>
              <w:widowControl w:val="0"/>
              <w:numPr>
                <w:ilvl w:val="0"/>
                <w:numId w:val="1"/>
              </w:numPr>
              <w:kinsoku/>
              <w:wordWrap/>
              <w:overflowPunct/>
              <w:topLinePunct w:val="0"/>
              <w:autoSpaceDE/>
              <w:autoSpaceDN/>
              <w:bidi w:val="0"/>
              <w:adjustRightInd/>
              <w:spacing w:line="240" w:lineRule="auto"/>
              <w:jc w:val="both"/>
              <w:textAlignment w:val="auto"/>
              <w:rPr>
                <w:rFonts w:hint="eastAsia" w:ascii="Times New Roman" w:hAnsi="Times New Roman" w:eastAsia="宋体" w:cs="楷体_GB2312"/>
                <w:sz w:val="21"/>
                <w:szCs w:val="21"/>
                <w:lang w:val="en-US" w:eastAsia="zh-CN"/>
              </w:rPr>
            </w:pPr>
            <w:r>
              <w:rPr>
                <w:rFonts w:hint="eastAsia" w:ascii="Times New Roman" w:hAnsi="Times New Roman" w:eastAsia="宋体" w:cs="楷体_GB2312"/>
                <w:sz w:val="21"/>
                <w:szCs w:val="21"/>
                <w:lang w:val="en-US" w:eastAsia="zh-CN"/>
              </w:rPr>
              <w:t>深化制度赋能。完善两委委员联系支部工作机制。严格落实“三会一课”等党建工作制度机制。</w:t>
            </w:r>
          </w:p>
          <w:p w14:paraId="456FC09E">
            <w:pPr>
              <w:keepNext w:val="0"/>
              <w:keepLines w:val="0"/>
              <w:pageBreakBefore w:val="0"/>
              <w:widowControl w:val="0"/>
              <w:numPr>
                <w:ilvl w:val="0"/>
                <w:numId w:val="1"/>
              </w:numPr>
              <w:kinsoku/>
              <w:wordWrap/>
              <w:overflowPunct/>
              <w:topLinePunct w:val="0"/>
              <w:autoSpaceDE/>
              <w:autoSpaceDN/>
              <w:bidi w:val="0"/>
              <w:adjustRightInd/>
              <w:spacing w:line="240" w:lineRule="auto"/>
              <w:jc w:val="both"/>
              <w:textAlignment w:val="auto"/>
              <w:rPr>
                <w:rFonts w:hint="eastAsia" w:ascii="Times New Roman" w:hAnsi="Times New Roman" w:eastAsia="宋体" w:cs="楷体_GB2312"/>
                <w:sz w:val="21"/>
                <w:szCs w:val="21"/>
                <w:lang w:val="en-US" w:eastAsia="zh-CN"/>
              </w:rPr>
            </w:pPr>
            <w:r>
              <w:rPr>
                <w:rFonts w:hint="eastAsia" w:ascii="Times New Roman" w:hAnsi="Times New Roman" w:eastAsia="宋体" w:cs="楷体_GB2312"/>
                <w:sz w:val="21"/>
                <w:szCs w:val="21"/>
                <w:lang w:val="en-US" w:eastAsia="zh-CN"/>
              </w:rPr>
              <w:t>深化组织赋能。动态调整2024版“优秀年轻干部人才库”，开办第三期“优秀年轻干部</w:t>
            </w:r>
            <w:r>
              <w:rPr>
                <w:rFonts w:hint="eastAsia" w:ascii="Times New Roman" w:hAnsi="Times New Roman" w:cs="楷体_GB2312"/>
                <w:sz w:val="21"/>
                <w:szCs w:val="21"/>
                <w:lang w:val="en-US" w:eastAsia="zh-CN"/>
              </w:rPr>
              <w:t>培训</w:t>
            </w:r>
            <w:r>
              <w:rPr>
                <w:rFonts w:hint="eastAsia" w:ascii="Times New Roman" w:hAnsi="Times New Roman" w:eastAsia="宋体" w:cs="楷体_GB2312"/>
                <w:sz w:val="21"/>
                <w:szCs w:val="21"/>
                <w:lang w:val="en-US" w:eastAsia="zh-CN"/>
              </w:rPr>
              <w:t>班”。深化基层综合执法改革，加强基层执法队伍规范化</w:t>
            </w:r>
            <w:r>
              <w:rPr>
                <w:rFonts w:hint="eastAsia" w:ascii="Times New Roman" w:hAnsi="Times New Roman" w:cs="楷体_GB2312"/>
                <w:sz w:val="21"/>
                <w:szCs w:val="21"/>
                <w:lang w:val="en-US" w:eastAsia="zh-CN"/>
              </w:rPr>
              <w:t>。</w:t>
            </w:r>
          </w:p>
          <w:p w14:paraId="05892E28">
            <w:pPr>
              <w:keepNext w:val="0"/>
              <w:keepLines w:val="0"/>
              <w:pageBreakBefore w:val="0"/>
              <w:widowControl w:val="0"/>
              <w:numPr>
                <w:ilvl w:val="0"/>
                <w:numId w:val="1"/>
              </w:numPr>
              <w:kinsoku/>
              <w:wordWrap/>
              <w:overflowPunct/>
              <w:topLinePunct w:val="0"/>
              <w:autoSpaceDE/>
              <w:autoSpaceDN/>
              <w:bidi w:val="0"/>
              <w:adjustRightInd/>
              <w:spacing w:line="240" w:lineRule="auto"/>
              <w:jc w:val="both"/>
              <w:textAlignment w:val="auto"/>
              <w:rPr>
                <w:rFonts w:hint="eastAsia" w:ascii="Times New Roman" w:hAnsi="Times New Roman" w:eastAsia="宋体" w:cs="楷体_GB2312"/>
                <w:sz w:val="21"/>
                <w:szCs w:val="21"/>
                <w:lang w:val="en-US" w:eastAsia="zh-CN"/>
              </w:rPr>
            </w:pPr>
            <w:r>
              <w:rPr>
                <w:rFonts w:hint="eastAsia" w:ascii="Times New Roman" w:hAnsi="Times New Roman" w:eastAsia="宋体" w:cs="楷体_GB2312"/>
                <w:sz w:val="21"/>
                <w:szCs w:val="21"/>
                <w:lang w:val="en-US" w:eastAsia="zh-CN"/>
              </w:rPr>
              <w:t>深化作风赋能。落实市纪委“两个清单”，深化“能力作风提升年”成果，开展“以案为鉴、以案促改”警示教育，组织文化执法综合大练兵活动。</w:t>
            </w:r>
          </w:p>
          <w:p w14:paraId="447ACBBF">
            <w:pPr>
              <w:keepNext w:val="0"/>
              <w:keepLines w:val="0"/>
              <w:pageBreakBefore w:val="0"/>
              <w:widowControl w:val="0"/>
              <w:numPr>
                <w:ilvl w:val="0"/>
                <w:numId w:val="1"/>
              </w:numPr>
              <w:kinsoku/>
              <w:wordWrap/>
              <w:overflowPunct/>
              <w:topLinePunct w:val="0"/>
              <w:autoSpaceDE/>
              <w:autoSpaceDN/>
              <w:bidi w:val="0"/>
              <w:adjustRightInd/>
              <w:spacing w:line="240" w:lineRule="auto"/>
              <w:jc w:val="both"/>
              <w:textAlignment w:val="auto"/>
              <w:rPr>
                <w:rFonts w:hint="eastAsia" w:ascii="Times New Roman" w:hAnsi="Times New Roman" w:eastAsia="宋体" w:cs="楷体_GB2312"/>
                <w:sz w:val="21"/>
                <w:szCs w:val="21"/>
              </w:rPr>
            </w:pPr>
            <w:r>
              <w:rPr>
                <w:rFonts w:hint="eastAsia" w:ascii="Times New Roman" w:hAnsi="Times New Roman" w:eastAsia="宋体" w:cs="楷体_GB2312"/>
                <w:sz w:val="21"/>
                <w:szCs w:val="21"/>
                <w:lang w:val="en-US" w:eastAsia="zh-CN"/>
              </w:rPr>
              <w:t>深化文化赋能。开展“学文化思想、铸文化铁军、担文化使命”系列主题活动，开办“文化铁军”大讲堂，汇聚打造全面过硬首都文化铁军精神力量</w:t>
            </w:r>
            <w:r>
              <w:rPr>
                <w:rFonts w:hint="eastAsia" w:ascii="Times New Roman" w:hAnsi="Times New Roman" w:cs="楷体_GB2312"/>
                <w:sz w:val="21"/>
                <w:szCs w:val="21"/>
                <w:lang w:val="en-US" w:eastAsia="zh-CN"/>
              </w:rPr>
              <w:t>，开展</w:t>
            </w:r>
            <w:r>
              <w:rPr>
                <w:rFonts w:hint="eastAsia" w:ascii="Times New Roman" w:hAnsi="Times New Roman" w:eastAsia="宋体" w:cs="楷体_GB2312"/>
                <w:sz w:val="21"/>
                <w:szCs w:val="21"/>
                <w:lang w:val="en-US" w:eastAsia="zh-CN"/>
              </w:rPr>
              <w:t>文化市场综合执法宣传</w:t>
            </w:r>
            <w:r>
              <w:rPr>
                <w:rFonts w:hint="eastAsia" w:ascii="Times New Roman" w:hAnsi="Times New Roman" w:cs="楷体_GB2312"/>
                <w:sz w:val="21"/>
                <w:szCs w:val="21"/>
                <w:lang w:val="en-US" w:eastAsia="zh-CN"/>
              </w:rPr>
              <w:t>。</w:t>
            </w:r>
          </w:p>
        </w:tc>
      </w:tr>
      <w:tr w14:paraId="56060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7" w:type="dxa"/>
            <w:vAlign w:val="center"/>
          </w:tcPr>
          <w:p w14:paraId="46058E68">
            <w:pPr>
              <w:pStyle w:val="8"/>
              <w:keepNext w:val="0"/>
              <w:keepLines w:val="0"/>
              <w:pageBreakBefore w:val="0"/>
              <w:widowControl w:val="0"/>
              <w:kinsoku/>
              <w:wordWrap/>
              <w:overflowPunct/>
              <w:topLinePunct w:val="0"/>
              <w:autoSpaceDE/>
              <w:autoSpaceDN/>
              <w:bidi w:val="0"/>
              <w:adjustRightInd/>
              <w:snapToGrid w:val="0"/>
              <w:spacing w:line="560" w:lineRule="exact"/>
              <w:jc w:val="center"/>
              <w:textAlignment w:val="auto"/>
              <w:outlineLvl w:val="9"/>
              <w:rPr>
                <w:rFonts w:hint="eastAsia" w:ascii="Times New Roman" w:hAnsi="Times New Roman" w:eastAsia="宋体" w:cs="楷体_GB2312"/>
                <w:kern w:val="2"/>
                <w:sz w:val="21"/>
                <w:szCs w:val="21"/>
                <w:lang w:val="en-US" w:eastAsia="zh-CN" w:bidi="ar-SA"/>
              </w:rPr>
            </w:pPr>
            <w:r>
              <w:rPr>
                <w:rFonts w:hint="eastAsia" w:ascii="Times New Roman" w:hAnsi="Times New Roman" w:eastAsia="宋体" w:cs="楷体_GB2312"/>
                <w:kern w:val="2"/>
                <w:sz w:val="21"/>
                <w:szCs w:val="21"/>
                <w:lang w:val="en-US" w:eastAsia="zh-CN" w:bidi="ar-SA"/>
              </w:rPr>
              <w:t>4</w:t>
            </w:r>
          </w:p>
        </w:tc>
        <w:tc>
          <w:tcPr>
            <w:tcW w:w="1433" w:type="dxa"/>
            <w:vAlign w:val="center"/>
          </w:tcPr>
          <w:p w14:paraId="0EEAB28B">
            <w:pPr>
              <w:keepNext w:val="0"/>
              <w:keepLines w:val="0"/>
              <w:pageBreakBefore w:val="0"/>
              <w:widowControl w:val="0"/>
              <w:kinsoku/>
              <w:wordWrap/>
              <w:overflowPunct/>
              <w:topLinePunct w:val="0"/>
              <w:autoSpaceDE/>
              <w:autoSpaceDN/>
              <w:bidi w:val="0"/>
              <w:adjustRightInd/>
              <w:spacing w:line="240" w:lineRule="auto"/>
              <w:jc w:val="both"/>
              <w:textAlignment w:val="auto"/>
              <w:rPr>
                <w:rFonts w:hint="eastAsia" w:ascii="Times New Roman" w:hAnsi="Times New Roman" w:eastAsia="宋体" w:cs="楷体_GB2312"/>
                <w:kern w:val="2"/>
                <w:sz w:val="21"/>
                <w:szCs w:val="21"/>
                <w:lang w:val="en-US" w:eastAsia="zh-CN" w:bidi="ar-SA"/>
              </w:rPr>
            </w:pPr>
            <w:r>
              <w:rPr>
                <w:rFonts w:hint="eastAsia" w:ascii="Times New Roman" w:hAnsi="Times New Roman" w:eastAsia="宋体" w:cs="楷体_GB2312"/>
                <w:kern w:val="2"/>
                <w:sz w:val="21"/>
                <w:szCs w:val="21"/>
                <w:lang w:val="en-US" w:eastAsia="zh-CN" w:bidi="ar-SA"/>
              </w:rPr>
              <w:t>牢牢把握“五条路径”，持续深化政治思维与法治思维相统一的执法理念</w:t>
            </w:r>
            <w:r>
              <w:rPr>
                <w:rFonts w:hint="eastAsia" w:ascii="Times New Roman" w:hAnsi="Times New Roman" w:cs="楷体_GB2312"/>
                <w:kern w:val="2"/>
                <w:sz w:val="21"/>
                <w:szCs w:val="21"/>
                <w:lang w:val="en-US" w:eastAsia="zh-CN" w:bidi="ar-SA"/>
              </w:rPr>
              <w:t>。</w:t>
            </w:r>
          </w:p>
          <w:p w14:paraId="5F137F2D">
            <w:pPr>
              <w:pStyle w:val="8"/>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Times New Roman" w:hAnsi="Times New Roman" w:eastAsia="宋体" w:cs="楷体_GB2312"/>
                <w:kern w:val="2"/>
                <w:sz w:val="21"/>
                <w:szCs w:val="21"/>
                <w:lang w:val="en-US" w:eastAsia="zh-CN" w:bidi="ar-SA"/>
              </w:rPr>
            </w:pPr>
          </w:p>
        </w:tc>
        <w:tc>
          <w:tcPr>
            <w:tcW w:w="7266" w:type="dxa"/>
            <w:vAlign w:val="center"/>
          </w:tcPr>
          <w:p w14:paraId="21FB04A5">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0" w:firstLineChars="0"/>
              <w:jc w:val="both"/>
              <w:textAlignment w:val="auto"/>
              <w:rPr>
                <w:rFonts w:hint="eastAsia" w:ascii="Times New Roman" w:hAnsi="Times New Roman" w:eastAsia="宋体" w:cs="楷体_GB2312"/>
                <w:kern w:val="2"/>
                <w:sz w:val="21"/>
                <w:szCs w:val="21"/>
                <w:lang w:val="en-US" w:eastAsia="zh-CN" w:bidi="ar-SA"/>
              </w:rPr>
            </w:pPr>
            <w:r>
              <w:rPr>
                <w:rFonts w:hint="eastAsia" w:ascii="Times New Roman" w:hAnsi="Times New Roman" w:eastAsia="宋体" w:cs="楷体_GB2312"/>
                <w:kern w:val="2"/>
                <w:sz w:val="21"/>
                <w:szCs w:val="21"/>
                <w:lang w:val="en-US" w:eastAsia="zh-CN" w:bidi="ar-SA"/>
              </w:rPr>
              <w:t>坚持以习近平文化思想为根本遵循，突出学深悟透重要思想的“十一个方面重大创新观点”和“十六个方面重大战略部署”，及时跟进学习总书记关于宣传思想文化工作的新思想新观点新论断。</w:t>
            </w:r>
          </w:p>
          <w:p w14:paraId="537084E8">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0" w:firstLineChars="0"/>
              <w:jc w:val="both"/>
              <w:textAlignment w:val="auto"/>
              <w:rPr>
                <w:rFonts w:hint="eastAsia" w:ascii="Times New Roman" w:hAnsi="Times New Roman" w:eastAsia="宋体" w:cs="楷体_GB2312"/>
                <w:kern w:val="2"/>
                <w:sz w:val="21"/>
                <w:szCs w:val="21"/>
                <w:lang w:val="en-US" w:eastAsia="zh-CN" w:bidi="ar-SA"/>
              </w:rPr>
            </w:pPr>
            <w:r>
              <w:rPr>
                <w:rFonts w:hint="eastAsia" w:ascii="Times New Roman" w:hAnsi="Times New Roman" w:eastAsia="宋体" w:cs="楷体_GB2312"/>
                <w:kern w:val="2"/>
                <w:sz w:val="21"/>
                <w:szCs w:val="21"/>
                <w:lang w:val="en-US" w:eastAsia="zh-CN" w:bidi="ar-SA"/>
              </w:rPr>
              <w:t>忠诚捍卫“两个确立”、忠实践行“两个维护”统揽首都文化执法工作全过程、全环节。</w:t>
            </w:r>
          </w:p>
          <w:p w14:paraId="5B877605">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0" w:firstLineChars="0"/>
              <w:jc w:val="both"/>
              <w:textAlignment w:val="auto"/>
              <w:rPr>
                <w:rFonts w:hint="eastAsia" w:ascii="Times New Roman" w:hAnsi="Times New Roman" w:eastAsia="宋体" w:cs="楷体_GB2312"/>
                <w:kern w:val="2"/>
                <w:sz w:val="21"/>
                <w:szCs w:val="21"/>
                <w:lang w:val="en-US" w:eastAsia="zh-CN" w:bidi="ar-SA"/>
              </w:rPr>
            </w:pPr>
            <w:r>
              <w:rPr>
                <w:rFonts w:hint="eastAsia" w:ascii="Times New Roman" w:hAnsi="Times New Roman" w:eastAsia="宋体" w:cs="楷体_GB2312"/>
                <w:kern w:val="2"/>
                <w:sz w:val="21"/>
                <w:szCs w:val="21"/>
                <w:lang w:val="en-US" w:eastAsia="zh-CN" w:bidi="ar-SA"/>
              </w:rPr>
              <w:t>在深钻细研重大典型案件中强能力。全面理解并锤炼“敏感、预判、决断”首都文化执法三项基本功，努力把案件办出亮点、办成精品、办成“铁案”。</w:t>
            </w:r>
          </w:p>
          <w:p w14:paraId="3D139B10">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0" w:firstLineChars="0"/>
              <w:jc w:val="both"/>
              <w:textAlignment w:val="auto"/>
              <w:rPr>
                <w:rFonts w:hint="eastAsia" w:ascii="Times New Roman" w:hAnsi="Times New Roman" w:eastAsia="宋体" w:cs="楷体_GB2312"/>
                <w:kern w:val="2"/>
                <w:sz w:val="21"/>
                <w:szCs w:val="21"/>
                <w:lang w:val="en-US" w:eastAsia="zh-CN" w:bidi="ar-SA"/>
              </w:rPr>
            </w:pPr>
            <w:r>
              <w:rPr>
                <w:rFonts w:hint="eastAsia" w:ascii="Times New Roman" w:hAnsi="Times New Roman" w:eastAsia="宋体" w:cs="楷体_GB2312"/>
                <w:kern w:val="2"/>
                <w:sz w:val="21"/>
                <w:szCs w:val="21"/>
                <w:lang w:val="en-US" w:eastAsia="zh-CN" w:bidi="ar-SA"/>
              </w:rPr>
              <w:t>在深入开展文化市场调查研究中明思路。紧盯制约提升执法质效的矛盾问题、新科技新业态带来的监管难题，推进“高质量执法”调研工作走深走实。</w:t>
            </w:r>
          </w:p>
          <w:p w14:paraId="0DAD1422">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0" w:firstLineChars="0"/>
              <w:jc w:val="both"/>
              <w:textAlignment w:val="auto"/>
              <w:rPr>
                <w:rFonts w:hint="eastAsia" w:ascii="Times New Roman" w:hAnsi="Times New Roman" w:eastAsia="宋体" w:cs="楷体_GB2312"/>
                <w:kern w:val="2"/>
                <w:sz w:val="21"/>
                <w:szCs w:val="21"/>
                <w:lang w:val="en-US" w:eastAsia="zh-CN" w:bidi="ar-SA"/>
              </w:rPr>
            </w:pPr>
            <w:r>
              <w:rPr>
                <w:rFonts w:hint="eastAsia" w:ascii="Times New Roman" w:hAnsi="Times New Roman" w:eastAsia="宋体" w:cs="楷体_GB2312"/>
                <w:kern w:val="2"/>
                <w:sz w:val="21"/>
                <w:szCs w:val="21"/>
                <w:lang w:val="en-US" w:eastAsia="zh-CN" w:bidi="ar-SA"/>
              </w:rPr>
              <w:t>在深挖细究行业风险隐患中谋主动。健全完善意识形态风险专期研判、重大时间节点专题研判、重点难点热点问题专项研判的“三专”系统研判机制。</w:t>
            </w:r>
          </w:p>
          <w:p w14:paraId="25BD231C">
            <w:pPr>
              <w:jc w:val="both"/>
              <w:rPr>
                <w:rFonts w:hint="eastAsia" w:ascii="Times New Roman" w:hAnsi="Times New Roman" w:eastAsia="宋体" w:cs="楷体_GB2312"/>
                <w:sz w:val="21"/>
                <w:szCs w:val="21"/>
                <w:vertAlign w:val="baseline"/>
              </w:rPr>
            </w:pPr>
          </w:p>
        </w:tc>
      </w:tr>
    </w:tbl>
    <w:p w14:paraId="068524EB">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1"/>
        <w:rPr>
          <w:rFonts w:ascii="Times New Roman" w:hAnsi="Times New Roman" w:eastAsia="楷体_GB2312"/>
          <w:sz w:val="32"/>
          <w:szCs w:val="32"/>
        </w:rPr>
      </w:pPr>
      <w:r>
        <w:rPr>
          <w:rFonts w:hint="eastAsia" w:ascii="Times New Roman" w:hAnsi="Times New Roman" w:eastAsia="楷体_GB2312"/>
          <w:sz w:val="32"/>
          <w:szCs w:val="32"/>
        </w:rPr>
        <w:t>（二）部门整体绩效目标设立情况</w:t>
      </w:r>
      <w:bookmarkEnd w:id="7"/>
      <w:bookmarkEnd w:id="8"/>
    </w:p>
    <w:p w14:paraId="719ABC47">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市文化市场执法总队依据202</w:t>
      </w:r>
      <w:r>
        <w:rPr>
          <w:rFonts w:hint="eastAsia" w:ascii="Times New Roman" w:hAnsi="Times New Roman" w:eastAsia="仿宋_GB2312" w:cs="仿宋_GB2312"/>
          <w:sz w:val="32"/>
          <w:szCs w:val="32"/>
          <w:lang w:val="en-US" w:eastAsia="zh-CN"/>
        </w:rPr>
        <w:t>4</w:t>
      </w:r>
      <w:r>
        <w:rPr>
          <w:rFonts w:hint="eastAsia" w:ascii="Times New Roman" w:hAnsi="Times New Roman" w:eastAsia="仿宋_GB2312" w:cs="仿宋_GB2312"/>
          <w:sz w:val="32"/>
          <w:szCs w:val="32"/>
        </w:rPr>
        <w:t>年工作任务设立绩效目标，制定了《北京市文化市场综合执法总队202</w:t>
      </w:r>
      <w:r>
        <w:rPr>
          <w:rFonts w:hint="eastAsia" w:ascii="Times New Roman" w:hAnsi="Times New Roman" w:eastAsia="仿宋_GB2312" w:cs="仿宋_GB2312"/>
          <w:sz w:val="32"/>
          <w:szCs w:val="32"/>
          <w:lang w:val="en-US" w:eastAsia="zh-CN"/>
        </w:rPr>
        <w:t>4</w:t>
      </w:r>
      <w:r>
        <w:rPr>
          <w:rFonts w:hint="eastAsia" w:ascii="Times New Roman" w:hAnsi="Times New Roman" w:eastAsia="仿宋_GB2312" w:cs="仿宋_GB2312"/>
          <w:sz w:val="32"/>
          <w:szCs w:val="32"/>
        </w:rPr>
        <w:t>年部门整体支出绩效目标申报表》，明确了部门总体绩效目标：全面深化执法改革工作，不断推进文化执法专业化、规范化、现代化建设，履职效率、管理效能和服务效果进一步提升，有力维护首都文化安全，规范首都文化市场秩序，净化文化市场环境，确保文化市场健康有序、安全稳定。</w:t>
      </w:r>
    </w:p>
    <w:p w14:paraId="5C1017CA">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根据部门职责和年度主要工作任务，市文化市场执法总队对总体目标进行细化分解，设定了相应的绩效指标。指标设定与市文化市场执法总队职能任务匹配，符合相关法律法规的要求及部门整体支出的客观实际，目标依据充分，具有一定的可操作性和可实现性。</w:t>
      </w:r>
    </w:p>
    <w:p w14:paraId="706D9352">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0"/>
        <w:rPr>
          <w:rFonts w:hint="eastAsia" w:ascii="Times New Roman" w:hAnsi="Times New Roman" w:eastAsia="黑体" w:cs="宋体"/>
          <w:color w:val="000000"/>
          <w:kern w:val="0"/>
          <w:sz w:val="32"/>
          <w:szCs w:val="32"/>
        </w:rPr>
      </w:pPr>
      <w:bookmarkStart w:id="9" w:name="_Toc3522"/>
      <w:bookmarkStart w:id="10" w:name="_Toc165913330"/>
      <w:r>
        <w:rPr>
          <w:rFonts w:hint="eastAsia" w:ascii="Times New Roman" w:hAnsi="Times New Roman" w:eastAsia="黑体" w:cs="宋体"/>
          <w:color w:val="000000"/>
          <w:kern w:val="0"/>
          <w:sz w:val="32"/>
          <w:szCs w:val="32"/>
        </w:rPr>
        <w:t>二</w:t>
      </w:r>
      <w:r>
        <w:rPr>
          <w:rFonts w:ascii="Times New Roman" w:hAnsi="Times New Roman" w:eastAsia="黑体" w:cs="宋体"/>
          <w:color w:val="000000"/>
          <w:kern w:val="0"/>
          <w:sz w:val="32"/>
          <w:szCs w:val="32"/>
        </w:rPr>
        <w:t>、</w:t>
      </w:r>
      <w:r>
        <w:rPr>
          <w:rFonts w:hint="eastAsia" w:ascii="Times New Roman" w:hAnsi="Times New Roman" w:eastAsia="黑体" w:cs="宋体"/>
          <w:color w:val="000000"/>
          <w:kern w:val="0"/>
          <w:sz w:val="32"/>
          <w:szCs w:val="32"/>
        </w:rPr>
        <w:t>当年</w:t>
      </w:r>
      <w:r>
        <w:rPr>
          <w:rFonts w:ascii="Times New Roman" w:hAnsi="Times New Roman" w:eastAsia="黑体" w:cs="宋体"/>
          <w:color w:val="000000"/>
          <w:kern w:val="0"/>
          <w:sz w:val="32"/>
          <w:szCs w:val="32"/>
        </w:rPr>
        <w:t>预算执行情况</w:t>
      </w:r>
      <w:bookmarkEnd w:id="9"/>
      <w:bookmarkEnd w:id="10"/>
    </w:p>
    <w:p w14:paraId="36B9A30E">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kern w:val="0"/>
          <w:sz w:val="32"/>
          <w:szCs w:val="32"/>
        </w:rPr>
        <w:t>202</w:t>
      </w:r>
      <w:r>
        <w:rPr>
          <w:rFonts w:hint="eastAsia" w:ascii="Times New Roman" w:hAnsi="Times New Roman" w:eastAsia="仿宋_GB2312" w:cs="宋体"/>
          <w:kern w:val="0"/>
          <w:sz w:val="32"/>
          <w:szCs w:val="32"/>
          <w:lang w:val="en-US" w:eastAsia="zh-CN"/>
        </w:rPr>
        <w:t>4</w:t>
      </w:r>
      <w:r>
        <w:rPr>
          <w:rFonts w:hint="eastAsia" w:ascii="Times New Roman" w:hAnsi="Times New Roman" w:eastAsia="仿宋_GB2312" w:cs="宋体"/>
          <w:color w:val="000000"/>
          <w:kern w:val="0"/>
          <w:sz w:val="32"/>
          <w:szCs w:val="32"/>
        </w:rPr>
        <w:t>年市文化市场</w:t>
      </w:r>
      <w:r>
        <w:rPr>
          <w:rFonts w:hint="eastAsia" w:ascii="Times New Roman" w:hAnsi="Times New Roman" w:eastAsia="仿宋_GB2312" w:cs="宋体"/>
          <w:kern w:val="0"/>
          <w:sz w:val="32"/>
          <w:szCs w:val="32"/>
        </w:rPr>
        <w:t>执法总队全年预算数为</w:t>
      </w:r>
      <w:r>
        <w:rPr>
          <w:rFonts w:hint="eastAsia" w:ascii="Times New Roman" w:hAnsi="Times New Roman" w:eastAsia="仿宋_GB2312" w:cs="宋体"/>
          <w:kern w:val="0"/>
          <w:sz w:val="32"/>
          <w:szCs w:val="32"/>
          <w:lang w:val="en-US" w:eastAsia="zh-CN"/>
        </w:rPr>
        <w:t>11,624.88</w:t>
      </w:r>
      <w:r>
        <w:rPr>
          <w:rFonts w:hint="eastAsia" w:ascii="Times New Roman" w:hAnsi="Times New Roman" w:eastAsia="仿宋_GB2312" w:cs="宋体"/>
          <w:kern w:val="0"/>
          <w:sz w:val="32"/>
          <w:szCs w:val="32"/>
        </w:rPr>
        <w:t>万元，其中，基本支出预算数</w:t>
      </w:r>
      <w:r>
        <w:rPr>
          <w:rFonts w:hint="eastAsia" w:ascii="Times New Roman" w:hAnsi="Times New Roman" w:eastAsia="仿宋_GB2312" w:cs="宋体"/>
          <w:kern w:val="0"/>
          <w:sz w:val="32"/>
          <w:szCs w:val="32"/>
          <w:lang w:val="en-US" w:eastAsia="zh-CN"/>
        </w:rPr>
        <w:t>8,237.01</w:t>
      </w:r>
      <w:r>
        <w:rPr>
          <w:rFonts w:hint="eastAsia" w:ascii="Times New Roman" w:hAnsi="Times New Roman" w:eastAsia="仿宋_GB2312" w:cs="宋体"/>
          <w:kern w:val="0"/>
          <w:sz w:val="32"/>
          <w:szCs w:val="32"/>
        </w:rPr>
        <w:t>万元，</w:t>
      </w:r>
      <w:r>
        <w:rPr>
          <w:rFonts w:hint="eastAsia" w:ascii="Times New Roman" w:hAnsi="Times New Roman" w:eastAsia="仿宋_GB2312" w:cs="宋体"/>
          <w:kern w:val="0"/>
          <w:sz w:val="32"/>
          <w:szCs w:val="32"/>
          <w:lang w:val="en-US" w:eastAsia="zh-CN"/>
        </w:rPr>
        <w:t>占比70.86%；</w:t>
      </w:r>
      <w:r>
        <w:rPr>
          <w:rFonts w:hint="eastAsia" w:ascii="Times New Roman" w:hAnsi="Times New Roman" w:eastAsia="仿宋_GB2312" w:cs="宋体"/>
          <w:kern w:val="0"/>
          <w:sz w:val="32"/>
          <w:szCs w:val="32"/>
        </w:rPr>
        <w:t>项目支出预算数</w:t>
      </w:r>
      <w:r>
        <w:rPr>
          <w:rFonts w:hint="eastAsia" w:ascii="Times New Roman" w:hAnsi="Times New Roman" w:eastAsia="仿宋_GB2312" w:cs="宋体"/>
          <w:kern w:val="0"/>
          <w:sz w:val="32"/>
          <w:szCs w:val="32"/>
          <w:lang w:val="en-US" w:eastAsia="zh-CN"/>
        </w:rPr>
        <w:t>3,387.87</w:t>
      </w:r>
      <w:r>
        <w:rPr>
          <w:rFonts w:hint="eastAsia" w:ascii="Times New Roman" w:hAnsi="Times New Roman" w:eastAsia="仿宋_GB2312" w:cs="宋体"/>
          <w:kern w:val="0"/>
          <w:sz w:val="32"/>
          <w:szCs w:val="32"/>
        </w:rPr>
        <w:t>万元，</w:t>
      </w:r>
      <w:r>
        <w:rPr>
          <w:rFonts w:hint="eastAsia" w:ascii="Times New Roman" w:hAnsi="Times New Roman" w:eastAsia="仿宋_GB2312" w:cs="宋体"/>
          <w:kern w:val="0"/>
          <w:sz w:val="32"/>
          <w:szCs w:val="32"/>
          <w:lang w:val="en-US" w:eastAsia="zh-CN"/>
        </w:rPr>
        <w:t>占比29.14%，</w:t>
      </w:r>
      <w:r>
        <w:rPr>
          <w:rFonts w:hint="eastAsia" w:ascii="Times New Roman" w:hAnsi="Times New Roman" w:eastAsia="仿宋_GB2312" w:cs="宋体"/>
          <w:kern w:val="0"/>
          <w:sz w:val="32"/>
          <w:szCs w:val="32"/>
        </w:rPr>
        <w:t>无其他支出预算内容。年度预算总支出</w:t>
      </w:r>
      <w:r>
        <w:rPr>
          <w:rFonts w:hint="eastAsia" w:ascii="Times New Roman" w:hAnsi="Times New Roman" w:eastAsia="仿宋_GB2312" w:cs="宋体"/>
          <w:kern w:val="0"/>
          <w:sz w:val="32"/>
          <w:szCs w:val="32"/>
          <w:lang w:val="en-US" w:eastAsia="zh-CN"/>
        </w:rPr>
        <w:t>10,853.2</w:t>
      </w:r>
      <w:r>
        <w:rPr>
          <w:rFonts w:hint="eastAsia" w:eastAsia="仿宋_GB2312" w:cs="宋体"/>
          <w:kern w:val="0"/>
          <w:sz w:val="32"/>
          <w:szCs w:val="32"/>
          <w:lang w:val="en-US" w:eastAsia="zh-CN"/>
        </w:rPr>
        <w:t>0</w:t>
      </w:r>
      <w:r>
        <w:rPr>
          <w:rFonts w:hint="eastAsia" w:ascii="Times New Roman" w:hAnsi="Times New Roman" w:eastAsia="仿宋_GB2312" w:cs="宋体"/>
          <w:kern w:val="0"/>
          <w:sz w:val="32"/>
          <w:szCs w:val="32"/>
        </w:rPr>
        <w:t>万元，其中，基本支出</w:t>
      </w:r>
      <w:r>
        <w:rPr>
          <w:rFonts w:hint="eastAsia" w:ascii="Times New Roman" w:hAnsi="Times New Roman" w:eastAsia="仿宋_GB2312" w:cs="宋体"/>
          <w:kern w:val="0"/>
          <w:sz w:val="32"/>
          <w:szCs w:val="32"/>
          <w:lang w:val="en-US" w:eastAsia="zh-CN"/>
        </w:rPr>
        <w:t>7,700.01</w:t>
      </w:r>
      <w:r>
        <w:rPr>
          <w:rFonts w:hint="eastAsia" w:ascii="Times New Roman" w:hAnsi="Times New Roman" w:eastAsia="仿宋_GB2312" w:cs="宋体"/>
          <w:kern w:val="0"/>
          <w:sz w:val="32"/>
          <w:szCs w:val="32"/>
        </w:rPr>
        <w:t>万元，</w:t>
      </w:r>
      <w:r>
        <w:rPr>
          <w:rFonts w:hint="eastAsia" w:ascii="Times New Roman" w:hAnsi="Times New Roman" w:eastAsia="仿宋_GB2312" w:cs="宋体"/>
          <w:kern w:val="0"/>
          <w:sz w:val="32"/>
          <w:szCs w:val="32"/>
          <w:lang w:val="en-US" w:eastAsia="zh-CN"/>
        </w:rPr>
        <w:t>占比70.95%；</w:t>
      </w:r>
      <w:r>
        <w:rPr>
          <w:rFonts w:hint="eastAsia" w:ascii="Times New Roman" w:hAnsi="Times New Roman" w:eastAsia="仿宋_GB2312" w:cs="宋体"/>
          <w:kern w:val="0"/>
          <w:sz w:val="32"/>
          <w:szCs w:val="32"/>
        </w:rPr>
        <w:t>项目支出</w:t>
      </w:r>
      <w:r>
        <w:rPr>
          <w:rFonts w:hint="eastAsia" w:ascii="Times New Roman" w:hAnsi="Times New Roman" w:eastAsia="仿宋_GB2312" w:cs="宋体"/>
          <w:kern w:val="0"/>
          <w:sz w:val="32"/>
          <w:szCs w:val="32"/>
          <w:lang w:val="en-US" w:eastAsia="zh-CN"/>
        </w:rPr>
        <w:t>3,153.19</w:t>
      </w:r>
      <w:r>
        <w:rPr>
          <w:rFonts w:hint="eastAsia" w:ascii="Times New Roman" w:hAnsi="Times New Roman" w:eastAsia="仿宋_GB2312" w:cs="宋体"/>
          <w:kern w:val="0"/>
          <w:sz w:val="32"/>
          <w:szCs w:val="32"/>
        </w:rPr>
        <w:t>万元</w:t>
      </w:r>
      <w:r>
        <w:rPr>
          <w:rFonts w:hint="eastAsia" w:ascii="Times New Roman" w:hAnsi="Times New Roman" w:eastAsia="仿宋_GB2312" w:cs="宋体"/>
          <w:kern w:val="0"/>
          <w:sz w:val="32"/>
          <w:szCs w:val="32"/>
          <w:lang w:eastAsia="zh-CN"/>
        </w:rPr>
        <w:t>，</w:t>
      </w:r>
      <w:r>
        <w:rPr>
          <w:rFonts w:hint="eastAsia" w:ascii="Times New Roman" w:hAnsi="Times New Roman" w:eastAsia="仿宋_GB2312" w:cs="宋体"/>
          <w:kern w:val="0"/>
          <w:sz w:val="32"/>
          <w:szCs w:val="32"/>
          <w:lang w:val="en-US" w:eastAsia="zh-CN"/>
        </w:rPr>
        <w:t>占比29.05%</w:t>
      </w:r>
      <w:r>
        <w:rPr>
          <w:rFonts w:hint="eastAsia" w:ascii="Times New Roman" w:hAnsi="Times New Roman" w:eastAsia="仿宋_GB2312" w:cs="宋体"/>
          <w:kern w:val="0"/>
          <w:sz w:val="32"/>
          <w:szCs w:val="32"/>
        </w:rPr>
        <w:t>。预</w:t>
      </w:r>
      <w:r>
        <w:rPr>
          <w:rFonts w:hint="eastAsia" w:ascii="Times New Roman" w:hAnsi="Times New Roman" w:eastAsia="仿宋_GB2312" w:cs="宋体"/>
          <w:color w:val="000000"/>
          <w:kern w:val="0"/>
          <w:sz w:val="32"/>
          <w:szCs w:val="32"/>
        </w:rPr>
        <w:t>算</w:t>
      </w:r>
      <w:r>
        <w:rPr>
          <w:rFonts w:ascii="Times New Roman" w:hAnsi="Times New Roman" w:eastAsia="仿宋_GB2312" w:cs="宋体"/>
          <w:color w:val="000000"/>
          <w:kern w:val="0"/>
          <w:sz w:val="32"/>
          <w:szCs w:val="32"/>
        </w:rPr>
        <w:t>执行率为</w:t>
      </w:r>
      <w:r>
        <w:rPr>
          <w:rFonts w:hint="eastAsia" w:ascii="Times New Roman" w:hAnsi="Times New Roman" w:eastAsia="仿宋_GB2312" w:cs="宋体"/>
          <w:color w:val="000000"/>
          <w:kern w:val="0"/>
          <w:sz w:val="32"/>
          <w:szCs w:val="32"/>
        </w:rPr>
        <w:t>93.</w:t>
      </w:r>
      <w:r>
        <w:rPr>
          <w:rFonts w:hint="eastAsia" w:ascii="Times New Roman" w:hAnsi="Times New Roman" w:eastAsia="仿宋_GB2312" w:cs="宋体"/>
          <w:color w:val="000000"/>
          <w:kern w:val="0"/>
          <w:sz w:val="32"/>
          <w:szCs w:val="32"/>
          <w:lang w:val="en-US" w:eastAsia="zh-CN"/>
        </w:rPr>
        <w:t>36</w:t>
      </w:r>
      <w:r>
        <w:rPr>
          <w:rFonts w:hint="eastAsia" w:ascii="Times New Roman" w:hAnsi="Times New Roman" w:eastAsia="仿宋_GB2312" w:cs="宋体"/>
          <w:color w:val="000000"/>
          <w:kern w:val="0"/>
          <w:sz w:val="32"/>
          <w:szCs w:val="32"/>
        </w:rPr>
        <w:t>%。</w:t>
      </w:r>
    </w:p>
    <w:p w14:paraId="0AB12A14">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市文化市场执法总队根据部门预算编报指南核定基本支出预算，结合发展规划、部门职能及202</w:t>
      </w:r>
      <w:r>
        <w:rPr>
          <w:rFonts w:hint="eastAsia" w:ascii="Times New Roman" w:hAnsi="Times New Roman" w:eastAsia="仿宋_GB2312" w:cs="宋体"/>
          <w:color w:val="000000"/>
          <w:kern w:val="0"/>
          <w:sz w:val="32"/>
          <w:szCs w:val="32"/>
          <w:lang w:val="en-US" w:eastAsia="zh-CN"/>
        </w:rPr>
        <w:t>4</w:t>
      </w:r>
      <w:r>
        <w:rPr>
          <w:rFonts w:hint="eastAsia" w:ascii="Times New Roman" w:hAnsi="Times New Roman" w:eastAsia="仿宋_GB2312" w:cs="宋体"/>
          <w:color w:val="000000"/>
          <w:kern w:val="0"/>
          <w:sz w:val="32"/>
          <w:szCs w:val="32"/>
        </w:rPr>
        <w:t>年重点工作，核定项目支出预算，预算编制程序规范、合规。整体预算执行良好，较好地发挥了财政资金的使用效益。</w:t>
      </w:r>
    </w:p>
    <w:p w14:paraId="49A7FA83">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0"/>
        <w:rPr>
          <w:rFonts w:hint="eastAsia" w:ascii="Times New Roman" w:hAnsi="Times New Roman" w:eastAsia="黑体" w:cs="宋体"/>
          <w:color w:val="000000"/>
          <w:kern w:val="0"/>
          <w:sz w:val="32"/>
          <w:szCs w:val="32"/>
        </w:rPr>
      </w:pPr>
      <w:bookmarkStart w:id="11" w:name="_Toc25790"/>
      <w:bookmarkStart w:id="12" w:name="_Toc165913331"/>
      <w:r>
        <w:rPr>
          <w:rFonts w:hint="eastAsia" w:ascii="Times New Roman" w:hAnsi="Times New Roman" w:eastAsia="黑体" w:cs="宋体"/>
          <w:color w:val="000000"/>
          <w:kern w:val="0"/>
          <w:sz w:val="32"/>
          <w:szCs w:val="32"/>
        </w:rPr>
        <w:t>三</w:t>
      </w:r>
      <w:r>
        <w:rPr>
          <w:rFonts w:ascii="Times New Roman" w:hAnsi="Times New Roman" w:eastAsia="黑体" w:cs="宋体"/>
          <w:color w:val="000000"/>
          <w:kern w:val="0"/>
          <w:sz w:val="32"/>
          <w:szCs w:val="32"/>
        </w:rPr>
        <w:t>、整体绩效目标实现情况</w:t>
      </w:r>
      <w:bookmarkEnd w:id="11"/>
      <w:bookmarkEnd w:id="12"/>
    </w:p>
    <w:p w14:paraId="4C4244BD">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1"/>
        <w:rPr>
          <w:rFonts w:ascii="Times New Roman" w:hAnsi="Times New Roman" w:eastAsia="楷体_GB2312"/>
          <w:sz w:val="32"/>
          <w:szCs w:val="32"/>
        </w:rPr>
      </w:pPr>
      <w:bookmarkStart w:id="13" w:name="_Toc6751"/>
      <w:bookmarkStart w:id="14" w:name="_Toc165913332"/>
      <w:r>
        <w:rPr>
          <w:rFonts w:hint="eastAsia" w:ascii="Times New Roman" w:hAnsi="Times New Roman" w:eastAsia="楷体_GB2312"/>
          <w:sz w:val="32"/>
          <w:szCs w:val="32"/>
        </w:rPr>
        <w:t>（一）产出完成情况分析</w:t>
      </w:r>
      <w:bookmarkEnd w:id="13"/>
      <w:bookmarkEnd w:id="14"/>
    </w:p>
    <w:p w14:paraId="179FD055">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202</w:t>
      </w:r>
      <w:r>
        <w:rPr>
          <w:rFonts w:hint="eastAsia" w:ascii="Times New Roman" w:hAnsi="Times New Roman" w:eastAsia="仿宋_GB2312" w:cs="宋体"/>
          <w:color w:val="000000"/>
          <w:kern w:val="0"/>
          <w:sz w:val="32"/>
          <w:szCs w:val="32"/>
          <w:lang w:val="en-US" w:eastAsia="zh-CN"/>
        </w:rPr>
        <w:t>4</w:t>
      </w:r>
      <w:r>
        <w:rPr>
          <w:rFonts w:hint="eastAsia" w:ascii="Times New Roman" w:hAnsi="Times New Roman" w:eastAsia="仿宋_GB2312" w:cs="宋体"/>
          <w:color w:val="000000"/>
          <w:kern w:val="0"/>
          <w:sz w:val="32"/>
          <w:szCs w:val="32"/>
        </w:rPr>
        <w:t>年市文化市场执法总队按照部门职责，确定了年度重点工作任务，并根据年度重点工作任务安排项目预算。全年按照任务目标的数量、质量、进度要求完成了各项工作。具体情况如下：</w:t>
      </w:r>
    </w:p>
    <w:p w14:paraId="19F4E613">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lang w:val="en-US" w:eastAsia="zh-CN"/>
        </w:rPr>
        <w:t>1</w:t>
      </w:r>
      <w:r>
        <w:rPr>
          <w:rFonts w:hint="eastAsia" w:ascii="Times New Roman" w:hAnsi="Times New Roman" w:eastAsia="仿宋_GB2312" w:cs="宋体"/>
          <w:color w:val="000000"/>
          <w:kern w:val="0"/>
          <w:sz w:val="32"/>
          <w:szCs w:val="32"/>
        </w:rPr>
        <w:t>.文化市场综合执法工作</w:t>
      </w:r>
    </w:p>
    <w:p w14:paraId="632B1E59">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市文化市场执法总队202</w:t>
      </w:r>
      <w:r>
        <w:rPr>
          <w:rFonts w:hint="eastAsia" w:ascii="Times New Roman" w:hAnsi="Times New Roman" w:eastAsia="仿宋_GB2312" w:cs="宋体"/>
          <w:color w:val="000000"/>
          <w:kern w:val="0"/>
          <w:sz w:val="32"/>
          <w:szCs w:val="32"/>
          <w:lang w:val="en-US" w:eastAsia="zh-CN"/>
        </w:rPr>
        <w:t>4</w:t>
      </w:r>
      <w:r>
        <w:rPr>
          <w:rFonts w:hint="eastAsia" w:ascii="Times New Roman" w:hAnsi="Times New Roman" w:eastAsia="仿宋_GB2312" w:cs="宋体"/>
          <w:color w:val="000000"/>
          <w:kern w:val="0"/>
          <w:sz w:val="32"/>
          <w:szCs w:val="32"/>
        </w:rPr>
        <w:t>年在文化市场综合执法工作方面的重点任务主要包括：文化综合执法检查办案、罚没物品收缴管理、文化执法宣传和举报核查</w:t>
      </w:r>
      <w:r>
        <w:rPr>
          <w:rFonts w:hint="eastAsia" w:eastAsia="仿宋_GB2312" w:cs="宋体"/>
          <w:color w:val="000000"/>
          <w:kern w:val="0"/>
          <w:sz w:val="32"/>
          <w:szCs w:val="32"/>
          <w:lang w:eastAsia="zh-CN"/>
        </w:rPr>
        <w:t>等</w:t>
      </w:r>
      <w:r>
        <w:rPr>
          <w:rFonts w:hint="eastAsia" w:ascii="Times New Roman" w:hAnsi="Times New Roman" w:eastAsia="仿宋_GB2312" w:cs="宋体"/>
          <w:color w:val="000000"/>
          <w:kern w:val="0"/>
          <w:sz w:val="32"/>
          <w:szCs w:val="32"/>
        </w:rPr>
        <w:t>方面内容</w:t>
      </w:r>
      <w:r>
        <w:rPr>
          <w:rFonts w:hint="eastAsia" w:ascii="Times New Roman" w:hAnsi="Times New Roman"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rPr>
        <w:t>各项工作具体完成情况如下：</w:t>
      </w:r>
    </w:p>
    <w:p w14:paraId="0838260F">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eastAsia="zh-CN"/>
        </w:rPr>
      </w:pPr>
      <w:r>
        <w:rPr>
          <w:rFonts w:hint="eastAsia" w:ascii="Times New Roman" w:hAnsi="Times New Roman" w:eastAsia="仿宋_GB2312" w:cs="宋体"/>
          <w:color w:val="000000"/>
          <w:kern w:val="0"/>
          <w:sz w:val="32"/>
          <w:szCs w:val="32"/>
        </w:rPr>
        <w:t>（1）文化综合执法检查</w:t>
      </w:r>
      <w:r>
        <w:rPr>
          <w:rFonts w:hint="eastAsia" w:ascii="Times New Roman" w:hAnsi="Times New Roman" w:eastAsia="仿宋_GB2312" w:cs="宋体"/>
          <w:color w:val="000000"/>
          <w:kern w:val="0"/>
          <w:sz w:val="32"/>
          <w:szCs w:val="32"/>
          <w:lang w:val="en-US" w:eastAsia="zh-CN"/>
        </w:rPr>
        <w:t>工作</w:t>
      </w:r>
    </w:p>
    <w:p w14:paraId="7857FCBE">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宋体"/>
          <w:color w:val="000000"/>
          <w:kern w:val="0"/>
          <w:sz w:val="32"/>
          <w:szCs w:val="32"/>
          <w:highlight w:val="none"/>
        </w:rPr>
        <w:t>一是日常执法办案</w:t>
      </w:r>
      <w:r>
        <w:rPr>
          <w:rFonts w:hint="eastAsia" w:ascii="Times New Roman" w:hAnsi="Times New Roman" w:eastAsia="仿宋_GB2312" w:cs="宋体"/>
          <w:color w:val="000000"/>
          <w:kern w:val="0"/>
          <w:sz w:val="32"/>
          <w:szCs w:val="32"/>
          <w:highlight w:val="none"/>
          <w:lang w:eastAsia="zh-CN"/>
        </w:rPr>
        <w:t>。</w:t>
      </w:r>
      <w:r>
        <w:rPr>
          <w:rFonts w:hint="eastAsia" w:ascii="Times New Roman" w:hAnsi="Times New Roman" w:eastAsia="仿宋_GB2312"/>
          <w:sz w:val="32"/>
          <w:szCs w:val="32"/>
        </w:rPr>
        <w:t>紧密围绕平安北京建设及年度绩效考核相关要求，深</w:t>
      </w:r>
      <w:r>
        <w:rPr>
          <w:rFonts w:hint="eastAsia" w:ascii="Times New Roman" w:hAnsi="Times New Roman" w:eastAsia="仿宋_GB2312"/>
          <w:sz w:val="32"/>
          <w:szCs w:val="32"/>
          <w:highlight w:val="none"/>
        </w:rPr>
        <w:t>化“接诉即办”机制，全年共计开展执法检查11.1万余件次，立案2566起，结案2926起，罚没款1297万余元</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lang w:val="en-US" w:eastAsia="zh-CN"/>
        </w:rPr>
        <w:t>完成日常巡查37412</w:t>
      </w:r>
      <w:r>
        <w:rPr>
          <w:rFonts w:hint="eastAsia" w:ascii="Times New Roman" w:hAnsi="Times New Roman" w:eastAsia="仿宋_GB2312"/>
          <w:sz w:val="32"/>
          <w:szCs w:val="32"/>
          <w:highlight w:val="none"/>
        </w:rPr>
        <w:t>次。发现并处理了各类违法违规行为，违法行为纳入检查率达100%，行政执法A岗人员参与执法率</w:t>
      </w:r>
      <w:r>
        <w:rPr>
          <w:rFonts w:hint="eastAsia" w:ascii="Times New Roman" w:hAnsi="Times New Roman" w:eastAsia="仿宋_GB2312"/>
          <w:sz w:val="32"/>
          <w:szCs w:val="32"/>
          <w:highlight w:val="none"/>
          <w:lang w:val="en-US" w:eastAsia="zh-CN"/>
        </w:rPr>
        <w:t>100%，行政诉讼、复议率有</w:t>
      </w:r>
      <w:r>
        <w:rPr>
          <w:rFonts w:hint="eastAsia" w:ascii="Times New Roman" w:hAnsi="Times New Roman" w:eastAsia="仿宋_GB2312"/>
          <w:sz w:val="32"/>
          <w:szCs w:val="32"/>
          <w:lang w:val="en-US" w:eastAsia="zh-CN"/>
        </w:rPr>
        <w:t>效控制在3%以下，移动执法终端</w:t>
      </w:r>
      <w:r>
        <w:rPr>
          <w:rFonts w:hint="eastAsia" w:ascii="Times New Roman" w:hAnsi="Times New Roman" w:eastAsia="仿宋_GB2312" w:cs="Times New Roman"/>
          <w:sz w:val="32"/>
          <w:szCs w:val="32"/>
          <w:lang w:val="en-US" w:eastAsia="zh-CN"/>
        </w:rPr>
        <w:t>检查单和案件推送率达到了100%，案件回复率100%，总队全年非现场检查率达78.97%。</w:t>
      </w:r>
    </w:p>
    <w:p w14:paraId="16CE2D7C">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Chars="0" w:firstLine="640" w:firstLineChars="200"/>
        <w:textAlignment w:val="auto"/>
        <w:rPr>
          <w:rFonts w:hint="eastAsia" w:ascii="Times New Roman" w:hAnsi="Times New Roman" w:eastAsia="仿宋_GB2312" w:cs="仿宋_GB2312"/>
          <w:spacing w:val="-11"/>
          <w:w w:val="100"/>
          <w:sz w:val="36"/>
          <w:szCs w:val="36"/>
          <w:highlight w:val="none"/>
          <w:u w:val="none"/>
          <w:lang w:val="en-US" w:eastAsia="zh-CN"/>
        </w:rPr>
      </w:pPr>
      <w:r>
        <w:rPr>
          <w:rFonts w:hint="eastAsia" w:ascii="Times New Roman" w:hAnsi="Times New Roman" w:eastAsia="仿宋_GB2312" w:cs="宋体"/>
          <w:b w:val="0"/>
          <w:bCs w:val="0"/>
          <w:color w:val="000000"/>
          <w:kern w:val="0"/>
          <w:sz w:val="32"/>
          <w:szCs w:val="32"/>
          <w:lang w:val="en-US" w:eastAsia="zh-CN"/>
        </w:rPr>
        <w:t>二是全</w:t>
      </w:r>
      <w:r>
        <w:rPr>
          <w:rFonts w:hint="eastAsia" w:ascii="Times New Roman" w:hAnsi="Times New Roman" w:eastAsia="仿宋_GB2312"/>
          <w:sz w:val="32"/>
          <w:szCs w:val="32"/>
          <w:lang w:val="en-US" w:eastAsia="zh-CN"/>
        </w:rPr>
        <w:t>面开展文旅市场专项整治。</w:t>
      </w:r>
      <w:r>
        <w:rPr>
          <w:rFonts w:hint="eastAsia" w:ascii="Times New Roman" w:hAnsi="Times New Roman" w:eastAsia="仿宋_GB2312" w:cs="宋体"/>
          <w:b w:val="0"/>
          <w:bCs w:val="0"/>
          <w:color w:val="000000"/>
          <w:kern w:val="0"/>
          <w:sz w:val="32"/>
          <w:szCs w:val="32"/>
          <w:lang w:val="en-US" w:eastAsia="zh-CN"/>
        </w:rPr>
        <w:t>在全市开展为期一年半的网上网下文旅市场专项整治行动，有关工作得到中央电视台、中新社、法治日报等多家媒体报道。部署开展演出票务、艺术品市场系列专项执法行动，纵深推进文娱领域综合治理。</w:t>
      </w:r>
    </w:p>
    <w:p w14:paraId="15E98FEC">
      <w:pPr>
        <w:keepNext w:val="0"/>
        <w:keepLines w:val="0"/>
        <w:pageBreakBefore w:val="0"/>
        <w:widowControl w:val="0"/>
        <w:numPr>
          <w:ilvl w:val="0"/>
          <w:numId w:val="3"/>
        </w:numPr>
        <w:kinsoku/>
        <w:wordWrap/>
        <w:overflowPunct/>
        <w:topLinePunct w:val="0"/>
        <w:autoSpaceDE/>
        <w:autoSpaceDN/>
        <w:bidi w:val="0"/>
        <w:adjustRightInd/>
        <w:snapToGrid w:val="0"/>
        <w:spacing w:line="560" w:lineRule="exact"/>
        <w:ind w:left="0" w:leftChars="0"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实施罚没物品及时收缴管理</w:t>
      </w:r>
    </w:p>
    <w:p w14:paraId="7B377FAC">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Chars="0"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为确保查办收缴罚没物品及时入库，结案物品分批运送销毁</w:t>
      </w:r>
      <w:r>
        <w:rPr>
          <w:rFonts w:hint="eastAsia" w:ascii="Times New Roman" w:hAnsi="Times New Roman" w:eastAsia="仿宋_GB2312" w:cs="仿宋_GB2312"/>
          <w:sz w:val="32"/>
          <w:szCs w:val="32"/>
          <w:highlight w:val="none"/>
          <w:lang w:val="en-US" w:eastAsia="zh-CN"/>
        </w:rPr>
        <w:t>。为迅速搬运、妥善存储收缴罚没物品，市文化市场执法总队租用平面库房2134㎡，对全市文化执法工作中收缴和罚没的非法图书、期刊、盗版光盘等非法经</w:t>
      </w:r>
      <w:r>
        <w:rPr>
          <w:rFonts w:hint="eastAsia" w:ascii="Times New Roman" w:hAnsi="Times New Roman" w:eastAsia="仿宋_GB2312" w:cs="仿宋_GB2312"/>
          <w:sz w:val="32"/>
          <w:szCs w:val="32"/>
          <w:lang w:val="en-US" w:eastAsia="zh-CN"/>
        </w:rPr>
        <w:t>营物品进行统一存储和处置，保障案件查办罚没物品及时收缴入库，集中安全管理。</w:t>
      </w:r>
    </w:p>
    <w:p w14:paraId="030331F7">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w:t>
      </w:r>
      <w:r>
        <w:rPr>
          <w:rFonts w:hint="eastAsia" w:ascii="Times New Roman" w:hAnsi="Times New Roman" w:eastAsia="仿宋_GB2312" w:cs="宋体"/>
          <w:color w:val="000000"/>
          <w:kern w:val="0"/>
          <w:sz w:val="32"/>
          <w:szCs w:val="32"/>
        </w:rPr>
        <w:t>举报核查</w:t>
      </w:r>
      <w:r>
        <w:rPr>
          <w:rFonts w:hint="eastAsia" w:ascii="Times New Roman" w:hAnsi="Times New Roman" w:eastAsia="仿宋_GB2312" w:cs="仿宋_GB2312"/>
          <w:sz w:val="32"/>
          <w:szCs w:val="32"/>
          <w:lang w:val="en-US" w:eastAsia="zh-CN"/>
        </w:rPr>
        <w:t>、接诉即办工作</w:t>
      </w:r>
    </w:p>
    <w:p w14:paraId="66027A5D">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Style w:val="32"/>
          <w:rFonts w:hint="eastAsia" w:ascii="Times New Roman" w:hAnsi="Times New Roman" w:eastAsia="仿宋_GB2312" w:cs="仿宋_GB2312"/>
          <w:kern w:val="0"/>
          <w:szCs w:val="32"/>
        </w:rPr>
      </w:pPr>
      <w:r>
        <w:rPr>
          <w:rStyle w:val="32"/>
          <w:rFonts w:hint="eastAsia" w:ascii="Times New Roman" w:hAnsi="Times New Roman" w:eastAsia="仿宋_GB2312" w:cs="仿宋_GB2312"/>
          <w:kern w:val="0"/>
          <w:szCs w:val="32"/>
        </w:rPr>
        <w:t>立足总队行政执法职能范围，强化依法、依规、依责理念，高效处理咨询、建议、举报、信访等差异化群众诉求。全年共处理社会举报1万余件，处理热点网络</w:t>
      </w:r>
      <w:r>
        <w:rPr>
          <w:rStyle w:val="32"/>
          <w:rFonts w:hint="eastAsia" w:ascii="Times New Roman" w:hAnsi="Times New Roman" w:eastAsia="仿宋_GB2312" w:cs="仿宋_GB2312"/>
          <w:kern w:val="0"/>
          <w:szCs w:val="32"/>
          <w:lang w:eastAsia="zh-CN"/>
        </w:rPr>
        <w:t>舆情</w:t>
      </w:r>
      <w:r>
        <w:rPr>
          <w:rStyle w:val="32"/>
          <w:rFonts w:hint="eastAsia" w:ascii="Times New Roman" w:hAnsi="Times New Roman" w:eastAsia="仿宋_GB2312" w:cs="仿宋_GB2312"/>
          <w:kern w:val="0"/>
          <w:szCs w:val="32"/>
        </w:rPr>
        <w:t>引发的邮件举报近6万件，依法受理举报606件。接收网上信访系统派单61件，受理19件，直接回复42件。全年接收“接诉即办”派单共</w:t>
      </w:r>
      <w:r>
        <w:rPr>
          <w:rStyle w:val="32"/>
          <w:rFonts w:hint="eastAsia" w:ascii="Times New Roman" w:hAnsi="Times New Roman" w:eastAsia="仿宋_GB2312" w:cs="仿宋_GB2312"/>
          <w:kern w:val="0"/>
          <w:szCs w:val="32"/>
          <w:highlight w:val="none"/>
        </w:rPr>
        <w:t>计878件</w:t>
      </w:r>
      <w:r>
        <w:rPr>
          <w:rStyle w:val="32"/>
          <w:rFonts w:hint="eastAsia" w:eastAsia="仿宋_GB2312" w:cs="仿宋_GB2312"/>
          <w:kern w:val="0"/>
          <w:szCs w:val="32"/>
          <w:highlight w:val="none"/>
          <w:lang w:val="en-US" w:eastAsia="zh-CN"/>
        </w:rPr>
        <w:t>，</w:t>
      </w:r>
      <w:r>
        <w:rPr>
          <w:rStyle w:val="32"/>
          <w:rFonts w:hint="eastAsia" w:ascii="Times New Roman" w:hAnsi="Times New Roman" w:eastAsia="仿宋_GB2312" w:cs="仿宋_GB2312"/>
          <w:kern w:val="0"/>
          <w:szCs w:val="32"/>
          <w:highlight w:val="none"/>
        </w:rPr>
        <w:t>依法受理148件，审核处理“接诉即办”行业数据415139件。</w:t>
      </w:r>
    </w:p>
    <w:p w14:paraId="5DCC4453">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w:t>
      </w:r>
      <w:r>
        <w:rPr>
          <w:rFonts w:hint="eastAsia" w:eastAsia="仿宋_GB2312" w:cs="仿宋_GB2312"/>
          <w:sz w:val="32"/>
          <w:szCs w:val="32"/>
          <w:lang w:val="en-US" w:eastAsia="zh-CN"/>
        </w:rPr>
        <w:t>4</w:t>
      </w:r>
      <w:r>
        <w:rPr>
          <w:rFonts w:hint="eastAsia" w:ascii="Times New Roman" w:hAnsi="Times New Roman" w:eastAsia="仿宋_GB2312" w:cs="仿宋_GB2312"/>
          <w:sz w:val="32"/>
          <w:szCs w:val="32"/>
          <w:lang w:val="en-US" w:eastAsia="zh-CN"/>
        </w:rPr>
        <w:t>）开展文化执法宣传工作</w:t>
      </w:r>
    </w:p>
    <w:p w14:paraId="4CC702E8">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lang w:val="en-US" w:eastAsia="zh-CN"/>
        </w:rPr>
      </w:pPr>
      <w:r>
        <w:rPr>
          <w:rFonts w:hint="eastAsia" w:ascii="Times New Roman" w:hAnsi="Times New Roman" w:eastAsia="仿宋_GB2312" w:cs="仿宋_GB2312"/>
          <w:sz w:val="32"/>
          <w:szCs w:val="32"/>
          <w:lang w:val="en-US" w:eastAsia="zh-CN"/>
        </w:rPr>
        <w:t>市文化市场执法总队利用“一刊、一站、三平台”</w:t>
      </w:r>
      <w:r>
        <w:rPr>
          <w:rStyle w:val="24"/>
          <w:rFonts w:hint="eastAsia" w:ascii="Times New Roman" w:hAnsi="Times New Roman" w:eastAsia="仿宋_GB2312" w:cs="仿宋_GB2312"/>
          <w:sz w:val="32"/>
          <w:szCs w:val="32"/>
          <w:lang w:val="en-US" w:eastAsia="zh-CN"/>
        </w:rPr>
        <w:footnoteReference w:id="0"/>
      </w:r>
      <w:r>
        <w:rPr>
          <w:rFonts w:hint="eastAsia" w:ascii="Times New Roman" w:hAnsi="Times New Roman" w:eastAsia="仿宋_GB2312" w:cs="Times New Roman"/>
          <w:sz w:val="32"/>
          <w:szCs w:val="32"/>
        </w:rPr>
        <w:t>，作为宣传阵地，202</w:t>
      </w:r>
      <w:r>
        <w:rPr>
          <w:rFonts w:hint="eastAsia"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rPr>
        <w:t>年按期发行《首都文化执法》内刊6期，官方网站更新稿件信息</w:t>
      </w:r>
      <w:r>
        <w:rPr>
          <w:rFonts w:hint="eastAsia" w:ascii="Times New Roman" w:hAnsi="Times New Roman" w:eastAsia="仿宋_GB2312" w:cs="Times New Roman"/>
          <w:sz w:val="32"/>
          <w:szCs w:val="32"/>
          <w:lang w:val="en-US" w:eastAsia="zh-CN"/>
        </w:rPr>
        <w:t>310</w:t>
      </w:r>
      <w:r>
        <w:rPr>
          <w:rFonts w:hint="eastAsia" w:ascii="Times New Roman" w:hAnsi="Times New Roman" w:eastAsia="仿宋_GB2312" w:cs="Times New Roman"/>
          <w:sz w:val="32"/>
          <w:szCs w:val="32"/>
        </w:rPr>
        <w:t>篇，在20多家中央及市级媒体刊发转载稿件749篇，新媒体发布信</w:t>
      </w:r>
      <w:r>
        <w:rPr>
          <w:rFonts w:hint="eastAsia" w:ascii="Times New Roman" w:hAnsi="Times New Roman" w:eastAsia="仿宋_GB2312" w:cs="Times New Roman"/>
          <w:sz w:val="32"/>
          <w:szCs w:val="32"/>
          <w:highlight w:val="none"/>
        </w:rPr>
        <w:t>息710篇，新媒体展现量1039万次，官网、新媒体季度考核均获满分。</w:t>
      </w:r>
      <w:r>
        <w:rPr>
          <w:rFonts w:hint="eastAsia" w:ascii="Times New Roman" w:hAnsi="Times New Roman" w:eastAsia="仿宋_GB2312" w:cs="Times New Roman"/>
          <w:sz w:val="32"/>
          <w:szCs w:val="32"/>
          <w:highlight w:val="none"/>
          <w:lang w:val="en-US" w:eastAsia="zh-CN"/>
        </w:rPr>
        <w:t>同时，</w:t>
      </w:r>
      <w:r>
        <w:rPr>
          <w:rFonts w:hint="eastAsia" w:ascii="Times New Roman" w:hAnsi="Times New Roman" w:eastAsia="仿宋_GB2312" w:cs="Times New Roman"/>
          <w:sz w:val="32"/>
          <w:szCs w:val="32"/>
          <w:highlight w:val="none"/>
        </w:rPr>
        <w:t>围绕4.26世界知识产权日</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rPr>
        <w:t>全民禁毒月等重要时间</w:t>
      </w:r>
      <w:r>
        <w:rPr>
          <w:rFonts w:hint="eastAsia" w:ascii="Times New Roman" w:hAnsi="Times New Roman" w:eastAsia="仿宋_GB2312" w:cs="Times New Roman"/>
          <w:sz w:val="32"/>
          <w:szCs w:val="32"/>
        </w:rPr>
        <w:t>节点，开展主题宣传</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提高</w:t>
      </w:r>
      <w:r>
        <w:rPr>
          <w:rFonts w:hint="eastAsia" w:ascii="Times New Roman" w:hAnsi="Times New Roman" w:eastAsia="仿宋_GB2312" w:cs="Times New Roman"/>
          <w:sz w:val="32"/>
          <w:szCs w:val="32"/>
          <w:lang w:eastAsia="zh-CN"/>
        </w:rPr>
        <w:t>了</w:t>
      </w:r>
      <w:r>
        <w:rPr>
          <w:rFonts w:hint="eastAsia" w:ascii="Times New Roman" w:hAnsi="Times New Roman" w:eastAsia="仿宋_GB2312" w:cs="Times New Roman"/>
          <w:sz w:val="32"/>
          <w:szCs w:val="32"/>
        </w:rPr>
        <w:t>全社会对文化执法工作的认知度。</w:t>
      </w:r>
    </w:p>
    <w:p w14:paraId="1C24EB03">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2</w:t>
      </w:r>
      <w:r>
        <w:rPr>
          <w:rFonts w:hint="eastAsia" w:ascii="Times New Roman" w:hAnsi="Times New Roman" w:eastAsia="仿宋_GB2312" w:cs="宋体"/>
          <w:color w:val="000000"/>
          <w:kern w:val="0"/>
          <w:sz w:val="32"/>
          <w:szCs w:val="32"/>
        </w:rPr>
        <w:t>.执法保障</w:t>
      </w:r>
      <w:r>
        <w:rPr>
          <w:rFonts w:hint="eastAsia" w:ascii="Times New Roman" w:hAnsi="Times New Roman" w:eastAsia="仿宋_GB2312" w:cs="宋体"/>
          <w:color w:val="000000"/>
          <w:kern w:val="0"/>
          <w:sz w:val="32"/>
          <w:szCs w:val="32"/>
          <w:lang w:val="en-US" w:eastAsia="zh-CN"/>
        </w:rPr>
        <w:t>工作</w:t>
      </w:r>
    </w:p>
    <w:p w14:paraId="56536C29">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lang w:val="en-US" w:eastAsia="zh-CN"/>
        </w:rPr>
        <w:t>1</w:t>
      </w:r>
      <w:r>
        <w:rPr>
          <w:rFonts w:hint="eastAsia" w:ascii="Times New Roman" w:hAnsi="Times New Roman"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rPr>
        <w:t>执法信息化平台</w:t>
      </w:r>
      <w:r>
        <w:rPr>
          <w:rFonts w:hint="eastAsia" w:ascii="Times New Roman" w:hAnsi="Times New Roman" w:eastAsia="仿宋_GB2312" w:cs="宋体"/>
          <w:color w:val="000000"/>
          <w:kern w:val="0"/>
          <w:sz w:val="32"/>
          <w:szCs w:val="32"/>
          <w:lang w:val="en-US" w:eastAsia="zh-CN"/>
        </w:rPr>
        <w:t>升级改造</w:t>
      </w:r>
      <w:r>
        <w:rPr>
          <w:rFonts w:hint="eastAsia" w:eastAsia="仿宋_GB2312" w:cs="宋体"/>
          <w:color w:val="000000"/>
          <w:kern w:val="0"/>
          <w:sz w:val="32"/>
          <w:szCs w:val="32"/>
          <w:lang w:val="en-US" w:eastAsia="zh-CN"/>
        </w:rPr>
        <w:t>与平台运维</w:t>
      </w:r>
    </w:p>
    <w:p w14:paraId="354619B5">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一是组织北京市文化执法信息化工作平台内部协同办公系统的升级改造工作，系统安全测评和软件测评通过率100%。新增档案及资金管理功能，加强了部门资金管理规范性。数字档案管理系统已与多系统完成数据接口对接，实现了执法、公文与财务档案的全面线上归档，达成档案“收、用、管、存”全生命周期管理目标。新建财务内控管理系统实现了无预算不支出、超预算预警及经费全流程管控，提升了财务管理的合规性和透明度。</w:t>
      </w:r>
    </w:p>
    <w:p w14:paraId="5FB8F300">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二是开展</w:t>
      </w:r>
      <w:r>
        <w:rPr>
          <w:rFonts w:hint="eastAsia" w:ascii="Times New Roman" w:hAnsi="Times New Roman" w:eastAsia="仿宋_GB2312" w:cs="宋体"/>
          <w:color w:val="000000"/>
          <w:kern w:val="0"/>
          <w:sz w:val="32"/>
          <w:szCs w:val="32"/>
        </w:rPr>
        <w:t>总队信息化系统运行维护</w:t>
      </w:r>
      <w:r>
        <w:rPr>
          <w:rFonts w:hint="eastAsia" w:ascii="Times New Roman" w:hAnsi="Times New Roman" w:eastAsia="仿宋_GB2312" w:cs="宋体"/>
          <w:color w:val="000000"/>
          <w:kern w:val="0"/>
          <w:sz w:val="32"/>
          <w:szCs w:val="32"/>
          <w:lang w:val="en-US" w:eastAsia="zh-CN"/>
        </w:rPr>
        <w:t>，提供</w:t>
      </w:r>
      <w:r>
        <w:rPr>
          <w:rFonts w:hint="eastAsia" w:ascii="Times New Roman" w:hAnsi="Times New Roman" w:eastAsia="仿宋_GB2312" w:cs="宋体"/>
          <w:color w:val="000000"/>
          <w:kern w:val="0"/>
          <w:sz w:val="32"/>
          <w:szCs w:val="32"/>
        </w:rPr>
        <w:t>云主机安全服务、基础运维服务、系统运维服务，以及数字证书、密码应用服务、运维监理服务和设备维修维护</w:t>
      </w:r>
      <w:r>
        <w:rPr>
          <w:rFonts w:hint="eastAsia" w:ascii="Times New Roman" w:hAnsi="Times New Roman" w:eastAsia="仿宋_GB2312" w:cs="宋体"/>
          <w:color w:val="000000"/>
          <w:kern w:val="0"/>
          <w:sz w:val="32"/>
          <w:szCs w:val="32"/>
          <w:lang w:val="en-US" w:eastAsia="zh-CN"/>
        </w:rPr>
        <w:t>等内容</w:t>
      </w:r>
      <w:r>
        <w:rPr>
          <w:rFonts w:hint="eastAsia" w:ascii="Times New Roman" w:hAnsi="Times New Roman"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lang w:val="en-US" w:eastAsia="zh-CN"/>
        </w:rPr>
        <w:t>完成了信息化业务系统的运行维护工作，</w:t>
      </w:r>
      <w:r>
        <w:rPr>
          <w:rFonts w:hint="eastAsia" w:ascii="Times New Roman" w:hAnsi="Times New Roman" w:eastAsia="仿宋_GB2312" w:cs="宋体"/>
          <w:color w:val="000000"/>
          <w:kern w:val="0"/>
          <w:sz w:val="32"/>
          <w:szCs w:val="32"/>
        </w:rPr>
        <w:t>主要应用系统及设备日常巡检次数</w:t>
      </w:r>
      <w:r>
        <w:rPr>
          <w:rFonts w:hint="eastAsia" w:ascii="Times New Roman" w:hAnsi="Times New Roman" w:eastAsia="仿宋_GB2312" w:cs="宋体"/>
          <w:color w:val="000000"/>
          <w:kern w:val="0"/>
          <w:sz w:val="32"/>
          <w:szCs w:val="32"/>
          <w:lang w:val="en-US" w:eastAsia="zh-CN"/>
        </w:rPr>
        <w:t>48次，故障应急响应及时率100%，保障了各类信息系统的安全稳定运行。</w:t>
      </w:r>
    </w:p>
    <w:p w14:paraId="3080AF05">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（2）执法系统数据保障</w:t>
      </w:r>
    </w:p>
    <w:p w14:paraId="31E8F707">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为保障信息化平台系统数据安全有效，强化网络专项监测保障能力，开展平台数据保障维护服务、执法影像数据保障维护服务和网络有害文化产品和服务专项监测数据保障维护服务，</w:t>
      </w:r>
      <w:r>
        <w:rPr>
          <w:rFonts w:hint="eastAsia" w:ascii="Times New Roman" w:hAnsi="Times New Roman" w:eastAsia="仿宋_GB2312" w:cs="仿宋_GB2312"/>
          <w:sz w:val="32"/>
          <w:szCs w:val="32"/>
          <w:lang w:val="en-US" w:eastAsia="zh-CN"/>
        </w:rPr>
        <w:t>进行</w:t>
      </w:r>
      <w:r>
        <w:rPr>
          <w:rFonts w:hint="eastAsia" w:ascii="Times New Roman" w:hAnsi="Times New Roman" w:eastAsia="仿宋_GB2312" w:cs="仿宋_GB2312"/>
          <w:sz w:val="32"/>
          <w:szCs w:val="32"/>
          <w:lang w:eastAsia="zh-CN"/>
        </w:rPr>
        <w:t>数据运行监管，优化数据采集、数据处理功能，</w:t>
      </w:r>
      <w:r>
        <w:rPr>
          <w:rFonts w:hint="eastAsia" w:ascii="Times New Roman" w:hAnsi="Times New Roman" w:eastAsia="仿宋_GB2312" w:cs="宋体"/>
          <w:color w:val="000000"/>
          <w:kern w:val="0"/>
          <w:sz w:val="32"/>
          <w:szCs w:val="32"/>
          <w:lang w:val="en-US" w:eastAsia="zh-CN"/>
        </w:rPr>
        <w:t>保障了数据的可用性、完整性、规范性、一致性。租赁虚拟服务器，用于满足各应用系统的政务云资源需要，信息化工作平台数据有效率≥95%。</w:t>
      </w:r>
    </w:p>
    <w:p w14:paraId="70926D06">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color w:val="000000"/>
          <w:kern w:val="0"/>
          <w:sz w:val="32"/>
          <w:szCs w:val="32"/>
          <w:lang w:val="en-US"/>
        </w:rPr>
      </w:pPr>
      <w:r>
        <w:rPr>
          <w:rFonts w:hint="eastAsia" w:ascii="Times New Roman" w:hAnsi="Times New Roman"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lang w:val="en-US" w:eastAsia="zh-CN"/>
        </w:rPr>
        <w:t>3）执法装备、服装保障</w:t>
      </w:r>
    </w:p>
    <w:p w14:paraId="2704D0CB">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保障专业执法装备、制式服装等标准化配置，保障人员正常</w:t>
      </w:r>
      <w:r>
        <w:rPr>
          <w:rFonts w:hint="eastAsia" w:eastAsia="仿宋_GB2312" w:cs="宋体"/>
          <w:color w:val="000000"/>
          <w:kern w:val="0"/>
          <w:sz w:val="32"/>
          <w:szCs w:val="32"/>
          <w:lang w:val="en-US" w:eastAsia="zh-CN"/>
        </w:rPr>
        <w:t>执法工作开展</w:t>
      </w:r>
      <w:r>
        <w:rPr>
          <w:rFonts w:hint="eastAsia" w:ascii="Times New Roman" w:hAnsi="Times New Roman" w:eastAsia="仿宋_GB2312" w:cs="宋体"/>
          <w:color w:val="000000"/>
          <w:kern w:val="0"/>
          <w:sz w:val="32"/>
          <w:szCs w:val="32"/>
        </w:rPr>
        <w:t>。202</w:t>
      </w:r>
      <w:r>
        <w:rPr>
          <w:rFonts w:hint="eastAsia" w:ascii="Times New Roman" w:hAnsi="Times New Roman" w:eastAsia="仿宋_GB2312" w:cs="宋体"/>
          <w:color w:val="000000"/>
          <w:kern w:val="0"/>
          <w:sz w:val="32"/>
          <w:szCs w:val="32"/>
          <w:lang w:val="en-US" w:eastAsia="zh-CN"/>
        </w:rPr>
        <w:t>4</w:t>
      </w:r>
      <w:r>
        <w:rPr>
          <w:rFonts w:hint="eastAsia" w:ascii="Times New Roman" w:hAnsi="Times New Roman" w:eastAsia="仿宋_GB2312" w:cs="宋体"/>
          <w:color w:val="000000"/>
          <w:kern w:val="0"/>
          <w:sz w:val="32"/>
          <w:szCs w:val="32"/>
        </w:rPr>
        <w:t>年市文化市场执法总队按照</w:t>
      </w:r>
      <w:r>
        <w:rPr>
          <w:rFonts w:hint="eastAsia" w:ascii="Times New Roman" w:hAnsi="Times New Roman" w:eastAsia="仿宋_GB2312" w:cs="宋体"/>
          <w:color w:val="000000"/>
          <w:kern w:val="0"/>
          <w:sz w:val="32"/>
          <w:szCs w:val="32"/>
          <w:lang w:val="en-US" w:eastAsia="zh-CN"/>
        </w:rPr>
        <w:t>年度工作</w:t>
      </w:r>
      <w:r>
        <w:rPr>
          <w:rFonts w:hint="eastAsia" w:ascii="Times New Roman" w:hAnsi="Times New Roman" w:eastAsia="仿宋_GB2312" w:cs="宋体"/>
          <w:color w:val="000000"/>
          <w:kern w:val="0"/>
          <w:sz w:val="32"/>
          <w:szCs w:val="32"/>
        </w:rPr>
        <w:t>计划，为市文化市场执法总队</w:t>
      </w:r>
      <w:r>
        <w:rPr>
          <w:rFonts w:hint="eastAsia" w:ascii="Times New Roman" w:hAnsi="Times New Roman" w:eastAsia="仿宋_GB2312" w:cs="宋体"/>
          <w:color w:val="000000"/>
          <w:kern w:val="0"/>
          <w:sz w:val="32"/>
          <w:szCs w:val="32"/>
          <w:lang w:val="en-US" w:eastAsia="zh-CN"/>
        </w:rPr>
        <w:t>新增人员</w:t>
      </w:r>
      <w:r>
        <w:rPr>
          <w:rFonts w:hint="eastAsia" w:ascii="Times New Roman" w:hAnsi="Times New Roman" w:eastAsia="仿宋_GB2312" w:cs="宋体"/>
          <w:color w:val="000000"/>
          <w:kern w:val="0"/>
          <w:sz w:val="32"/>
          <w:szCs w:val="32"/>
        </w:rPr>
        <w:t>制作和配发执法制式服装和标志配件</w:t>
      </w:r>
      <w:r>
        <w:rPr>
          <w:rFonts w:hint="eastAsia" w:ascii="Times New Roman" w:hAnsi="Times New Roman" w:eastAsia="仿宋_GB2312" w:cs="宋体"/>
          <w:color w:val="000000"/>
          <w:kern w:val="0"/>
          <w:sz w:val="32"/>
          <w:szCs w:val="32"/>
          <w:lang w:val="en-US" w:eastAsia="zh-CN"/>
        </w:rPr>
        <w:t>，为全部</w:t>
      </w:r>
      <w:r>
        <w:rPr>
          <w:rFonts w:hint="eastAsia" w:ascii="Times New Roman" w:hAnsi="Times New Roman" w:eastAsia="仿宋_GB2312" w:cs="宋体"/>
          <w:color w:val="000000"/>
          <w:kern w:val="0"/>
          <w:sz w:val="32"/>
          <w:szCs w:val="32"/>
        </w:rPr>
        <w:t>执法人员制作和配发</w:t>
      </w:r>
      <w:r>
        <w:rPr>
          <w:rFonts w:hint="eastAsia" w:ascii="Times New Roman" w:hAnsi="Times New Roman" w:eastAsia="仿宋_GB2312" w:cs="宋体"/>
          <w:color w:val="000000"/>
          <w:kern w:val="0"/>
          <w:sz w:val="32"/>
          <w:szCs w:val="32"/>
          <w:lang w:eastAsia="zh-CN"/>
        </w:rPr>
        <w:t>执法</w:t>
      </w:r>
      <w:r>
        <w:rPr>
          <w:rFonts w:hint="eastAsia" w:ascii="Times New Roman" w:hAnsi="Times New Roman" w:eastAsia="仿宋_GB2312" w:cs="宋体"/>
          <w:color w:val="000000"/>
          <w:kern w:val="0"/>
          <w:sz w:val="32"/>
          <w:szCs w:val="32"/>
        </w:rPr>
        <w:t>标志配件，</w:t>
      </w:r>
      <w:r>
        <w:rPr>
          <w:rFonts w:hint="eastAsia" w:ascii="Times New Roman" w:hAnsi="Times New Roman" w:eastAsia="仿宋_GB2312" w:cs="宋体"/>
          <w:color w:val="000000"/>
          <w:kern w:val="0"/>
          <w:sz w:val="32"/>
          <w:szCs w:val="32"/>
          <w:lang w:val="en-US" w:eastAsia="zh-CN"/>
        </w:rPr>
        <w:t>服装符合综合行政执法制式服装和标志相关管理要求。</w:t>
      </w:r>
    </w:p>
    <w:p w14:paraId="513D31DA">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3.</w:t>
      </w:r>
      <w:r>
        <w:rPr>
          <w:rFonts w:hint="eastAsia" w:ascii="Times New Roman" w:hAnsi="Times New Roman" w:eastAsia="仿宋_GB2312" w:cs="宋体"/>
          <w:color w:val="000000"/>
          <w:kern w:val="0"/>
          <w:sz w:val="32"/>
          <w:szCs w:val="32"/>
        </w:rPr>
        <w:t>指导、协调、监督、考核各区文化市场综合执法</w:t>
      </w:r>
      <w:r>
        <w:rPr>
          <w:rFonts w:hint="eastAsia" w:ascii="Times New Roman" w:hAnsi="Times New Roman" w:eastAsia="仿宋_GB2312" w:cs="宋体"/>
          <w:color w:val="000000"/>
          <w:kern w:val="0"/>
          <w:sz w:val="32"/>
          <w:szCs w:val="32"/>
          <w:lang w:val="en-US" w:eastAsia="zh-CN"/>
        </w:rPr>
        <w:t>工作</w:t>
      </w:r>
    </w:p>
    <w:p w14:paraId="0BFA1EE2">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仿宋_GB2312"/>
          <w:b/>
          <w:bCs/>
          <w:spacing w:val="0"/>
          <w:w w:val="100"/>
          <w:sz w:val="36"/>
          <w:szCs w:val="36"/>
          <w:highlight w:val="none"/>
          <w:u w:val="none"/>
          <w:lang w:val="en-US" w:eastAsia="zh-CN"/>
        </w:rPr>
      </w:pPr>
      <w:r>
        <w:rPr>
          <w:rFonts w:hint="eastAsia" w:ascii="Times New Roman" w:hAnsi="Times New Roman" w:eastAsia="仿宋_GB2312" w:cs="宋体"/>
          <w:color w:val="000000"/>
          <w:kern w:val="0"/>
          <w:sz w:val="32"/>
          <w:szCs w:val="32"/>
          <w:lang w:val="en-US" w:eastAsia="zh-CN"/>
        </w:rPr>
        <w:t>（1）持续深化区级文化市场综合执法改革</w:t>
      </w:r>
    </w:p>
    <w:p w14:paraId="08193B01">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定期通报各区文化市场综合执法改革推进情况，督促改革任务落实。聚焦执法主业，推动区级执法队伍在岗率</w:t>
      </w:r>
      <w:r>
        <w:rPr>
          <w:rFonts w:hint="eastAsia" w:eastAsia="仿宋_GB2312" w:cs="宋体"/>
          <w:color w:val="000000"/>
          <w:kern w:val="0"/>
          <w:sz w:val="32"/>
          <w:szCs w:val="32"/>
          <w:lang w:val="en-US" w:eastAsia="zh-CN"/>
        </w:rPr>
        <w:t>、</w:t>
      </w:r>
      <w:r>
        <w:rPr>
          <w:rFonts w:hint="eastAsia" w:ascii="Times New Roman" w:hAnsi="Times New Roman" w:eastAsia="仿宋_GB2312" w:cs="宋体"/>
          <w:color w:val="000000"/>
          <w:kern w:val="0"/>
          <w:sz w:val="32"/>
          <w:szCs w:val="32"/>
          <w:lang w:val="en-US" w:eastAsia="zh-CN"/>
        </w:rPr>
        <w:t>在编率提高。着力强化对区级执法队伍指导帮带，将指导区队案件办理情况纳入年度考核，指导各区办理案件27起、移刑1起，16起案件被评为全市文化执法重大案件，基层执法质效全面提升。扎实推进市区两级执法案卷“月互查、季评查”，案卷审核率100%</w:t>
      </w:r>
      <w:r>
        <w:rPr>
          <w:rFonts w:hint="eastAsia" w:eastAsia="仿宋_GB2312" w:cs="宋体"/>
          <w:color w:val="000000"/>
          <w:kern w:val="0"/>
          <w:sz w:val="32"/>
          <w:szCs w:val="32"/>
          <w:lang w:val="en-US" w:eastAsia="zh-CN"/>
        </w:rPr>
        <w:t>，</w:t>
      </w:r>
      <w:r>
        <w:rPr>
          <w:rFonts w:hint="eastAsia" w:ascii="Times New Roman" w:hAnsi="Times New Roman" w:eastAsia="仿宋_GB2312" w:cs="宋体"/>
          <w:color w:val="000000"/>
          <w:kern w:val="0"/>
          <w:sz w:val="32"/>
          <w:szCs w:val="32"/>
          <w:lang w:val="en-US" w:eastAsia="zh-CN"/>
        </w:rPr>
        <w:t>开发运用线上评查模块，实现处罚案件两轮次、全覆盖评查。</w:t>
      </w:r>
    </w:p>
    <w:p w14:paraId="15B40E86">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lang w:val="en-US" w:eastAsia="zh-CN"/>
        </w:rPr>
        <w:t>（2）强化</w:t>
      </w:r>
      <w:r>
        <w:rPr>
          <w:rFonts w:hint="eastAsia" w:ascii="Times New Roman" w:hAnsi="Times New Roman" w:eastAsia="仿宋_GB2312" w:cs="宋体"/>
          <w:color w:val="000000"/>
          <w:kern w:val="0"/>
          <w:sz w:val="32"/>
          <w:szCs w:val="32"/>
        </w:rPr>
        <w:t>文化综合执法队伍建设</w:t>
      </w:r>
    </w:p>
    <w:p w14:paraId="2DD0454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为</w:t>
      </w:r>
      <w:r>
        <w:rPr>
          <w:rFonts w:hint="eastAsia" w:ascii="Times New Roman" w:hAnsi="Times New Roman" w:eastAsia="仿宋_GB2312" w:cs="宋体"/>
          <w:color w:val="000000"/>
          <w:kern w:val="0"/>
          <w:sz w:val="32"/>
          <w:szCs w:val="32"/>
        </w:rPr>
        <w:t>提高执法人员业务技能和综合素质</w:t>
      </w:r>
      <w:r>
        <w:rPr>
          <w:rFonts w:hint="eastAsia" w:ascii="Times New Roman" w:hAnsi="Times New Roman"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rPr>
        <w:t>202</w:t>
      </w:r>
      <w:r>
        <w:rPr>
          <w:rFonts w:hint="eastAsia" w:ascii="Times New Roman" w:hAnsi="Times New Roman" w:eastAsia="仿宋_GB2312" w:cs="宋体"/>
          <w:color w:val="000000"/>
          <w:kern w:val="0"/>
          <w:sz w:val="32"/>
          <w:szCs w:val="32"/>
          <w:lang w:val="en-US" w:eastAsia="zh-CN"/>
        </w:rPr>
        <w:t>4</w:t>
      </w:r>
      <w:r>
        <w:rPr>
          <w:rFonts w:hint="eastAsia" w:ascii="Times New Roman" w:hAnsi="Times New Roman" w:eastAsia="仿宋_GB2312" w:cs="宋体"/>
          <w:color w:val="000000"/>
          <w:kern w:val="0"/>
          <w:sz w:val="32"/>
          <w:szCs w:val="32"/>
        </w:rPr>
        <w:t>年优化</w:t>
      </w:r>
      <w:r>
        <w:rPr>
          <w:rFonts w:hint="eastAsia" w:ascii="Times New Roman" w:hAnsi="Times New Roman" w:eastAsia="仿宋_GB2312" w:cs="宋体"/>
          <w:color w:val="000000"/>
          <w:kern w:val="0"/>
          <w:sz w:val="32"/>
          <w:szCs w:val="32"/>
          <w:lang w:val="en-US" w:eastAsia="zh-CN"/>
        </w:rPr>
        <w:t>了</w:t>
      </w:r>
      <w:r>
        <w:rPr>
          <w:rFonts w:hint="eastAsia" w:ascii="Times New Roman" w:hAnsi="Times New Roman" w:eastAsia="仿宋_GB2312" w:cs="宋体"/>
          <w:color w:val="000000"/>
          <w:kern w:val="0"/>
          <w:sz w:val="32"/>
          <w:szCs w:val="32"/>
        </w:rPr>
        <w:t>“普训+专训+特训”执法培训体系，</w:t>
      </w:r>
      <w:r>
        <w:rPr>
          <w:rFonts w:hint="eastAsia" w:ascii="Times New Roman" w:hAnsi="Times New Roman" w:eastAsia="仿宋_GB2312" w:cs="宋体"/>
          <w:color w:val="000000"/>
          <w:kern w:val="0"/>
          <w:sz w:val="32"/>
          <w:szCs w:val="32"/>
          <w:lang w:val="en-US" w:eastAsia="zh-CN"/>
        </w:rPr>
        <w:t>开展了</w:t>
      </w:r>
      <w:r>
        <w:rPr>
          <w:rFonts w:hint="eastAsia" w:ascii="Times New Roman" w:hAnsi="Times New Roman" w:eastAsia="仿宋_GB2312" w:cs="宋体"/>
          <w:color w:val="000000"/>
          <w:kern w:val="0"/>
          <w:sz w:val="32"/>
          <w:szCs w:val="32"/>
        </w:rPr>
        <w:t>专题培训与技能训练</w:t>
      </w:r>
      <w:r>
        <w:rPr>
          <w:rFonts w:hint="eastAsia" w:ascii="Times New Roman" w:hAnsi="Times New Roman"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lang w:val="en-US" w:eastAsia="zh-CN"/>
        </w:rPr>
        <w:t>参与考生平均分均达到90分以上，人员培训合格率高于95%。</w:t>
      </w:r>
    </w:p>
    <w:p w14:paraId="5C47BA04">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（3）修订完善执法制度或办法</w:t>
      </w:r>
    </w:p>
    <w:p w14:paraId="2BBE4C59">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研究出台专门工作方案，在全市部署开展了“案件质量大提升”活动，研究制定23项具体提升举措，推进执法规范化建设。创新市区两级执法案卷“月互查、季评查”机制，先后汇集整编文旅部</w:t>
      </w:r>
      <w:r>
        <w:rPr>
          <w:rFonts w:hint="eastAsia" w:eastAsia="仿宋_GB2312" w:cs="宋体"/>
          <w:color w:val="000000"/>
          <w:kern w:val="0"/>
          <w:sz w:val="32"/>
          <w:szCs w:val="32"/>
          <w:lang w:val="en-US" w:eastAsia="zh-CN"/>
        </w:rPr>
        <w:t>、</w:t>
      </w:r>
      <w:r>
        <w:rPr>
          <w:rFonts w:hint="eastAsia" w:ascii="Times New Roman" w:hAnsi="Times New Roman" w:eastAsia="仿宋_GB2312" w:cs="宋体"/>
          <w:color w:val="000000"/>
          <w:kern w:val="0"/>
          <w:sz w:val="32"/>
          <w:szCs w:val="32"/>
          <w:lang w:val="en-US" w:eastAsia="zh-CN"/>
        </w:rPr>
        <w:t>北京市《行政处罚案卷评查评分细则》《行政处罚案卷制作标准》，修订完善全流程执法文书。修订《季度办案能手、年度办案标兵评选办法》，制定《优秀案卷、优秀案卷评查员评选办法》《执法师资管理办法》系列制度文件，编纂执法指引、案例汇编等执法基础教材，推送执法小提示50期，推动完善了执法保障机制。</w:t>
      </w:r>
    </w:p>
    <w:p w14:paraId="1E35BA69">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lang w:val="en-US" w:eastAsia="zh-CN"/>
        </w:rPr>
        <w:t>（4）</w:t>
      </w:r>
      <w:r>
        <w:rPr>
          <w:rFonts w:hint="eastAsia" w:ascii="Times New Roman" w:hAnsi="Times New Roman" w:eastAsia="仿宋_GB2312" w:cs="宋体"/>
          <w:color w:val="000000"/>
          <w:kern w:val="0"/>
          <w:sz w:val="32"/>
          <w:szCs w:val="32"/>
        </w:rPr>
        <w:t>北京市文化市场监管调研及课题研究</w:t>
      </w:r>
    </w:p>
    <w:p w14:paraId="0E3D0D8A">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202</w:t>
      </w:r>
      <w:r>
        <w:rPr>
          <w:rFonts w:hint="eastAsia" w:ascii="Times New Roman" w:hAnsi="Times New Roman" w:eastAsia="仿宋_GB2312" w:cs="宋体"/>
          <w:color w:val="000000"/>
          <w:kern w:val="0"/>
          <w:sz w:val="32"/>
          <w:szCs w:val="32"/>
          <w:lang w:val="en-US" w:eastAsia="zh-CN"/>
        </w:rPr>
        <w:t>4</w:t>
      </w:r>
      <w:r>
        <w:rPr>
          <w:rFonts w:hint="eastAsia" w:ascii="Times New Roman" w:hAnsi="Times New Roman" w:eastAsia="仿宋_GB2312" w:cs="宋体"/>
          <w:color w:val="000000"/>
          <w:kern w:val="0"/>
          <w:sz w:val="32"/>
          <w:szCs w:val="32"/>
        </w:rPr>
        <w:t>年市文化市场执法总队按照上级部署和总队工作需要，完成了</w:t>
      </w:r>
      <w:r>
        <w:rPr>
          <w:rFonts w:hint="eastAsia" w:eastAsia="仿宋_GB2312" w:cs="宋体"/>
          <w:color w:val="000000"/>
          <w:kern w:val="0"/>
          <w:sz w:val="32"/>
          <w:szCs w:val="32"/>
          <w:lang w:eastAsia="zh-CN"/>
        </w:rPr>
        <w:t>相关</w:t>
      </w:r>
      <w:r>
        <w:rPr>
          <w:rFonts w:hint="eastAsia" w:ascii="Times New Roman" w:hAnsi="Times New Roman" w:eastAsia="仿宋_GB2312" w:cs="宋体"/>
          <w:color w:val="000000"/>
          <w:kern w:val="0"/>
          <w:sz w:val="32"/>
          <w:szCs w:val="32"/>
        </w:rPr>
        <w:t>调研</w:t>
      </w:r>
      <w:r>
        <w:rPr>
          <w:rFonts w:hint="eastAsia" w:eastAsia="仿宋_GB2312" w:cs="宋体"/>
          <w:color w:val="000000"/>
          <w:kern w:val="0"/>
          <w:sz w:val="32"/>
          <w:szCs w:val="32"/>
          <w:lang w:eastAsia="zh-CN"/>
        </w:rPr>
        <w:t>工作任务</w:t>
      </w:r>
      <w:r>
        <w:rPr>
          <w:rFonts w:hint="eastAsia" w:ascii="Times New Roman" w:hAnsi="Times New Roman" w:eastAsia="仿宋_GB2312" w:cs="宋体"/>
          <w:color w:val="000000"/>
          <w:kern w:val="0"/>
          <w:sz w:val="32"/>
          <w:szCs w:val="32"/>
        </w:rPr>
        <w:t>，调研成果为总队执法工作提供了一定的指导。</w:t>
      </w:r>
    </w:p>
    <w:p w14:paraId="537CD6D0">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4.党建工作</w:t>
      </w:r>
    </w:p>
    <w:p w14:paraId="2E2DFA08">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rPr>
        <w:t>202</w:t>
      </w:r>
      <w:r>
        <w:rPr>
          <w:rFonts w:hint="eastAsia" w:ascii="Times New Roman" w:hAnsi="Times New Roman" w:eastAsia="仿宋_GB2312" w:cs="宋体"/>
          <w:color w:val="000000"/>
          <w:kern w:val="0"/>
          <w:sz w:val="32"/>
          <w:szCs w:val="32"/>
          <w:lang w:val="en-US" w:eastAsia="zh-CN"/>
        </w:rPr>
        <w:t>4</w:t>
      </w:r>
      <w:r>
        <w:rPr>
          <w:rFonts w:hint="eastAsia" w:ascii="Times New Roman" w:hAnsi="Times New Roman" w:eastAsia="仿宋_GB2312" w:cs="宋体"/>
          <w:color w:val="000000"/>
          <w:kern w:val="0"/>
          <w:sz w:val="32"/>
          <w:szCs w:val="32"/>
        </w:rPr>
        <w:t>年，</w:t>
      </w:r>
      <w:r>
        <w:rPr>
          <w:rFonts w:hint="eastAsia" w:ascii="Times New Roman" w:hAnsi="Times New Roman" w:eastAsia="仿宋_GB2312" w:cs="宋体"/>
          <w:color w:val="000000"/>
          <w:kern w:val="0"/>
          <w:sz w:val="32"/>
          <w:szCs w:val="32"/>
          <w:lang w:eastAsia="zh-CN"/>
        </w:rPr>
        <w:t>全市文化市场综合执法队伍</w:t>
      </w:r>
      <w:r>
        <w:rPr>
          <w:rFonts w:hint="eastAsia" w:ascii="Times New Roman" w:hAnsi="Times New Roman" w:eastAsia="仿宋_GB2312" w:cs="宋体"/>
          <w:color w:val="000000"/>
          <w:kern w:val="0"/>
          <w:sz w:val="32"/>
          <w:szCs w:val="32"/>
          <w:lang w:val="en-US" w:eastAsia="zh-CN"/>
        </w:rPr>
        <w:t>坚持以习近平新时代中国特色社会主义思想为指导，深入贯彻党的二十大和二十届二中、三中全会精神，紧紧围绕“政治建队、纪律管队、作风塑队、科技强队”建队理念，牢固树立政治思维与法治思维相统一的执法理念。</w:t>
      </w:r>
    </w:p>
    <w:p w14:paraId="12BC397D">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一是高标准推进党的创新理论学深走实。坚持用习近平新时代中国特色社会主义思想凝心铸魂，注重用好“三个课堂”，突出营造总队“四学”学风，组织开展“第一议题”学习，发布“每日微党课”。</w:t>
      </w:r>
    </w:p>
    <w:p w14:paraId="1AC3B928">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 xml:space="preserve">二是高质量推动决策部署、指示批示落地落细。高质量办结办案事件455件，形成总结报告182篇，制度方案48个。 </w:t>
      </w:r>
    </w:p>
    <w:p w14:paraId="1226822B">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rPr>
      </w:pPr>
      <w:r>
        <w:rPr>
          <w:rFonts w:hint="eastAsia" w:ascii="Times New Roman" w:hAnsi="Times New Roman" w:eastAsia="仿宋_GB2312" w:cs="宋体"/>
          <w:color w:val="000000"/>
          <w:kern w:val="0"/>
          <w:sz w:val="32"/>
          <w:szCs w:val="32"/>
          <w:lang w:val="en-US" w:eastAsia="zh-CN"/>
        </w:rPr>
        <w:t>三是高站位配合市委巡视工作。坚持政治站位、同题共答，针对巡视组中期反馈问题，组织自查整治专题民主生活会，认真查</w:t>
      </w:r>
      <w:r>
        <w:rPr>
          <w:rFonts w:hint="eastAsia" w:eastAsia="仿宋_GB2312" w:cs="宋体"/>
          <w:color w:val="000000"/>
          <w:kern w:val="0"/>
          <w:sz w:val="32"/>
          <w:szCs w:val="32"/>
          <w:lang w:val="en-US" w:eastAsia="zh-CN"/>
        </w:rPr>
        <w:t>办</w:t>
      </w:r>
      <w:r>
        <w:rPr>
          <w:rFonts w:hint="eastAsia" w:ascii="Times New Roman" w:hAnsi="Times New Roman" w:eastAsia="仿宋_GB2312" w:cs="宋体"/>
          <w:color w:val="000000"/>
          <w:kern w:val="0"/>
          <w:sz w:val="32"/>
          <w:szCs w:val="32"/>
          <w:lang w:val="en-US" w:eastAsia="zh-CN"/>
        </w:rPr>
        <w:t>5个方面15项问题。第一时间研究出台整改方案，提出32项整改措施，目前已修订完善制度16个，新建制度13个，完成整改30项，切实做到以巡促改、以巡促建、以巡促治。</w:t>
      </w:r>
    </w:p>
    <w:p w14:paraId="528D0AD1">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1"/>
        <w:rPr>
          <w:rFonts w:ascii="Times New Roman" w:hAnsi="Times New Roman" w:eastAsia="楷体_GB2312"/>
          <w:sz w:val="32"/>
          <w:szCs w:val="32"/>
        </w:rPr>
      </w:pPr>
      <w:bookmarkStart w:id="15" w:name="_Toc25970"/>
      <w:bookmarkStart w:id="16" w:name="_Toc165913333"/>
      <w:r>
        <w:rPr>
          <w:rFonts w:hint="eastAsia" w:ascii="Times New Roman" w:hAnsi="Times New Roman" w:eastAsia="楷体_GB2312"/>
          <w:sz w:val="32"/>
          <w:szCs w:val="32"/>
        </w:rPr>
        <w:t>（二）效果</w:t>
      </w:r>
      <w:r>
        <w:rPr>
          <w:rFonts w:ascii="Times New Roman" w:hAnsi="Times New Roman" w:eastAsia="楷体_GB2312"/>
          <w:sz w:val="32"/>
          <w:szCs w:val="32"/>
        </w:rPr>
        <w:t>实现情况分析</w:t>
      </w:r>
      <w:bookmarkEnd w:id="15"/>
      <w:bookmarkEnd w:id="16"/>
    </w:p>
    <w:p w14:paraId="07E4DA95">
      <w:pPr>
        <w:keepNext w:val="0"/>
        <w:keepLines w:val="0"/>
        <w:pageBreakBefore w:val="0"/>
        <w:kinsoku/>
        <w:wordWrap/>
        <w:overflowPunct/>
        <w:topLinePunct w:val="0"/>
        <w:autoSpaceDE/>
        <w:autoSpaceDN/>
        <w:bidi w:val="0"/>
        <w:adjustRightInd/>
        <w:snapToGrid w:val="0"/>
        <w:spacing w:beforeAutospacing="0" w:afterAutospacing="0"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202</w:t>
      </w:r>
      <w:r>
        <w:rPr>
          <w:rFonts w:hint="eastAsia" w:ascii="Times New Roman" w:hAnsi="Times New Roman" w:eastAsia="仿宋_GB2312" w:cs="宋体"/>
          <w:color w:val="000000"/>
          <w:kern w:val="0"/>
          <w:sz w:val="32"/>
          <w:szCs w:val="32"/>
          <w:lang w:val="en-US" w:eastAsia="zh-CN"/>
        </w:rPr>
        <w:t>4</w:t>
      </w:r>
      <w:r>
        <w:rPr>
          <w:rFonts w:hint="eastAsia" w:ascii="Times New Roman" w:hAnsi="Times New Roman" w:eastAsia="仿宋_GB2312" w:cs="宋体"/>
          <w:color w:val="000000"/>
          <w:kern w:val="0"/>
          <w:sz w:val="32"/>
          <w:szCs w:val="32"/>
        </w:rPr>
        <w:t>年，市文化市场执法总队</w:t>
      </w:r>
      <w:r>
        <w:rPr>
          <w:rFonts w:hint="eastAsia" w:ascii="Times New Roman" w:hAnsi="Times New Roman" w:eastAsia="仿宋_GB2312"/>
          <w:sz w:val="32"/>
          <w:szCs w:val="32"/>
        </w:rPr>
        <w:t>深入贯彻落实总队党组的各项工作部署，</w:t>
      </w:r>
      <w:r>
        <w:rPr>
          <w:rFonts w:hint="eastAsia" w:ascii="Times New Roman" w:hAnsi="Times New Roman" w:eastAsia="仿宋_GB2312" w:cs="宋体"/>
          <w:color w:val="000000"/>
          <w:kern w:val="0"/>
          <w:sz w:val="32"/>
          <w:szCs w:val="32"/>
        </w:rPr>
        <w:t>不断推进重点工作、重点任务落实，</w:t>
      </w:r>
      <w:r>
        <w:rPr>
          <w:rFonts w:hint="eastAsia" w:ascii="Times New Roman" w:hAnsi="Times New Roman" w:eastAsia="仿宋_GB2312"/>
          <w:sz w:val="32"/>
          <w:szCs w:val="32"/>
          <w:lang w:val="en-US" w:eastAsia="zh-CN"/>
        </w:rPr>
        <w:t>并</w:t>
      </w:r>
      <w:r>
        <w:rPr>
          <w:rFonts w:hint="eastAsia" w:ascii="Times New Roman" w:hAnsi="Times New Roman" w:eastAsia="仿宋_GB2312" w:cs="宋体"/>
          <w:color w:val="000000"/>
          <w:kern w:val="0"/>
          <w:sz w:val="32"/>
          <w:szCs w:val="32"/>
        </w:rPr>
        <w:t>取得</w:t>
      </w:r>
      <w:r>
        <w:rPr>
          <w:rFonts w:hint="eastAsia" w:ascii="Times New Roman" w:hAnsi="Times New Roman" w:eastAsia="仿宋_GB2312" w:cs="宋体"/>
          <w:color w:val="000000"/>
          <w:kern w:val="0"/>
          <w:sz w:val="32"/>
          <w:szCs w:val="32"/>
          <w:lang w:eastAsia="zh-CN"/>
        </w:rPr>
        <w:t>了</w:t>
      </w:r>
      <w:r>
        <w:rPr>
          <w:rFonts w:hint="eastAsia" w:ascii="Times New Roman" w:hAnsi="Times New Roman" w:eastAsia="仿宋_GB2312" w:cs="宋体"/>
          <w:color w:val="000000"/>
          <w:kern w:val="0"/>
          <w:sz w:val="32"/>
          <w:szCs w:val="32"/>
        </w:rPr>
        <w:t>明显成效，具体情况如下：</w:t>
      </w:r>
    </w:p>
    <w:p w14:paraId="71A233C2">
      <w:pPr>
        <w:keepNext w:val="0"/>
        <w:keepLines w:val="0"/>
        <w:pageBreakBefore w:val="0"/>
        <w:kinsoku/>
        <w:wordWrap/>
        <w:overflowPunct/>
        <w:topLinePunct w:val="0"/>
        <w:autoSpaceDE/>
        <w:autoSpaceDN/>
        <w:bidi w:val="0"/>
        <w:adjustRightInd/>
        <w:snapToGrid w:val="0"/>
        <w:spacing w:beforeAutospacing="0" w:afterAutospacing="0"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1.社会效益</w:t>
      </w:r>
    </w:p>
    <w:p w14:paraId="4C042369">
      <w:pPr>
        <w:keepNext w:val="0"/>
        <w:keepLines w:val="0"/>
        <w:pageBreakBefore w:val="0"/>
        <w:kinsoku/>
        <w:wordWrap/>
        <w:overflowPunct/>
        <w:topLinePunct w:val="0"/>
        <w:autoSpaceDE/>
        <w:autoSpaceDN/>
        <w:bidi w:val="0"/>
        <w:adjustRightInd/>
        <w:snapToGrid w:val="0"/>
        <w:spacing w:beforeAutospacing="0" w:afterAutospacing="0"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lang w:val="en-US" w:eastAsia="zh-CN"/>
        </w:rPr>
        <w:t>1</w:t>
      </w:r>
      <w:r>
        <w:rPr>
          <w:rFonts w:hint="eastAsia" w:ascii="Times New Roman" w:hAnsi="Times New Roman"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rPr>
        <w:t>不断提高执法办案工作能力。</w:t>
      </w:r>
    </w:p>
    <w:p w14:paraId="3B00AF2B">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一是</w:t>
      </w:r>
      <w:r>
        <w:rPr>
          <w:rFonts w:hint="eastAsia" w:ascii="Times New Roman" w:hAnsi="Times New Roman" w:eastAsia="仿宋_GB2312" w:cs="宋体"/>
          <w:color w:val="000000"/>
          <w:kern w:val="0"/>
          <w:sz w:val="32"/>
          <w:szCs w:val="32"/>
        </w:rPr>
        <w:t>持续</w:t>
      </w:r>
      <w:r>
        <w:rPr>
          <w:rFonts w:hint="eastAsia" w:ascii="Times New Roman" w:hAnsi="Times New Roman" w:eastAsia="仿宋_GB2312" w:cs="宋体"/>
          <w:color w:val="000000"/>
          <w:kern w:val="0"/>
          <w:sz w:val="32"/>
          <w:szCs w:val="32"/>
          <w:lang w:val="en-US" w:eastAsia="zh-CN"/>
        </w:rPr>
        <w:t>优化“普训+专训+特训”执法培训体系，组织全市执法骨干培训，提升了执法人员法律素养，执法队伍依法行政能力水平显著提升；结合实际执法需求，针对新兴领域开展相关培训，及时掌握行业最新动态，填补执法空白，有助于防范社会治理风险。</w:t>
      </w:r>
    </w:p>
    <w:p w14:paraId="32BB393D">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二是开展全市执法师资评选活动，利用师资评选活动挖掘优秀实务人才，形成“专家型”师资库，有助于解决基层培训资源不足问题，发挥辐射带动作用，推动实现全市执法能力均衡发展。</w:t>
      </w:r>
    </w:p>
    <w:p w14:paraId="155DB6A4">
      <w:pPr>
        <w:pStyle w:val="17"/>
        <w:keepNext w:val="0"/>
        <w:keepLines w:val="0"/>
        <w:pageBreakBefore w:val="0"/>
        <w:widowControl/>
        <w:suppressLineNumbers w:val="0"/>
        <w:kinsoku/>
        <w:wordWrap/>
        <w:overflowPunct/>
        <w:topLinePunct w:val="0"/>
        <w:autoSpaceDE/>
        <w:autoSpaceDN/>
        <w:bidi w:val="0"/>
        <w:adjustRightInd/>
        <w:spacing w:before="0" w:beforeAutospacing="0" w:after="0" w:afterAutospacing="0" w:line="560" w:lineRule="exact"/>
        <w:ind w:left="0" w:right="0"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bidi="ar-SA"/>
        </w:rPr>
        <w:t>三是强化执法人员综合能力大练兵，砥砺全市文化执法队伍能力作风，推动打造全面过硬首都文化铁军，积极锤炼“敏感、预判、决断”首都文化执法三项基本功，提高执法人员专业素养，增强了执法人员协同处置能力，</w:t>
      </w:r>
      <w:r>
        <w:rPr>
          <w:rFonts w:hint="eastAsia" w:ascii="Times New Roman" w:hAnsi="Times New Roman" w:eastAsia="CESI仿宋-GB2312" w:cs="CESI仿宋-GB2312"/>
          <w:sz w:val="32"/>
          <w:szCs w:val="32"/>
          <w:lang w:val="en-US" w:eastAsia="zh-CN"/>
        </w:rPr>
        <w:t>为护航新时代首都文化执法事业高质量发展提供坚强保障。</w:t>
      </w:r>
    </w:p>
    <w:p w14:paraId="41DBA5B4">
      <w:pPr>
        <w:keepNext w:val="0"/>
        <w:keepLines w:val="0"/>
        <w:pageBreakBefore w:val="0"/>
        <w:numPr>
          <w:ilvl w:val="0"/>
          <w:numId w:val="4"/>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推进文化执法专业化、规范化、现代化建设，履职效率、管理效能和服务效果进一步提升</w:t>
      </w:r>
      <w:r>
        <w:rPr>
          <w:rFonts w:hint="eastAsia" w:ascii="Times New Roman" w:hAnsi="Times New Roman" w:eastAsia="仿宋_GB2312" w:cs="宋体"/>
          <w:color w:val="000000"/>
          <w:kern w:val="0"/>
          <w:sz w:val="32"/>
          <w:szCs w:val="32"/>
          <w:lang w:eastAsia="zh-CN"/>
        </w:rPr>
        <w:t>。</w:t>
      </w:r>
    </w:p>
    <w:p w14:paraId="34E1D302">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一是</w:t>
      </w:r>
      <w:r>
        <w:rPr>
          <w:rFonts w:hint="eastAsia" w:ascii="Times New Roman" w:hAnsi="Times New Roman" w:eastAsia="仿宋_GB2312" w:cs="宋体"/>
          <w:color w:val="000000"/>
          <w:kern w:val="0"/>
          <w:sz w:val="32"/>
          <w:szCs w:val="32"/>
          <w:lang w:eastAsia="zh-CN"/>
        </w:rPr>
        <w:t>深入推进“案件质量大提升”活动</w:t>
      </w:r>
      <w:r>
        <w:rPr>
          <w:rFonts w:hint="eastAsia"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lang w:val="en-US" w:eastAsia="zh-CN"/>
        </w:rPr>
        <w:t>推动执法规范化建设，创新市区两级执法案卷“月互查、季评查”机制，修订完善全流程执法文书和相关制度文件，逐步构建“法制+支队+法制员”全流程执法监督体系，为执法工作提供了制度支撑。通过案卷互查和文书标准化，推动提高执法的公开性和规范性，减少了程序违法导致的行政诉讼。</w:t>
      </w:r>
    </w:p>
    <w:p w14:paraId="3BCACF29">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二是持续深化区级文化市场综合执法改革。确保执法力量充足，有效打击非法出版物、网络有害信息等，筑牢文化安全防线。着力强化对区级执法队伍指导帮带，将指导区队案件办理情况纳入年度考核，推动基层执法质效全面提升。</w:t>
      </w:r>
    </w:p>
    <w:p w14:paraId="04873563">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Chars="0" w:firstLine="640" w:firstLineChars="200"/>
        <w:textAlignment w:val="auto"/>
        <w:rPr>
          <w:rFonts w:hint="eastAsia" w:ascii="Times New Roman" w:hAnsi="Times New Roman" w:eastAsia="仿宋_GB2312" w:cs="宋体"/>
          <w:b w:val="0"/>
          <w:bCs w:val="0"/>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三是</w:t>
      </w:r>
      <w:r>
        <w:rPr>
          <w:rFonts w:hint="eastAsia" w:ascii="Times New Roman" w:hAnsi="Times New Roman" w:eastAsia="仿宋_GB2312" w:cs="宋体"/>
          <w:b w:val="0"/>
          <w:bCs w:val="0"/>
          <w:color w:val="000000"/>
          <w:kern w:val="0"/>
          <w:sz w:val="32"/>
          <w:szCs w:val="32"/>
          <w:lang w:val="en-US" w:eastAsia="zh-CN"/>
        </w:rPr>
        <w:t>创新探索非现场执法监管模式。非现场执法倒逼执法人员从“重现场威慑”转向“重数据分析”，推动实现监管“无感化”，塑造新型执法文化。2024年</w:t>
      </w:r>
      <w:r>
        <w:rPr>
          <w:rFonts w:hint="eastAsia" w:ascii="Times New Roman" w:hAnsi="Times New Roman" w:eastAsia="仿宋_GB2312" w:cs="宋体"/>
          <w:color w:val="000000"/>
          <w:kern w:val="0"/>
          <w:sz w:val="32"/>
          <w:szCs w:val="32"/>
        </w:rPr>
        <w:t>市文化市场执法总队</w:t>
      </w:r>
      <w:r>
        <w:rPr>
          <w:rFonts w:hint="eastAsia" w:ascii="Times New Roman" w:hAnsi="Times New Roman" w:eastAsia="仿宋_GB2312" w:cs="宋体"/>
          <w:color w:val="000000"/>
          <w:kern w:val="0"/>
          <w:sz w:val="32"/>
          <w:szCs w:val="32"/>
          <w:lang w:val="en-US" w:eastAsia="zh-CN"/>
        </w:rPr>
        <w:t>全年非现场检查率达78.97%，在全市各支综合执法队伍中排名第一。</w:t>
      </w:r>
    </w:p>
    <w:p w14:paraId="4131629E">
      <w:pPr>
        <w:keepNext w:val="0"/>
        <w:keepLines w:val="0"/>
        <w:pageBreakBefore w:val="0"/>
        <w:numPr>
          <w:ilvl w:val="0"/>
          <w:numId w:val="4"/>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b w:val="0"/>
          <w:bCs w:val="0"/>
          <w:color w:val="000000"/>
          <w:kern w:val="0"/>
          <w:sz w:val="32"/>
          <w:szCs w:val="32"/>
          <w:lang w:val="en-US" w:eastAsia="zh-CN"/>
        </w:rPr>
      </w:pPr>
      <w:r>
        <w:rPr>
          <w:rFonts w:hint="eastAsia" w:ascii="Times New Roman" w:hAnsi="Times New Roman" w:eastAsia="仿宋_GB2312" w:cs="宋体"/>
          <w:b w:val="0"/>
          <w:bCs w:val="0"/>
          <w:color w:val="000000"/>
          <w:kern w:val="0"/>
          <w:sz w:val="32"/>
          <w:szCs w:val="32"/>
          <w:lang w:val="en-US" w:eastAsia="zh-CN"/>
        </w:rPr>
        <w:t>维护首都文化市场健康有序、安全稳定。</w:t>
      </w:r>
    </w:p>
    <w:p w14:paraId="23F029C2">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outlineLvl w:val="9"/>
        <w:rPr>
          <w:rFonts w:hint="eastAsia" w:ascii="Times New Roman" w:hAnsi="Times New Roman" w:eastAsia="仿宋_GB2312" w:cs="宋体"/>
          <w:b w:val="0"/>
          <w:bCs w:val="0"/>
          <w:color w:val="000000"/>
          <w:kern w:val="0"/>
          <w:sz w:val="32"/>
          <w:szCs w:val="32"/>
          <w:lang w:val="en-US" w:eastAsia="zh-CN" w:bidi="ar-SA"/>
        </w:rPr>
      </w:pPr>
      <w:r>
        <w:rPr>
          <w:rFonts w:hint="eastAsia" w:ascii="Times New Roman" w:hAnsi="Times New Roman" w:eastAsia="仿宋_GB2312" w:cs="宋体"/>
          <w:b w:val="0"/>
          <w:bCs w:val="0"/>
          <w:color w:val="000000"/>
          <w:kern w:val="0"/>
          <w:sz w:val="32"/>
          <w:szCs w:val="32"/>
          <w:lang w:val="en-US" w:eastAsia="zh-CN" w:bidi="ar-SA"/>
        </w:rPr>
        <w:t>一是强化文旅市场专项整治</w:t>
      </w:r>
      <w:r>
        <w:rPr>
          <w:rFonts w:hint="eastAsia" w:eastAsia="仿宋_GB2312" w:cs="宋体"/>
          <w:b w:val="0"/>
          <w:bCs w:val="0"/>
          <w:color w:val="000000"/>
          <w:kern w:val="0"/>
          <w:sz w:val="32"/>
          <w:szCs w:val="32"/>
          <w:lang w:val="en-US" w:eastAsia="zh-CN" w:bidi="ar-SA"/>
        </w:rPr>
        <w:t>。</w:t>
      </w:r>
      <w:r>
        <w:rPr>
          <w:rFonts w:hint="eastAsia" w:ascii="Times New Roman" w:hAnsi="Times New Roman" w:eastAsia="仿宋_GB2312" w:cs="宋体"/>
          <w:b w:val="0"/>
          <w:bCs w:val="0"/>
          <w:color w:val="000000"/>
          <w:kern w:val="0"/>
          <w:sz w:val="32"/>
          <w:szCs w:val="32"/>
          <w:lang w:val="en-US" w:eastAsia="zh-CN" w:bidi="ar-SA"/>
        </w:rPr>
        <w:t>加强环京地区联合检查、网上网下联动巡查，严厉打击违法违规行为，整治“黑导游”“不合理低价游”“虚假宣传”等乱象，保护合法经营者权益，维护市场秩序，保障公平竞争。打击强制购物、价格欺诈等行为，查处“黑车”“非法一日游”等行为，持续加强小剧场、演唱会等演出活动内容监管，保护了消费者权益，降低旅游安全事故率，增强旅游体验，推动综合治理体系不断健全。</w:t>
      </w:r>
    </w:p>
    <w:p w14:paraId="6694E180">
      <w:pPr>
        <w:pStyle w:val="2"/>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b w:val="0"/>
          <w:bCs w:val="0"/>
          <w:color w:val="000000"/>
          <w:kern w:val="0"/>
          <w:sz w:val="32"/>
          <w:szCs w:val="32"/>
          <w:lang w:val="en-US" w:eastAsia="zh-CN" w:bidi="ar-SA"/>
        </w:rPr>
        <w:t>二</w:t>
      </w:r>
      <w:r>
        <w:rPr>
          <w:rFonts w:hint="eastAsia" w:ascii="Times New Roman" w:hAnsi="Times New Roman" w:eastAsia="仿宋_GB2312" w:cs="宋体"/>
          <w:color w:val="000000"/>
          <w:kern w:val="0"/>
          <w:sz w:val="32"/>
          <w:szCs w:val="32"/>
          <w:lang w:val="en-US" w:eastAsia="zh-CN"/>
        </w:rPr>
        <w:t>是</w:t>
      </w:r>
      <w:r>
        <w:rPr>
          <w:rFonts w:hint="eastAsia" w:ascii="Times New Roman" w:hAnsi="Times New Roman" w:eastAsia="仿宋_GB2312" w:cs="宋体"/>
          <w:color w:val="000000"/>
          <w:kern w:val="0"/>
          <w:sz w:val="32"/>
          <w:szCs w:val="32"/>
          <w:lang w:val="en-US" w:eastAsia="zh-CN" w:bidi="ar-SA"/>
        </w:rPr>
        <w:t>聚力营造法治化营商环境。优化升级“风险+信用”红黄蓝绿四色分级分类监督管理办</w:t>
      </w:r>
      <w:r>
        <w:rPr>
          <w:rFonts w:hint="eastAsia" w:ascii="Times New Roman" w:hAnsi="Times New Roman" w:eastAsia="仿宋_GB2312" w:cs="宋体"/>
          <w:color w:val="000000"/>
          <w:kern w:val="0"/>
          <w:sz w:val="32"/>
          <w:szCs w:val="32"/>
          <w:lang w:val="en-US" w:eastAsia="zh-CN"/>
        </w:rPr>
        <w:t>法。开展“电子函询+自我声明”检查，推动企业从“被动受检”转向“主动自律”，对绿色、蓝色企业的覆盖率达到100%，构建“守信激励”生态，最大限度减少对绿色、蓝色市场主体生产经营干扰。</w:t>
      </w:r>
    </w:p>
    <w:p w14:paraId="190E84E5">
      <w:pPr>
        <w:pStyle w:val="2"/>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eastAsia="仿宋_GB2312" w:cs="宋体"/>
          <w:color w:val="000000"/>
          <w:kern w:val="0"/>
          <w:sz w:val="32"/>
          <w:szCs w:val="32"/>
          <w:lang w:val="en-US" w:eastAsia="zh-CN"/>
        </w:rPr>
        <w:t>三</w:t>
      </w:r>
      <w:r>
        <w:rPr>
          <w:rFonts w:hint="eastAsia" w:ascii="Times New Roman" w:hAnsi="Times New Roman" w:eastAsia="仿宋_GB2312" w:cs="宋体"/>
          <w:color w:val="000000"/>
          <w:kern w:val="0"/>
          <w:sz w:val="32"/>
          <w:szCs w:val="32"/>
          <w:lang w:val="en-US" w:eastAsia="zh-CN"/>
        </w:rPr>
        <w:t>是深入推进执法监管协同联动。通过联合执法专项行动，办结案件45起，收缴非法出版物2.5万余册，有效遏制了非法出版物的跨区域流通，维护了三地文化市场秩序。跨区域联合执法强化了文化遗产保护，防止破坏性开发，助力京津冀文旅一体化发展。健全完善“公安+行政”协作机制，提升了执法威慑力。</w:t>
      </w:r>
    </w:p>
    <w:p w14:paraId="2ED3F455">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2.服务对象</w:t>
      </w:r>
      <w:r>
        <w:rPr>
          <w:rFonts w:ascii="Times New Roman" w:hAnsi="Times New Roman" w:eastAsia="仿宋_GB2312" w:cs="宋体"/>
          <w:color w:val="000000"/>
          <w:kern w:val="0"/>
          <w:sz w:val="32"/>
          <w:szCs w:val="32"/>
        </w:rPr>
        <w:t>满意度</w:t>
      </w:r>
    </w:p>
    <w:p w14:paraId="600FD2BA">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eastAsia="zh-CN"/>
        </w:rPr>
      </w:pPr>
      <w:r>
        <w:rPr>
          <w:rFonts w:hint="eastAsia" w:ascii="Times New Roman" w:hAnsi="Times New Roman" w:eastAsia="仿宋_GB2312" w:cs="宋体"/>
          <w:color w:val="auto"/>
          <w:kern w:val="0"/>
          <w:sz w:val="32"/>
          <w:szCs w:val="32"/>
          <w:lang w:val="en-US" w:eastAsia="zh-CN"/>
        </w:rPr>
        <w:t>一是市文化市场执法总队逐步</w:t>
      </w:r>
      <w:r>
        <w:rPr>
          <w:rFonts w:hint="eastAsia" w:ascii="Times New Roman" w:hAnsi="Times New Roman" w:eastAsia="仿宋_GB2312" w:cs="宋体"/>
          <w:color w:val="auto"/>
          <w:kern w:val="0"/>
          <w:sz w:val="32"/>
          <w:szCs w:val="32"/>
        </w:rPr>
        <w:t>健全工作机制，成立了绩效评价工作组，为部门绩效自评工作提供保障</w:t>
      </w:r>
      <w:r>
        <w:rPr>
          <w:rFonts w:hint="eastAsia" w:ascii="Times New Roman" w:hAnsi="Times New Roman" w:eastAsia="仿宋_GB2312" w:cs="宋体"/>
          <w:color w:val="auto"/>
          <w:kern w:val="0"/>
          <w:sz w:val="32"/>
          <w:szCs w:val="32"/>
          <w:lang w:eastAsia="zh-CN"/>
        </w:rPr>
        <w:t>，</w:t>
      </w:r>
      <w:r>
        <w:rPr>
          <w:rFonts w:hint="eastAsia" w:ascii="Times New Roman" w:hAnsi="Times New Roman" w:eastAsia="仿宋_GB2312" w:cs="宋体"/>
          <w:color w:val="auto"/>
          <w:kern w:val="0"/>
          <w:sz w:val="32"/>
          <w:szCs w:val="32"/>
          <w:lang w:val="en-US" w:eastAsia="zh-CN"/>
        </w:rPr>
        <w:t>并邀请</w:t>
      </w:r>
      <w:r>
        <w:rPr>
          <w:rFonts w:hint="eastAsia" w:ascii="Times New Roman" w:hAnsi="Times New Roman" w:eastAsia="仿宋_GB2312" w:cs="宋体"/>
          <w:color w:val="auto"/>
          <w:kern w:val="0"/>
          <w:sz w:val="32"/>
          <w:szCs w:val="32"/>
        </w:rPr>
        <w:t>人大代表参与自评</w:t>
      </w:r>
      <w:r>
        <w:rPr>
          <w:rFonts w:hint="eastAsia" w:ascii="Times New Roman" w:hAnsi="Times New Roman" w:eastAsia="仿宋_GB2312" w:cs="宋体"/>
          <w:color w:val="auto"/>
          <w:kern w:val="0"/>
          <w:sz w:val="32"/>
          <w:szCs w:val="32"/>
          <w:lang w:val="en-US" w:eastAsia="zh-CN"/>
        </w:rPr>
        <w:t>工作，进一步提高绩效自评工作的公开性和透明性</w:t>
      </w:r>
      <w:r>
        <w:rPr>
          <w:rFonts w:hint="eastAsia" w:ascii="Times New Roman" w:hAnsi="Times New Roman" w:eastAsia="仿宋_GB2312" w:cs="宋体"/>
          <w:color w:val="auto"/>
          <w:kern w:val="0"/>
          <w:sz w:val="32"/>
          <w:szCs w:val="32"/>
          <w:lang w:eastAsia="zh-CN"/>
        </w:rPr>
        <w:t>。</w:t>
      </w:r>
    </w:p>
    <w:p w14:paraId="1F6B38F5">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auto"/>
          <w:kern w:val="0"/>
          <w:sz w:val="32"/>
          <w:szCs w:val="32"/>
          <w:lang w:val="en-US" w:eastAsia="zh-CN"/>
        </w:rPr>
        <w:t>二是</w:t>
      </w:r>
      <w:r>
        <w:rPr>
          <w:rFonts w:hint="eastAsia" w:ascii="Times New Roman" w:hAnsi="Times New Roman" w:eastAsia="仿宋_GB2312" w:cs="宋体"/>
          <w:color w:val="000000"/>
          <w:kern w:val="0"/>
          <w:sz w:val="32"/>
          <w:szCs w:val="32"/>
          <w:lang w:val="en-US" w:eastAsia="zh-CN"/>
        </w:rPr>
        <w:t>执法办案工作获得有关领导和部门肯定。文旅市场专项整治相关工作得到中央电视台、中新社、法治日报等多家媒体报道；总队8起案件被文旅部评为全国文化执法重大案件，连续两年排名全国第一；“接诉即办”工作取得年度考核排名市级部门并列第一。</w:t>
      </w:r>
    </w:p>
    <w:p w14:paraId="2D6F1832">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三是</w:t>
      </w:r>
      <w:r>
        <w:rPr>
          <w:rFonts w:hint="eastAsia" w:ascii="Times New Roman" w:hAnsi="Times New Roman" w:eastAsia="仿宋_GB2312" w:cs="宋体"/>
          <w:color w:val="auto"/>
          <w:kern w:val="0"/>
          <w:sz w:val="32"/>
          <w:szCs w:val="32"/>
          <w:lang w:val="en-US" w:eastAsia="zh-CN"/>
        </w:rPr>
        <w:t>根据单</w:t>
      </w:r>
      <w:r>
        <w:rPr>
          <w:rFonts w:hint="eastAsia" w:ascii="Times New Roman" w:hAnsi="Times New Roman" w:eastAsia="仿宋_GB2312" w:cs="宋体"/>
          <w:color w:val="000000"/>
          <w:kern w:val="0"/>
          <w:sz w:val="32"/>
          <w:szCs w:val="32"/>
          <w:lang w:val="en-US" w:eastAsia="zh-CN"/>
        </w:rPr>
        <w:t>位自评结果，各业务处室针对项目受益对象开展了满意度调查，调查结果显示，项目服务对象满意度均达到了90%以上，但业务科室满意度调查基本采取纸质问卷形式，不利于满意度调查统计分析，且业务科室反馈参与调查人员填写问卷意愿不强，影响了问卷调查的准确性。</w:t>
      </w:r>
    </w:p>
    <w:p w14:paraId="045FE37E">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0"/>
        <w:rPr>
          <w:rFonts w:hint="eastAsia" w:ascii="Times New Roman" w:hAnsi="Times New Roman" w:eastAsia="黑体" w:cs="宋体"/>
          <w:color w:val="000000"/>
          <w:kern w:val="0"/>
          <w:sz w:val="32"/>
          <w:szCs w:val="32"/>
        </w:rPr>
      </w:pPr>
      <w:bookmarkStart w:id="17" w:name="_Toc165913334"/>
      <w:bookmarkStart w:id="18" w:name="_Toc11590"/>
      <w:r>
        <w:rPr>
          <w:rFonts w:hint="eastAsia" w:ascii="Times New Roman" w:hAnsi="Times New Roman" w:eastAsia="黑体" w:cs="宋体"/>
          <w:color w:val="000000"/>
          <w:kern w:val="0"/>
          <w:sz w:val="32"/>
          <w:szCs w:val="32"/>
        </w:rPr>
        <w:t>四、预算管理情况分析</w:t>
      </w:r>
      <w:bookmarkEnd w:id="17"/>
      <w:bookmarkEnd w:id="18"/>
    </w:p>
    <w:p w14:paraId="6DA70594">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1"/>
        <w:rPr>
          <w:rFonts w:hint="eastAsia" w:ascii="Times New Roman" w:hAnsi="Times New Roman" w:eastAsia="楷体_GB2312"/>
          <w:sz w:val="32"/>
          <w:szCs w:val="32"/>
        </w:rPr>
      </w:pPr>
      <w:bookmarkStart w:id="19" w:name="_Toc165913335"/>
      <w:bookmarkStart w:id="20" w:name="_Toc21460"/>
      <w:r>
        <w:rPr>
          <w:rFonts w:hint="eastAsia" w:ascii="Times New Roman" w:hAnsi="Times New Roman" w:eastAsia="楷体_GB2312"/>
          <w:sz w:val="32"/>
          <w:szCs w:val="32"/>
        </w:rPr>
        <w:t>（一）财务管理</w:t>
      </w:r>
      <w:bookmarkEnd w:id="19"/>
      <w:bookmarkEnd w:id="20"/>
    </w:p>
    <w:p w14:paraId="3B8DF06F">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1.财务管理制度完善健全</w:t>
      </w:r>
    </w:p>
    <w:p w14:paraId="061241C1">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市文化市场执法总队在预算编制过程中，严格落实《中华人民共和国会计法》《中华人民共和国预算法》要求，规范部门预算申报、预算草案编报以及公开工作，深入推进预算管理一体化改革。在部门预算绩效管理中，市文化市场执法总队建立了完善的财务管理制度体系，从资金审批、预算管理、会计核算、政府采购、政府购买服务等方面对财务工作内容和流程进行了规范，财务管理制度</w:t>
      </w:r>
      <w:r>
        <w:rPr>
          <w:rFonts w:hint="eastAsia" w:ascii="Times New Roman" w:hAnsi="Times New Roman" w:eastAsia="仿宋_GB2312" w:cs="宋体"/>
          <w:color w:val="000000"/>
          <w:kern w:val="0"/>
          <w:sz w:val="32"/>
          <w:szCs w:val="32"/>
          <w:lang w:val="en-US" w:eastAsia="zh-CN"/>
        </w:rPr>
        <w:t>较为</w:t>
      </w:r>
      <w:r>
        <w:rPr>
          <w:rFonts w:hint="eastAsia" w:ascii="Times New Roman" w:hAnsi="Times New Roman" w:eastAsia="仿宋_GB2312" w:cs="宋体"/>
          <w:color w:val="000000"/>
          <w:kern w:val="0"/>
          <w:sz w:val="32"/>
          <w:szCs w:val="32"/>
        </w:rPr>
        <w:t>健全，财务工作有章可循，促进了资金规范化管理</w:t>
      </w:r>
      <w:r>
        <w:rPr>
          <w:rFonts w:hint="default" w:ascii="Times New Roman" w:hAnsi="Times New Roman" w:eastAsia="仿宋_GB2312" w:cs="宋体"/>
          <w:color w:val="000000"/>
          <w:kern w:val="0"/>
          <w:sz w:val="32"/>
          <w:szCs w:val="32"/>
        </w:rPr>
        <w:t>，能够满足</w:t>
      </w:r>
      <w:r>
        <w:rPr>
          <w:rFonts w:hint="eastAsia" w:ascii="Times New Roman" w:hAnsi="Times New Roman" w:eastAsia="仿宋_GB2312" w:cs="宋体"/>
          <w:color w:val="000000"/>
          <w:kern w:val="0"/>
          <w:sz w:val="32"/>
          <w:szCs w:val="32"/>
        </w:rPr>
        <w:t>市文化市场执法总队</w:t>
      </w:r>
      <w:r>
        <w:rPr>
          <w:rFonts w:hint="default" w:ascii="Times New Roman" w:hAnsi="Times New Roman" w:eastAsia="仿宋_GB2312" w:cs="宋体"/>
          <w:color w:val="000000"/>
          <w:kern w:val="0"/>
          <w:sz w:val="32"/>
          <w:szCs w:val="32"/>
        </w:rPr>
        <w:t>预算管理及经费支出的需要。</w:t>
      </w:r>
    </w:p>
    <w:p w14:paraId="6F3D76AC">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2.资金使用安全合规</w:t>
      </w:r>
    </w:p>
    <w:p w14:paraId="38A7C464">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default" w:ascii="Times New Roman" w:hAnsi="Times New Roman" w:eastAsia="仿宋_GB2312" w:cs="宋体"/>
          <w:color w:val="000000"/>
          <w:kern w:val="0"/>
          <w:sz w:val="32"/>
          <w:szCs w:val="32"/>
        </w:rPr>
        <w:t>一是严格资金审批拨付流程，确保资金使用合规</w:t>
      </w:r>
      <w:r>
        <w:rPr>
          <w:rFonts w:hint="default" w:ascii="Times New Roman" w:hAnsi="Times New Roman" w:eastAsia="仿宋_GB2312" w:cs="Times New Roman Regular"/>
        </w:rPr>
        <w:t>。</w:t>
      </w:r>
      <w:r>
        <w:rPr>
          <w:rFonts w:hint="eastAsia" w:ascii="Times New Roman" w:hAnsi="Times New Roman" w:eastAsia="仿宋_GB2312" w:cs="宋体"/>
          <w:color w:val="000000"/>
          <w:kern w:val="0"/>
          <w:sz w:val="32"/>
          <w:szCs w:val="32"/>
        </w:rPr>
        <w:t>在资金执行过程中，市文化市场执法总队严格遵循单位</w:t>
      </w:r>
      <w:r>
        <w:rPr>
          <w:rFonts w:hint="eastAsia" w:ascii="Times New Roman" w:hAnsi="Times New Roman" w:eastAsia="仿宋_GB2312" w:cs="宋体"/>
          <w:color w:val="000000"/>
          <w:kern w:val="0"/>
          <w:sz w:val="32"/>
          <w:szCs w:val="32"/>
          <w:lang w:val="en-US" w:eastAsia="zh-CN"/>
        </w:rPr>
        <w:t>内部管理</w:t>
      </w:r>
      <w:r>
        <w:rPr>
          <w:rFonts w:hint="eastAsia" w:ascii="Times New Roman" w:hAnsi="Times New Roman" w:eastAsia="仿宋_GB2312" w:cs="宋体"/>
          <w:color w:val="000000"/>
          <w:kern w:val="0"/>
          <w:sz w:val="32"/>
          <w:szCs w:val="32"/>
        </w:rPr>
        <w:t>制度，按照各项财经政策法规以及政府相关规定执行。</w:t>
      </w:r>
    </w:p>
    <w:p w14:paraId="72FCF4AE">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lang w:val="en-US" w:eastAsia="zh-CN"/>
        </w:rPr>
        <w:t>二是</w:t>
      </w:r>
      <w:r>
        <w:rPr>
          <w:rFonts w:hint="eastAsia" w:ascii="Times New Roman" w:hAnsi="Times New Roman" w:eastAsia="仿宋_GB2312" w:cs="宋体"/>
          <w:color w:val="000000"/>
          <w:kern w:val="0"/>
          <w:sz w:val="32"/>
          <w:szCs w:val="32"/>
        </w:rPr>
        <w:t>加大对重点项目的预算管理力度</w:t>
      </w:r>
      <w:r>
        <w:rPr>
          <w:rFonts w:hint="eastAsia" w:ascii="Times New Roman" w:hAnsi="Times New Roman"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rPr>
        <w:t>对于重点项目中需要招投标的项目</w:t>
      </w:r>
      <w:r>
        <w:rPr>
          <w:rFonts w:hint="eastAsia"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rPr>
        <w:t>严格履行招标程序，通过公开招标的方式，确定项目承建单位，控制成本，节约资金。对项目资金进行专项核算，专款专用，财务部门按照规定的时间节点办理资金支出，资金支出履行必要的审批程序，</w:t>
      </w:r>
      <w:r>
        <w:rPr>
          <w:rFonts w:hint="default" w:ascii="Times New Roman" w:hAnsi="Times New Roman" w:eastAsia="仿宋_GB2312" w:cs="宋体"/>
          <w:color w:val="000000"/>
          <w:kern w:val="0"/>
          <w:sz w:val="32"/>
          <w:szCs w:val="32"/>
        </w:rPr>
        <w:t>未发现截留、挤占、挪用、虚列支出等情况，资金使用合规性较好。</w:t>
      </w:r>
    </w:p>
    <w:p w14:paraId="1D036F40">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lang w:val="en-US" w:eastAsia="zh-CN"/>
        </w:rPr>
        <w:t>三是健全内</w:t>
      </w:r>
      <w:r>
        <w:rPr>
          <w:rFonts w:hint="eastAsia" w:ascii="Times New Roman" w:hAnsi="Times New Roman" w:eastAsia="仿宋_GB2312" w:cs="宋体"/>
          <w:color w:val="000000"/>
          <w:kern w:val="0"/>
          <w:sz w:val="32"/>
          <w:szCs w:val="32"/>
        </w:rPr>
        <w:t>部审计和监督机制</w:t>
      </w:r>
      <w:r>
        <w:rPr>
          <w:rFonts w:hint="eastAsia" w:ascii="Times New Roman" w:hAnsi="Times New Roman" w:eastAsia="仿宋_GB2312" w:cs="宋体"/>
          <w:color w:val="000000"/>
          <w:kern w:val="0"/>
          <w:sz w:val="32"/>
          <w:szCs w:val="32"/>
          <w:lang w:val="en-US" w:eastAsia="zh-CN"/>
        </w:rPr>
        <w:t>。</w:t>
      </w:r>
      <w:r>
        <w:rPr>
          <w:rFonts w:hint="eastAsia" w:ascii="Times New Roman" w:hAnsi="Times New Roman" w:eastAsia="仿宋_GB2312" w:cs="宋体"/>
          <w:color w:val="000000"/>
          <w:kern w:val="0"/>
          <w:sz w:val="32"/>
          <w:szCs w:val="32"/>
        </w:rPr>
        <w:t>市文化市场执法总队充分发挥内部审计作用，强化监督，规范管理，积极配合上级部门专项检查、审计工作，并坚持开展预算执行内部审计。积极配合巡视组开展巡视检查工作，认真研究制定整改措施，建立台账责任到人，逐条进行整改，并完善内控制度，建立长效机制，把当下改和长久立结合起来。坚持以问题为导向，狠抓整改落实，全面提升总队财务管理水平。</w:t>
      </w:r>
    </w:p>
    <w:p w14:paraId="794059DB">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3.会计基础信息完整准确</w:t>
      </w:r>
    </w:p>
    <w:p w14:paraId="6E24B094">
      <w:pPr>
        <w:pStyle w:val="33"/>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市文化市场执法总队</w:t>
      </w:r>
      <w:r>
        <w:rPr>
          <w:rFonts w:hint="eastAsia" w:ascii="Times New Roman" w:hAnsi="Times New Roman" w:eastAsia="仿宋_GB2312" w:cs="仿宋_GB2312"/>
          <w:sz w:val="32"/>
          <w:szCs w:val="32"/>
        </w:rPr>
        <w:t>项目资金收入、支出会计核算准确及时、科目使用规范、严格按照预算批复明细项执行，做到专款专用，核算内容真实、完整。</w:t>
      </w:r>
      <w:r>
        <w:rPr>
          <w:rFonts w:hint="eastAsia" w:ascii="Times New Roman" w:hAnsi="Times New Roman" w:eastAsia="仿宋_GB2312" w:cs="宋体"/>
          <w:color w:val="000000"/>
          <w:kern w:val="0"/>
          <w:sz w:val="32"/>
          <w:szCs w:val="32"/>
        </w:rPr>
        <w:t>经费支出实行分级审批、集体决议制度，在费用报销及合同付款过程中，严格审批原始凭证和相应的经费支出审批手续，对内容不全、手续不完备的原始凭证以及未审批完成的支出不予办理支付，确保会计基础信息真实完整、记账金额准确无误。</w:t>
      </w:r>
    </w:p>
    <w:p w14:paraId="34C423FD">
      <w:pPr>
        <w:pStyle w:val="33"/>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在财务档案的管理上，</w:t>
      </w:r>
      <w:r>
        <w:rPr>
          <w:rFonts w:hint="eastAsia" w:ascii="Times New Roman" w:hAnsi="Times New Roman" w:eastAsia="仿宋_GB2312" w:cs="宋体"/>
          <w:color w:val="000000"/>
          <w:kern w:val="0"/>
          <w:sz w:val="32"/>
          <w:szCs w:val="32"/>
        </w:rPr>
        <w:t>市文化市场执法总队</w:t>
      </w:r>
      <w:r>
        <w:rPr>
          <w:rFonts w:hint="eastAsia" w:ascii="Times New Roman" w:hAnsi="Times New Roman" w:eastAsia="仿宋_GB2312" w:cs="宋体"/>
          <w:color w:val="000000"/>
          <w:kern w:val="0"/>
          <w:sz w:val="32"/>
          <w:szCs w:val="32"/>
          <w:lang w:val="en-US" w:eastAsia="zh-CN"/>
        </w:rPr>
        <w:t>制定了《</w:t>
      </w:r>
      <w:r>
        <w:rPr>
          <w:rFonts w:hint="eastAsia" w:ascii="Times New Roman" w:hAnsi="Times New Roman" w:eastAsia="仿宋_GB2312" w:cs="宋体"/>
          <w:color w:val="000000"/>
          <w:kern w:val="0"/>
          <w:sz w:val="32"/>
          <w:szCs w:val="32"/>
        </w:rPr>
        <w:t>北京市文化市场综合执法总队会计档案管理办法</w:t>
      </w:r>
      <w:r>
        <w:rPr>
          <w:rFonts w:hint="eastAsia" w:ascii="Times New Roman" w:hAnsi="Times New Roman" w:eastAsia="仿宋_GB2312" w:cs="宋体"/>
          <w:color w:val="000000"/>
          <w:kern w:val="0"/>
          <w:sz w:val="32"/>
          <w:szCs w:val="32"/>
          <w:lang w:val="en-US" w:eastAsia="zh-CN"/>
        </w:rPr>
        <w:t>》，</w:t>
      </w:r>
      <w:r>
        <w:rPr>
          <w:rFonts w:hint="eastAsia" w:ascii="Times New Roman" w:hAnsi="Times New Roman" w:eastAsia="仿宋_GB2312" w:cs="宋体"/>
          <w:color w:val="000000"/>
          <w:kern w:val="0"/>
          <w:sz w:val="32"/>
          <w:szCs w:val="32"/>
        </w:rPr>
        <w:t>总账、明细账、日记账、会计凭证等基础财务资料保存完好，并及时完成装订、归档等工作，会</w:t>
      </w:r>
      <w:r>
        <w:rPr>
          <w:rFonts w:hint="eastAsia" w:ascii="Times New Roman" w:hAnsi="Times New Roman" w:eastAsia="仿宋_GB2312" w:cs="仿宋_GB2312"/>
          <w:sz w:val="32"/>
          <w:szCs w:val="32"/>
        </w:rPr>
        <w:t>计基础信息完整完善。</w:t>
      </w:r>
    </w:p>
    <w:p w14:paraId="63A57D72">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1"/>
        <w:rPr>
          <w:rFonts w:hint="eastAsia" w:ascii="Times New Roman" w:hAnsi="Times New Roman" w:eastAsia="楷体_GB2312"/>
          <w:sz w:val="32"/>
          <w:szCs w:val="32"/>
        </w:rPr>
      </w:pPr>
      <w:bookmarkStart w:id="21" w:name="_Toc165913336"/>
      <w:bookmarkStart w:id="22" w:name="_Toc14969"/>
      <w:r>
        <w:rPr>
          <w:rFonts w:hint="eastAsia" w:ascii="Times New Roman" w:hAnsi="Times New Roman" w:eastAsia="楷体_GB2312"/>
          <w:sz w:val="32"/>
          <w:szCs w:val="32"/>
        </w:rPr>
        <w:t>（二）资产管理</w:t>
      </w:r>
      <w:bookmarkEnd w:id="21"/>
      <w:bookmarkEnd w:id="22"/>
    </w:p>
    <w:p w14:paraId="0339C5C0">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kern w:val="0"/>
          <w:sz w:val="32"/>
          <w:szCs w:val="32"/>
        </w:rPr>
        <w:t>市文化市场执法总队</w:t>
      </w:r>
      <w:r>
        <w:rPr>
          <w:rFonts w:hint="eastAsia" w:eastAsia="仿宋_GB2312" w:cs="宋体"/>
          <w:kern w:val="0"/>
          <w:sz w:val="32"/>
          <w:szCs w:val="32"/>
          <w:lang w:val="en-US" w:eastAsia="zh-CN"/>
        </w:rPr>
        <w:t>通过</w:t>
      </w:r>
      <w:r>
        <w:rPr>
          <w:rFonts w:hint="eastAsia" w:ascii="Times New Roman" w:hAnsi="Times New Roman" w:eastAsia="仿宋_GB2312" w:cs="宋体"/>
          <w:color w:val="000000"/>
          <w:kern w:val="0"/>
          <w:sz w:val="32"/>
          <w:szCs w:val="32"/>
          <w:lang w:val="en-US" w:eastAsia="zh-CN"/>
        </w:rPr>
        <w:t>定期</w:t>
      </w:r>
      <w:r>
        <w:rPr>
          <w:rFonts w:hint="eastAsia" w:ascii="Times New Roman" w:hAnsi="Times New Roman" w:eastAsia="仿宋_GB2312" w:cs="宋体"/>
          <w:color w:val="000000"/>
          <w:kern w:val="0"/>
          <w:sz w:val="32"/>
          <w:szCs w:val="32"/>
        </w:rPr>
        <w:t>开展年度资产清查，夯实资产管理基础</w:t>
      </w:r>
      <w:r>
        <w:rPr>
          <w:rFonts w:hint="eastAsia"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rPr>
        <w:t>一是以内部自查和定期清查的方式开展年度资产盘点清查工作，全面真实掌握单位固定资产的数量、价值和配置使用情况。二是及时进行资产卡片信息更新，提高固定资产管理信息化水平，资产的审批、领用、回库基本实现内控管理信息化。</w:t>
      </w:r>
      <w:bookmarkStart w:id="39" w:name="_GoBack"/>
      <w:bookmarkEnd w:id="39"/>
    </w:p>
    <w:p w14:paraId="6F630A8E">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1"/>
        <w:rPr>
          <w:rFonts w:hint="eastAsia" w:ascii="Times New Roman" w:hAnsi="Times New Roman" w:eastAsia="楷体_GB2312"/>
          <w:sz w:val="32"/>
          <w:szCs w:val="32"/>
        </w:rPr>
      </w:pPr>
      <w:bookmarkStart w:id="23" w:name="_Toc165913337"/>
      <w:bookmarkStart w:id="24" w:name="_Toc14920"/>
      <w:r>
        <w:rPr>
          <w:rFonts w:hint="eastAsia" w:ascii="Times New Roman" w:hAnsi="Times New Roman" w:eastAsia="楷体_GB2312"/>
          <w:sz w:val="32"/>
          <w:szCs w:val="32"/>
        </w:rPr>
        <w:t>（三）绩效管理</w:t>
      </w:r>
      <w:bookmarkEnd w:id="23"/>
      <w:bookmarkEnd w:id="24"/>
    </w:p>
    <w:p w14:paraId="4598D064">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市文化市场执法总队高度重视绩效管理工作，</w:t>
      </w:r>
      <w:r>
        <w:rPr>
          <w:rFonts w:hint="default" w:ascii="Times New Roman" w:hAnsi="Times New Roman" w:eastAsia="仿宋_GB2312" w:cs="宋体"/>
          <w:kern w:val="0"/>
          <w:sz w:val="32"/>
          <w:szCs w:val="32"/>
        </w:rPr>
        <w:t>深入贯彻《中共中央国务院关于全面实施预算绩效管理的意见》，落实部门预算绩效管理的具体</w:t>
      </w:r>
      <w:r>
        <w:rPr>
          <w:rFonts w:hint="default" w:ascii="Times New Roman" w:hAnsi="Times New Roman" w:eastAsia="仿宋_GB2312" w:cs="宋体"/>
          <w:kern w:val="0"/>
          <w:sz w:val="32"/>
          <w:szCs w:val="32"/>
          <w:lang w:eastAsia="zh-Hans"/>
        </w:rPr>
        <w:t>规章制度</w:t>
      </w:r>
      <w:r>
        <w:rPr>
          <w:rFonts w:hint="default" w:ascii="Times New Roman" w:hAnsi="Times New Roman" w:eastAsia="仿宋_GB2312" w:cs="宋体"/>
          <w:kern w:val="0"/>
          <w:sz w:val="32"/>
          <w:szCs w:val="32"/>
        </w:rPr>
        <w:t>，</w:t>
      </w:r>
      <w:r>
        <w:rPr>
          <w:rFonts w:hint="eastAsia" w:ascii="Times New Roman" w:hAnsi="Times New Roman" w:eastAsia="仿宋_GB2312" w:cs="宋体"/>
          <w:kern w:val="0"/>
          <w:sz w:val="32"/>
          <w:szCs w:val="32"/>
          <w:lang w:val="en-US" w:eastAsia="zh-CN"/>
        </w:rPr>
        <w:t>制定了《</w:t>
      </w:r>
      <w:r>
        <w:rPr>
          <w:rFonts w:hint="eastAsia" w:ascii="Times New Roman" w:hAnsi="Times New Roman" w:eastAsia="仿宋_GB2312" w:cs="宋体"/>
          <w:kern w:val="0"/>
          <w:sz w:val="32"/>
          <w:szCs w:val="32"/>
        </w:rPr>
        <w:t>预算执行情况绩效评价工作实施方案》</w:t>
      </w:r>
      <w:r>
        <w:rPr>
          <w:rFonts w:hint="default" w:ascii="Times New Roman" w:hAnsi="Times New Roman" w:eastAsia="仿宋_GB2312" w:cs="宋体"/>
          <w:kern w:val="0"/>
          <w:sz w:val="32"/>
          <w:szCs w:val="32"/>
          <w:lang w:eastAsia="zh-Hans"/>
        </w:rPr>
        <w:t>，并据此</w:t>
      </w:r>
      <w:r>
        <w:rPr>
          <w:rFonts w:hint="default" w:ascii="Times New Roman" w:hAnsi="Times New Roman" w:eastAsia="仿宋_GB2312" w:cs="宋体"/>
          <w:kern w:val="0"/>
          <w:sz w:val="32"/>
          <w:szCs w:val="32"/>
        </w:rPr>
        <w:t>开展</w:t>
      </w:r>
      <w:r>
        <w:rPr>
          <w:rFonts w:hint="default" w:ascii="Times New Roman" w:hAnsi="Times New Roman" w:eastAsia="仿宋_GB2312" w:cs="宋体"/>
          <w:kern w:val="0"/>
          <w:sz w:val="32"/>
          <w:szCs w:val="32"/>
          <w:lang w:eastAsia="zh-Hans"/>
        </w:rPr>
        <w:t>202</w:t>
      </w:r>
      <w:r>
        <w:rPr>
          <w:rFonts w:hint="eastAsia" w:ascii="Times New Roman" w:hAnsi="Times New Roman" w:eastAsia="仿宋_GB2312" w:cs="宋体"/>
          <w:kern w:val="0"/>
          <w:sz w:val="32"/>
          <w:szCs w:val="32"/>
          <w:lang w:val="en-US" w:eastAsia="zh-CN"/>
        </w:rPr>
        <w:t>4</w:t>
      </w:r>
      <w:r>
        <w:rPr>
          <w:rFonts w:hint="default" w:ascii="Times New Roman" w:hAnsi="Times New Roman" w:eastAsia="仿宋_GB2312" w:cs="宋体"/>
          <w:kern w:val="0"/>
          <w:sz w:val="32"/>
          <w:szCs w:val="32"/>
          <w:lang w:eastAsia="zh-Hans"/>
        </w:rPr>
        <w:t>年度部门全过程预算绩效管理工作</w:t>
      </w:r>
      <w:r>
        <w:rPr>
          <w:rFonts w:hint="eastAsia" w:ascii="Times New Roman" w:hAnsi="Times New Roman" w:eastAsia="仿宋_GB2312" w:cs="宋体"/>
          <w:kern w:val="0"/>
          <w:sz w:val="32"/>
          <w:szCs w:val="32"/>
        </w:rPr>
        <w:t>。</w:t>
      </w:r>
    </w:p>
    <w:p w14:paraId="127F5370">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1.深化全过程预算绩效管理</w:t>
      </w:r>
    </w:p>
    <w:p w14:paraId="2EEE580B">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kern w:val="0"/>
          <w:sz w:val="32"/>
          <w:szCs w:val="32"/>
        </w:rPr>
      </w:pPr>
      <w:r>
        <w:rPr>
          <w:rFonts w:hint="eastAsia" w:ascii="Times New Roman" w:hAnsi="Times New Roman" w:eastAsia="仿宋_GB2312" w:cs="宋体"/>
          <w:kern w:val="0"/>
          <w:sz w:val="32"/>
          <w:szCs w:val="32"/>
        </w:rPr>
        <w:t>一</w:t>
      </w:r>
      <w:r>
        <w:rPr>
          <w:rFonts w:hint="eastAsia" w:ascii="Times New Roman" w:hAnsi="Times New Roman" w:eastAsia="仿宋_GB2312" w:cs="宋体"/>
          <w:kern w:val="0"/>
          <w:sz w:val="32"/>
          <w:szCs w:val="32"/>
          <w:lang w:val="en-US" w:eastAsia="zh-CN"/>
        </w:rPr>
        <w:t>是强化</w:t>
      </w:r>
      <w:r>
        <w:rPr>
          <w:rFonts w:hint="eastAsia" w:ascii="Times New Roman" w:hAnsi="Times New Roman" w:eastAsia="仿宋_GB2312" w:cs="宋体"/>
          <w:kern w:val="0"/>
          <w:sz w:val="32"/>
          <w:szCs w:val="32"/>
        </w:rPr>
        <w:t>绩效目标管理。</w:t>
      </w:r>
      <w:r>
        <w:rPr>
          <w:rFonts w:hint="default" w:ascii="Times New Roman" w:hAnsi="Times New Roman" w:eastAsia="仿宋_GB2312" w:cs="宋体"/>
          <w:kern w:val="0"/>
          <w:sz w:val="32"/>
          <w:szCs w:val="32"/>
        </w:rPr>
        <w:t>202</w:t>
      </w:r>
      <w:r>
        <w:rPr>
          <w:rFonts w:hint="eastAsia" w:ascii="Times New Roman" w:hAnsi="Times New Roman" w:eastAsia="仿宋_GB2312" w:cs="宋体"/>
          <w:kern w:val="0"/>
          <w:sz w:val="32"/>
          <w:szCs w:val="32"/>
          <w:lang w:val="en-US" w:eastAsia="zh-CN"/>
        </w:rPr>
        <w:t>3</w:t>
      </w:r>
      <w:r>
        <w:rPr>
          <w:rFonts w:hint="default" w:ascii="Times New Roman" w:hAnsi="Times New Roman" w:eastAsia="仿宋_GB2312" w:cs="宋体"/>
          <w:kern w:val="0"/>
          <w:sz w:val="32"/>
          <w:szCs w:val="32"/>
          <w:lang w:eastAsia="zh-Hans"/>
        </w:rPr>
        <w:t>年，</w:t>
      </w:r>
      <w:r>
        <w:rPr>
          <w:rFonts w:hint="eastAsia" w:ascii="Times New Roman" w:hAnsi="Times New Roman" w:eastAsia="仿宋_GB2312" w:cs="宋体"/>
          <w:kern w:val="0"/>
          <w:sz w:val="32"/>
          <w:szCs w:val="32"/>
        </w:rPr>
        <w:t>市文化市场执法总队</w:t>
      </w:r>
      <w:r>
        <w:rPr>
          <w:rFonts w:hint="default" w:ascii="Times New Roman" w:hAnsi="Times New Roman" w:eastAsia="仿宋_GB2312" w:cs="宋体"/>
          <w:kern w:val="0"/>
          <w:sz w:val="32"/>
          <w:szCs w:val="32"/>
          <w:lang w:eastAsia="zh-Hans"/>
        </w:rPr>
        <w:t>组织各业务处室填报了202</w:t>
      </w:r>
      <w:r>
        <w:rPr>
          <w:rFonts w:hint="eastAsia" w:ascii="Times New Roman" w:hAnsi="Times New Roman" w:eastAsia="仿宋_GB2312" w:cs="宋体"/>
          <w:kern w:val="0"/>
          <w:sz w:val="32"/>
          <w:szCs w:val="32"/>
          <w:lang w:val="en-US" w:eastAsia="zh-CN"/>
        </w:rPr>
        <w:t>4</w:t>
      </w:r>
      <w:r>
        <w:rPr>
          <w:rFonts w:hint="default" w:ascii="Times New Roman" w:hAnsi="Times New Roman" w:eastAsia="仿宋_GB2312" w:cs="宋体"/>
          <w:kern w:val="0"/>
          <w:sz w:val="32"/>
          <w:szCs w:val="32"/>
          <w:lang w:eastAsia="zh-Hans"/>
        </w:rPr>
        <w:t>年</w:t>
      </w:r>
      <w:r>
        <w:rPr>
          <w:rFonts w:hint="default" w:ascii="Times New Roman" w:hAnsi="Times New Roman" w:eastAsia="仿宋_GB2312" w:cs="宋体"/>
          <w:kern w:val="0"/>
          <w:sz w:val="32"/>
          <w:szCs w:val="32"/>
          <w:lang w:val="en-US" w:eastAsia="zh-CN"/>
        </w:rPr>
        <w:t>年初申报的</w:t>
      </w:r>
      <w:r>
        <w:rPr>
          <w:rFonts w:hint="default" w:ascii="Times New Roman" w:hAnsi="Times New Roman" w:eastAsia="仿宋_GB2312" w:cs="宋体"/>
          <w:kern w:val="0"/>
          <w:sz w:val="32"/>
          <w:szCs w:val="32"/>
          <w:lang w:eastAsia="zh-Hans"/>
        </w:rPr>
        <w:t>项目支出预算绩效目标，并开展了绩效目标质量审核工作，保障绩效目标与项目内容、部门职责高度关联，绩效指标设置重点突出、细化、量化，指标值能够客观反映项目预期完成的绩效水平。</w:t>
      </w:r>
    </w:p>
    <w:p w14:paraId="4EFB0B2C">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kern w:val="0"/>
          <w:sz w:val="32"/>
          <w:szCs w:val="32"/>
          <w:lang w:val="en-US" w:eastAsia="zh-CN"/>
        </w:rPr>
      </w:pPr>
      <w:r>
        <w:rPr>
          <w:rFonts w:hint="eastAsia" w:ascii="Times New Roman" w:hAnsi="Times New Roman" w:eastAsia="仿宋_GB2312" w:cs="宋体"/>
          <w:kern w:val="0"/>
          <w:sz w:val="32"/>
          <w:szCs w:val="32"/>
        </w:rPr>
        <w:t>二是</w:t>
      </w:r>
      <w:r>
        <w:rPr>
          <w:rFonts w:hint="eastAsia" w:ascii="Times New Roman" w:hAnsi="Times New Roman" w:eastAsia="仿宋_GB2312" w:cs="宋体"/>
          <w:kern w:val="0"/>
          <w:sz w:val="32"/>
          <w:szCs w:val="32"/>
          <w:lang w:val="en-US" w:eastAsia="zh-CN"/>
        </w:rPr>
        <w:t>提升</w:t>
      </w:r>
      <w:r>
        <w:rPr>
          <w:rFonts w:hint="eastAsia" w:ascii="Times New Roman" w:hAnsi="Times New Roman" w:eastAsia="仿宋_GB2312" w:cs="宋体"/>
          <w:kern w:val="0"/>
          <w:sz w:val="32"/>
          <w:szCs w:val="32"/>
        </w:rPr>
        <w:t>事中绩效运行监控</w:t>
      </w:r>
      <w:r>
        <w:rPr>
          <w:rFonts w:hint="eastAsia" w:ascii="Times New Roman" w:hAnsi="Times New Roman" w:eastAsia="仿宋_GB2312" w:cs="宋体"/>
          <w:kern w:val="0"/>
          <w:sz w:val="32"/>
          <w:szCs w:val="32"/>
          <w:lang w:val="en-US" w:eastAsia="zh-CN"/>
        </w:rPr>
        <w:t>水平</w:t>
      </w:r>
      <w:r>
        <w:rPr>
          <w:rFonts w:hint="eastAsia" w:ascii="Times New Roman" w:hAnsi="Times New Roman" w:eastAsia="仿宋_GB2312" w:cs="宋体"/>
          <w:kern w:val="0"/>
          <w:sz w:val="32"/>
          <w:szCs w:val="32"/>
        </w:rPr>
        <w:t>。</w:t>
      </w:r>
      <w:r>
        <w:rPr>
          <w:rFonts w:hint="default" w:ascii="Times New Roman" w:hAnsi="Times New Roman" w:eastAsia="仿宋_GB2312" w:cs="宋体"/>
          <w:kern w:val="0"/>
          <w:sz w:val="32"/>
          <w:szCs w:val="32"/>
          <w:lang w:eastAsia="zh-Hans"/>
        </w:rPr>
        <w:t>通过组织业务处室开展项目支出绩效运行监控，对202</w:t>
      </w:r>
      <w:r>
        <w:rPr>
          <w:rFonts w:hint="eastAsia" w:ascii="Times New Roman" w:hAnsi="Times New Roman" w:eastAsia="仿宋_GB2312" w:cs="宋体"/>
          <w:kern w:val="0"/>
          <w:sz w:val="32"/>
          <w:szCs w:val="32"/>
          <w:lang w:val="en-US" w:eastAsia="zh-CN"/>
        </w:rPr>
        <w:t>4</w:t>
      </w:r>
      <w:r>
        <w:rPr>
          <w:rFonts w:hint="default" w:ascii="Times New Roman" w:hAnsi="Times New Roman" w:eastAsia="仿宋_GB2312" w:cs="宋体"/>
          <w:kern w:val="0"/>
          <w:sz w:val="32"/>
          <w:szCs w:val="32"/>
          <w:lang w:eastAsia="zh-Hans"/>
        </w:rPr>
        <w:t>年度项目绩效完成情况、资金执行情况进行自评，针对出现偏差的指标进行原因分析，并提出下一步改进措施，保障项目总体实施方向不发生偏离，督促业务处室按计划完成预期绩效</w:t>
      </w:r>
      <w:r>
        <w:rPr>
          <w:rFonts w:hint="default" w:ascii="Times New Roman" w:hAnsi="Times New Roman" w:eastAsia="仿宋_GB2312" w:cs="宋体"/>
          <w:kern w:val="0"/>
          <w:sz w:val="32"/>
          <w:szCs w:val="32"/>
          <w:lang w:eastAsia="zh-CN"/>
        </w:rPr>
        <w:t>；</w:t>
      </w:r>
      <w:r>
        <w:rPr>
          <w:rFonts w:hint="default" w:ascii="Times New Roman" w:hAnsi="Times New Roman" w:eastAsia="仿宋_GB2312" w:cs="宋体"/>
          <w:kern w:val="0"/>
          <w:sz w:val="32"/>
          <w:szCs w:val="32"/>
          <w:lang w:val="en-US" w:eastAsia="zh-CN"/>
        </w:rPr>
        <w:t>针对实施内容发生变动的项目，结合实际情况调整绩效目标表，保障绩效目标与项目实际相匹配。</w:t>
      </w:r>
    </w:p>
    <w:p w14:paraId="5F557DD1">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kern w:val="0"/>
          <w:sz w:val="32"/>
          <w:szCs w:val="32"/>
          <w:lang w:val="en-US" w:eastAsia="zh-CN"/>
        </w:rPr>
      </w:pPr>
      <w:r>
        <w:rPr>
          <w:rFonts w:hint="default" w:ascii="Times New Roman" w:hAnsi="Times New Roman" w:eastAsia="仿宋_GB2312" w:cs="宋体"/>
          <w:kern w:val="0"/>
          <w:sz w:val="32"/>
          <w:szCs w:val="32"/>
          <w:lang w:val="en-US" w:eastAsia="zh-CN"/>
        </w:rPr>
        <w:t>三是深化预算绩效评价。</w:t>
      </w:r>
      <w:r>
        <w:rPr>
          <w:rFonts w:hint="eastAsia" w:ascii="Times New Roman" w:hAnsi="Times New Roman" w:eastAsia="仿宋_GB2312" w:cs="宋体"/>
          <w:kern w:val="0"/>
          <w:sz w:val="32"/>
          <w:szCs w:val="32"/>
          <w:lang w:val="en-US" w:eastAsia="zh-CN"/>
        </w:rPr>
        <w:t>成立绩效评价工作小组，</w:t>
      </w:r>
      <w:r>
        <w:rPr>
          <w:rFonts w:hint="default" w:ascii="Times New Roman" w:hAnsi="Times New Roman" w:eastAsia="仿宋_GB2312" w:cs="宋体"/>
          <w:kern w:val="0"/>
          <w:sz w:val="32"/>
          <w:szCs w:val="32"/>
          <w:lang w:val="en-US" w:eastAsia="zh-Hans"/>
        </w:rPr>
        <w:t>通过部门自评、重点项目评价两种方式，对202</w:t>
      </w:r>
      <w:r>
        <w:rPr>
          <w:rFonts w:hint="eastAsia" w:ascii="Times New Roman" w:hAnsi="Times New Roman" w:eastAsia="仿宋_GB2312" w:cs="宋体"/>
          <w:kern w:val="0"/>
          <w:sz w:val="32"/>
          <w:szCs w:val="32"/>
          <w:lang w:val="en-US" w:eastAsia="zh-CN"/>
        </w:rPr>
        <w:t>4</w:t>
      </w:r>
      <w:r>
        <w:rPr>
          <w:rFonts w:hint="default" w:ascii="Times New Roman" w:hAnsi="Times New Roman" w:eastAsia="仿宋_GB2312" w:cs="宋体"/>
          <w:kern w:val="0"/>
          <w:sz w:val="32"/>
          <w:szCs w:val="32"/>
          <w:lang w:val="en-US" w:eastAsia="zh-Hans"/>
        </w:rPr>
        <w:t>年度项目支出绩效进行考核，</w:t>
      </w:r>
      <w:r>
        <w:rPr>
          <w:rFonts w:hint="default" w:ascii="Times New Roman" w:hAnsi="Times New Roman" w:eastAsia="仿宋_GB2312" w:cs="宋体"/>
          <w:kern w:val="0"/>
          <w:sz w:val="32"/>
          <w:szCs w:val="32"/>
          <w:lang w:val="en-US" w:eastAsia="zh-CN"/>
        </w:rPr>
        <w:t>归集各项目绩效佐证资料</w:t>
      </w:r>
      <w:r>
        <w:rPr>
          <w:rFonts w:hint="default" w:ascii="Times New Roman" w:hAnsi="Times New Roman" w:eastAsia="仿宋_GB2312" w:cs="宋体"/>
          <w:kern w:val="0"/>
          <w:sz w:val="32"/>
          <w:szCs w:val="32"/>
          <w:lang w:val="en-US" w:eastAsia="zh-Hans"/>
        </w:rPr>
        <w:t>，检查绩效自评表填报完整性、合规性。</w:t>
      </w:r>
      <w:r>
        <w:rPr>
          <w:rFonts w:hint="default" w:ascii="Times New Roman" w:hAnsi="Times New Roman" w:eastAsia="仿宋_GB2312" w:cs="宋体"/>
          <w:kern w:val="0"/>
          <w:sz w:val="32"/>
          <w:szCs w:val="32"/>
          <w:lang w:val="en-US" w:eastAsia="zh-CN"/>
        </w:rPr>
        <w:t>重点评价方面，选取</w:t>
      </w:r>
      <w:r>
        <w:rPr>
          <w:rFonts w:hint="eastAsia" w:ascii="Times New Roman" w:hAnsi="Times New Roman" w:eastAsia="仿宋_GB2312" w:cs="宋体"/>
          <w:kern w:val="0"/>
          <w:sz w:val="32"/>
          <w:szCs w:val="32"/>
          <w:lang w:val="en-US" w:eastAsia="zh-CN"/>
        </w:rPr>
        <w:t>“北京市文化执法信息化工作平台（二期</w:t>
      </w:r>
      <w:r>
        <w:rPr>
          <w:rFonts w:hint="eastAsia" w:ascii="Times New Roman" w:hAnsi="Times New Roman" w:eastAsia="仿宋_GB2312" w:cs="宋体"/>
          <w:kern w:val="0"/>
          <w:sz w:val="32"/>
          <w:szCs w:val="32"/>
        </w:rPr>
        <w:t>）内部协同办公系统升级改造”</w:t>
      </w:r>
      <w:r>
        <w:rPr>
          <w:rFonts w:hint="default" w:ascii="Times New Roman" w:hAnsi="Times New Roman" w:eastAsia="仿宋_GB2312" w:cs="宋体"/>
          <w:kern w:val="0"/>
          <w:sz w:val="32"/>
          <w:szCs w:val="32"/>
          <w:lang w:val="en-US" w:eastAsia="zh-CN"/>
        </w:rPr>
        <w:t>项目开展重点项目评价，</w:t>
      </w:r>
      <w:r>
        <w:rPr>
          <w:rFonts w:hint="eastAsia" w:ascii="Times New Roman" w:hAnsi="Times New Roman" w:eastAsia="仿宋_GB2312" w:cs="宋体"/>
          <w:kern w:val="0"/>
          <w:sz w:val="32"/>
          <w:szCs w:val="32"/>
          <w:lang w:val="en-US" w:eastAsia="zh-CN"/>
        </w:rPr>
        <w:t>并引入人大代表参与评价，</w:t>
      </w:r>
      <w:r>
        <w:rPr>
          <w:rFonts w:hint="default" w:ascii="Times New Roman" w:hAnsi="Times New Roman" w:eastAsia="仿宋_GB2312" w:cs="宋体"/>
          <w:kern w:val="0"/>
          <w:sz w:val="32"/>
          <w:szCs w:val="32"/>
          <w:lang w:val="en-US" w:eastAsia="zh-CN"/>
        </w:rPr>
        <w:t>对项目的决策合理性、过程有效性、产出及效益的充分性进行论证，发现预算及项目管理中存在的问题，提高资金投入效益。</w:t>
      </w:r>
    </w:p>
    <w:p w14:paraId="48BB4003">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9"/>
        <w:rPr>
          <w:rFonts w:hint="eastAsia" w:ascii="Times New Roman" w:hAnsi="Times New Roman" w:eastAsia="仿宋_GB2312" w:cs="宋体"/>
          <w:kern w:val="0"/>
          <w:sz w:val="32"/>
          <w:szCs w:val="32"/>
          <w:lang w:val="en-US" w:eastAsia="zh-CN"/>
        </w:rPr>
      </w:pPr>
      <w:r>
        <w:rPr>
          <w:rFonts w:hint="eastAsia" w:ascii="Times New Roman" w:hAnsi="Times New Roman" w:eastAsia="仿宋_GB2312"/>
          <w:sz w:val="32"/>
          <w:szCs w:val="32"/>
          <w:lang w:val="en-US" w:eastAsia="zh-CN"/>
        </w:rPr>
        <w:t>四是强化预算评审。</w:t>
      </w:r>
      <w:r>
        <w:rPr>
          <w:rFonts w:hint="eastAsia" w:ascii="Times New Roman" w:hAnsi="Times New Roman" w:eastAsia="仿宋_GB2312"/>
          <w:sz w:val="32"/>
          <w:szCs w:val="32"/>
        </w:rPr>
        <w:t>将建设节约型机关、过“紧日子”的要求落到实处，统筹安排，合理调度</w:t>
      </w:r>
      <w:r>
        <w:rPr>
          <w:rFonts w:hint="eastAsia" w:ascii="Times New Roman" w:hAnsi="Times New Roman" w:eastAsia="仿宋_GB2312"/>
          <w:sz w:val="32"/>
          <w:szCs w:val="32"/>
          <w:lang w:val="en-US" w:eastAsia="zh-CN"/>
        </w:rPr>
        <w:t>资金</w:t>
      </w:r>
      <w:r>
        <w:rPr>
          <w:rFonts w:hint="eastAsia" w:ascii="Times New Roman" w:hAnsi="Times New Roman" w:eastAsia="仿宋_GB2312"/>
          <w:sz w:val="32"/>
          <w:szCs w:val="32"/>
        </w:rPr>
        <w:t>，对2025年所有项目预算进行部门评审，审减金额340.18万元，进一步提高预算编制科学性、合理性</w:t>
      </w:r>
      <w:r>
        <w:rPr>
          <w:rFonts w:hint="eastAsia" w:ascii="Times New Roman" w:hAnsi="Times New Roman" w:eastAsia="仿宋_GB2312"/>
          <w:sz w:val="32"/>
          <w:szCs w:val="32"/>
          <w:lang w:eastAsia="zh-CN"/>
        </w:rPr>
        <w:t>。</w:t>
      </w:r>
    </w:p>
    <w:p w14:paraId="3B667FC0">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9"/>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2.开展成本预算绩效分析</w:t>
      </w:r>
    </w:p>
    <w:p w14:paraId="663FB28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9"/>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202</w:t>
      </w:r>
      <w:r>
        <w:rPr>
          <w:rFonts w:hint="eastAsia" w:ascii="Times New Roman" w:hAnsi="Times New Roman" w:eastAsia="仿宋_GB2312" w:cs="宋体"/>
          <w:kern w:val="0"/>
          <w:sz w:val="32"/>
          <w:szCs w:val="32"/>
          <w:lang w:val="en-US" w:eastAsia="zh-CN"/>
        </w:rPr>
        <w:t>4</w:t>
      </w:r>
      <w:r>
        <w:rPr>
          <w:rFonts w:hint="eastAsia" w:ascii="Times New Roman" w:hAnsi="Times New Roman" w:eastAsia="仿宋_GB2312" w:cs="宋体"/>
          <w:kern w:val="0"/>
          <w:sz w:val="32"/>
          <w:szCs w:val="32"/>
        </w:rPr>
        <w:t>年对“总队信息系统政务云基础资源租用服务费”项目开展成本预算绩效分析，涉及预算金额190</w:t>
      </w:r>
      <w:r>
        <w:rPr>
          <w:rFonts w:hint="eastAsia" w:ascii="Times New Roman" w:hAnsi="Times New Roman" w:eastAsia="仿宋_GB2312" w:cs="宋体"/>
          <w:kern w:val="0"/>
          <w:sz w:val="32"/>
          <w:szCs w:val="32"/>
          <w:lang w:val="en-US" w:eastAsia="zh-CN"/>
        </w:rPr>
        <w:t>.</w:t>
      </w:r>
      <w:r>
        <w:rPr>
          <w:rFonts w:hint="eastAsia" w:ascii="Times New Roman" w:hAnsi="Times New Roman" w:eastAsia="仿宋_GB2312" w:cs="宋体"/>
          <w:kern w:val="0"/>
          <w:sz w:val="32"/>
          <w:szCs w:val="32"/>
        </w:rPr>
        <w:t>5</w:t>
      </w:r>
      <w:r>
        <w:rPr>
          <w:rFonts w:hint="eastAsia" w:ascii="Times New Roman" w:hAnsi="Times New Roman" w:eastAsia="仿宋_GB2312" w:cs="宋体"/>
          <w:kern w:val="0"/>
          <w:sz w:val="32"/>
          <w:szCs w:val="32"/>
          <w:lang w:val="en-US" w:eastAsia="zh-CN"/>
        </w:rPr>
        <w:t>6</w:t>
      </w:r>
      <w:r>
        <w:rPr>
          <w:rFonts w:hint="eastAsia" w:ascii="Times New Roman" w:hAnsi="Times New Roman" w:eastAsia="仿宋_GB2312" w:cs="宋体"/>
          <w:kern w:val="0"/>
          <w:sz w:val="32"/>
          <w:szCs w:val="32"/>
        </w:rPr>
        <w:t>万元，</w:t>
      </w:r>
      <w:r>
        <w:rPr>
          <w:rFonts w:hint="eastAsia" w:ascii="Times New Roman" w:hAnsi="Times New Roman" w:eastAsia="仿宋_GB2312" w:cs="宋体"/>
          <w:kern w:val="0"/>
          <w:sz w:val="32"/>
          <w:szCs w:val="32"/>
          <w:lang w:val="en-US" w:eastAsia="zh-CN"/>
        </w:rPr>
        <w:t>经过成本绩效分析，核定项目</w:t>
      </w:r>
      <w:r>
        <w:rPr>
          <w:rFonts w:hint="eastAsia" w:ascii="Times New Roman" w:hAnsi="Times New Roman" w:eastAsia="仿宋_GB2312" w:cs="宋体"/>
          <w:kern w:val="0"/>
          <w:sz w:val="32"/>
          <w:szCs w:val="32"/>
        </w:rPr>
        <w:t>支出定额标准</w:t>
      </w:r>
      <w:r>
        <w:rPr>
          <w:rFonts w:hint="eastAsia" w:ascii="Times New Roman" w:hAnsi="Times New Roman" w:eastAsia="仿宋_GB2312" w:cs="仿宋_GB2312"/>
          <w:kern w:val="0"/>
          <w:sz w:val="32"/>
          <w:szCs w:val="32"/>
          <w:lang w:eastAsia="zh-CN"/>
        </w:rPr>
        <w:t>，</w:t>
      </w:r>
      <w:r>
        <w:rPr>
          <w:rFonts w:hint="eastAsia" w:ascii="Times New Roman" w:hAnsi="Times New Roman" w:eastAsia="仿宋_GB2312" w:cs="仿宋_GB2312"/>
          <w:kern w:val="0"/>
          <w:sz w:val="32"/>
          <w:szCs w:val="32"/>
          <w:lang w:val="en-US" w:eastAsia="zh-CN"/>
        </w:rPr>
        <w:t>该结果在2025年预算编制中得到应用</w:t>
      </w:r>
      <w:r>
        <w:rPr>
          <w:rFonts w:hint="eastAsia" w:ascii="Times New Roman" w:hAnsi="Times New Roman" w:eastAsia="仿宋_GB2312" w:cs="宋体"/>
          <w:kern w:val="0"/>
          <w:sz w:val="32"/>
          <w:szCs w:val="32"/>
        </w:rPr>
        <w:t>。</w:t>
      </w:r>
    </w:p>
    <w:p w14:paraId="34B1C834">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1"/>
        <w:rPr>
          <w:rFonts w:hint="eastAsia" w:ascii="Times New Roman" w:hAnsi="Times New Roman" w:eastAsia="楷体_GB2312"/>
          <w:sz w:val="32"/>
          <w:szCs w:val="32"/>
        </w:rPr>
      </w:pPr>
      <w:bookmarkStart w:id="25" w:name="_Toc165913338"/>
      <w:bookmarkStart w:id="26" w:name="_Toc6037"/>
      <w:r>
        <w:rPr>
          <w:rFonts w:hint="eastAsia" w:ascii="Times New Roman" w:hAnsi="Times New Roman" w:eastAsia="楷体_GB2312"/>
          <w:sz w:val="32"/>
          <w:szCs w:val="32"/>
        </w:rPr>
        <w:t>（四）结转结余率</w:t>
      </w:r>
      <w:bookmarkEnd w:id="25"/>
      <w:bookmarkEnd w:id="26"/>
    </w:p>
    <w:p w14:paraId="235A4BD5">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202</w:t>
      </w:r>
      <w:r>
        <w:rPr>
          <w:rFonts w:hint="eastAsia" w:ascii="Times New Roman" w:hAnsi="Times New Roman" w:eastAsia="仿宋_GB2312" w:cs="宋体"/>
          <w:kern w:val="0"/>
          <w:sz w:val="32"/>
          <w:szCs w:val="32"/>
          <w:lang w:val="en-US" w:eastAsia="zh-CN"/>
        </w:rPr>
        <w:t>4</w:t>
      </w:r>
      <w:r>
        <w:rPr>
          <w:rFonts w:hint="eastAsia" w:ascii="Times New Roman" w:hAnsi="Times New Roman" w:eastAsia="仿宋_GB2312" w:cs="宋体"/>
          <w:kern w:val="0"/>
          <w:sz w:val="32"/>
          <w:szCs w:val="32"/>
        </w:rPr>
        <w:t>年末结转结余</w:t>
      </w:r>
      <w:r>
        <w:rPr>
          <w:rFonts w:hint="eastAsia" w:ascii="Times New Roman" w:hAnsi="Times New Roman" w:eastAsia="仿宋_GB2312" w:cs="宋体"/>
          <w:kern w:val="0"/>
          <w:sz w:val="32"/>
          <w:szCs w:val="32"/>
          <w:lang w:val="en-US" w:eastAsia="zh-CN"/>
        </w:rPr>
        <w:t>771</w:t>
      </w:r>
      <w:r>
        <w:rPr>
          <w:rFonts w:ascii="Times New Roman" w:hAnsi="Times New Roman" w:eastAsia="仿宋_GB2312" w:cs="宋体"/>
          <w:kern w:val="0"/>
          <w:sz w:val="32"/>
          <w:szCs w:val="32"/>
        </w:rPr>
        <w:t>.</w:t>
      </w:r>
      <w:r>
        <w:rPr>
          <w:rFonts w:hint="eastAsia" w:ascii="Times New Roman" w:hAnsi="Times New Roman" w:eastAsia="仿宋_GB2312" w:cs="宋体"/>
          <w:kern w:val="0"/>
          <w:sz w:val="32"/>
          <w:szCs w:val="32"/>
          <w:lang w:val="en-US" w:eastAsia="zh-CN"/>
        </w:rPr>
        <w:t>67</w:t>
      </w:r>
      <w:r>
        <w:rPr>
          <w:rFonts w:hint="eastAsia" w:ascii="Times New Roman" w:hAnsi="Times New Roman" w:eastAsia="仿宋_GB2312" w:cs="宋体"/>
          <w:kern w:val="0"/>
          <w:sz w:val="32"/>
          <w:szCs w:val="32"/>
        </w:rPr>
        <w:t>万元，占全年支出预算金额</w:t>
      </w:r>
      <w:r>
        <w:rPr>
          <w:rFonts w:ascii="Times New Roman" w:hAnsi="Times New Roman" w:eastAsia="仿宋_GB2312" w:cs="宋体"/>
          <w:kern w:val="0"/>
          <w:sz w:val="32"/>
          <w:szCs w:val="32"/>
        </w:rPr>
        <w:t>1</w:t>
      </w:r>
      <w:r>
        <w:rPr>
          <w:rFonts w:hint="eastAsia" w:ascii="Times New Roman" w:hAnsi="Times New Roman" w:eastAsia="仿宋_GB2312" w:cs="宋体"/>
          <w:kern w:val="0"/>
          <w:sz w:val="32"/>
          <w:szCs w:val="32"/>
          <w:lang w:val="en-US" w:eastAsia="zh-CN"/>
        </w:rPr>
        <w:t>1</w:t>
      </w:r>
      <w:r>
        <w:rPr>
          <w:rFonts w:hint="eastAsia" w:ascii="Times New Roman" w:hAnsi="Times New Roman" w:eastAsia="仿宋_GB2312" w:cs="宋体"/>
          <w:kern w:val="0"/>
          <w:sz w:val="32"/>
          <w:szCs w:val="32"/>
        </w:rPr>
        <w:t>,</w:t>
      </w:r>
      <w:r>
        <w:rPr>
          <w:rFonts w:hint="eastAsia" w:ascii="Times New Roman" w:hAnsi="Times New Roman" w:eastAsia="仿宋_GB2312" w:cs="宋体"/>
          <w:kern w:val="0"/>
          <w:sz w:val="32"/>
          <w:szCs w:val="32"/>
          <w:lang w:val="en-US" w:eastAsia="zh-CN"/>
        </w:rPr>
        <w:t>624</w:t>
      </w:r>
      <w:r>
        <w:rPr>
          <w:rFonts w:ascii="Times New Roman" w:hAnsi="Times New Roman" w:eastAsia="仿宋_GB2312" w:cs="宋体"/>
          <w:kern w:val="0"/>
          <w:sz w:val="32"/>
          <w:szCs w:val="32"/>
        </w:rPr>
        <w:t>.</w:t>
      </w:r>
      <w:r>
        <w:rPr>
          <w:rFonts w:hint="eastAsia" w:ascii="Times New Roman" w:hAnsi="Times New Roman" w:eastAsia="仿宋_GB2312" w:cs="宋体"/>
          <w:kern w:val="0"/>
          <w:sz w:val="32"/>
          <w:szCs w:val="32"/>
          <w:lang w:val="en-US" w:eastAsia="zh-CN"/>
        </w:rPr>
        <w:t>8</w:t>
      </w:r>
      <w:r>
        <w:rPr>
          <w:rFonts w:hint="eastAsia" w:eastAsia="仿宋_GB2312" w:cs="宋体"/>
          <w:kern w:val="0"/>
          <w:sz w:val="32"/>
          <w:szCs w:val="32"/>
          <w:lang w:val="en-US" w:eastAsia="zh-CN"/>
        </w:rPr>
        <w:t>8</w:t>
      </w:r>
      <w:r>
        <w:rPr>
          <w:rFonts w:hint="eastAsia" w:ascii="Times New Roman" w:hAnsi="Times New Roman" w:eastAsia="仿宋_GB2312" w:cs="宋体"/>
          <w:kern w:val="0"/>
          <w:sz w:val="32"/>
          <w:szCs w:val="32"/>
        </w:rPr>
        <w:t>万元的6.</w:t>
      </w:r>
      <w:r>
        <w:rPr>
          <w:rFonts w:hint="eastAsia" w:ascii="Times New Roman" w:hAnsi="Times New Roman" w:eastAsia="仿宋_GB2312" w:cs="宋体"/>
          <w:kern w:val="0"/>
          <w:sz w:val="32"/>
          <w:szCs w:val="32"/>
          <w:lang w:val="en-US" w:eastAsia="zh-CN"/>
        </w:rPr>
        <w:t>6</w:t>
      </w:r>
      <w:r>
        <w:rPr>
          <w:rFonts w:hint="eastAsia" w:ascii="Times New Roman" w:hAnsi="Times New Roman" w:eastAsia="仿宋_GB2312" w:cs="宋体"/>
          <w:kern w:val="0"/>
          <w:sz w:val="32"/>
          <w:szCs w:val="32"/>
        </w:rPr>
        <w:t>4%，较上年结转结余率</w:t>
      </w:r>
      <w:r>
        <w:rPr>
          <w:rFonts w:hint="eastAsia" w:ascii="Times New Roman" w:hAnsi="Times New Roman" w:eastAsia="仿宋_GB2312" w:cs="宋体"/>
          <w:kern w:val="0"/>
          <w:sz w:val="32"/>
          <w:szCs w:val="32"/>
          <w:lang w:val="en-US" w:eastAsia="zh-CN"/>
        </w:rPr>
        <w:t>6.04</w:t>
      </w:r>
      <w:r>
        <w:rPr>
          <w:rFonts w:hint="eastAsia" w:ascii="Times New Roman" w:hAnsi="Times New Roman" w:eastAsia="仿宋_GB2312" w:cs="宋体"/>
          <w:kern w:val="0"/>
          <w:sz w:val="32"/>
          <w:szCs w:val="32"/>
        </w:rPr>
        <w:t>%略有上升。</w:t>
      </w:r>
    </w:p>
    <w:p w14:paraId="5A1BF528">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1"/>
        <w:rPr>
          <w:rFonts w:hint="eastAsia" w:ascii="Times New Roman" w:hAnsi="Times New Roman" w:eastAsia="楷体_GB2312"/>
          <w:sz w:val="32"/>
          <w:szCs w:val="32"/>
        </w:rPr>
      </w:pPr>
      <w:bookmarkStart w:id="27" w:name="_Toc165913339"/>
      <w:bookmarkStart w:id="28" w:name="_Toc16820"/>
      <w:r>
        <w:rPr>
          <w:rFonts w:hint="eastAsia" w:ascii="Times New Roman" w:hAnsi="Times New Roman" w:eastAsia="楷体_GB2312"/>
          <w:sz w:val="32"/>
          <w:szCs w:val="32"/>
        </w:rPr>
        <w:t>（五）部门预决算差异率</w:t>
      </w:r>
      <w:bookmarkEnd w:id="27"/>
      <w:bookmarkEnd w:id="28"/>
    </w:p>
    <w:p w14:paraId="7D98E402">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FF"/>
          <w:kern w:val="0"/>
          <w:sz w:val="32"/>
          <w:szCs w:val="32"/>
        </w:rPr>
      </w:pPr>
      <w:r>
        <w:rPr>
          <w:rFonts w:hint="eastAsia" w:ascii="Times New Roman" w:hAnsi="Times New Roman" w:eastAsia="仿宋_GB2312" w:cs="宋体"/>
          <w:kern w:val="0"/>
          <w:sz w:val="32"/>
          <w:szCs w:val="32"/>
        </w:rPr>
        <w:t>202</w:t>
      </w:r>
      <w:r>
        <w:rPr>
          <w:rFonts w:hint="eastAsia" w:ascii="Times New Roman" w:hAnsi="Times New Roman" w:eastAsia="仿宋_GB2312" w:cs="宋体"/>
          <w:kern w:val="0"/>
          <w:sz w:val="32"/>
          <w:szCs w:val="32"/>
          <w:lang w:val="en-US" w:eastAsia="zh-CN"/>
        </w:rPr>
        <w:t>4</w:t>
      </w:r>
      <w:r>
        <w:rPr>
          <w:rFonts w:hint="eastAsia" w:ascii="Times New Roman" w:hAnsi="Times New Roman" w:eastAsia="仿宋_GB2312" w:cs="宋体"/>
          <w:kern w:val="0"/>
          <w:sz w:val="32"/>
          <w:szCs w:val="32"/>
        </w:rPr>
        <w:t>年末部门</w:t>
      </w:r>
      <w:r>
        <w:rPr>
          <w:rFonts w:hint="eastAsia" w:ascii="Times New Roman" w:hAnsi="Times New Roman" w:eastAsia="仿宋_GB2312" w:cs="仿宋_GB2312"/>
          <w:color w:val="000000"/>
          <w:kern w:val="0"/>
          <w:sz w:val="32"/>
          <w:szCs w:val="32"/>
        </w:rPr>
        <w:t>一般公共预算财政拨款</w:t>
      </w:r>
      <w:r>
        <w:rPr>
          <w:rFonts w:hint="eastAsia" w:ascii="Times New Roman" w:hAnsi="Times New Roman" w:eastAsia="仿宋_GB2312" w:cs="宋体"/>
          <w:kern w:val="0"/>
          <w:sz w:val="32"/>
          <w:szCs w:val="32"/>
        </w:rPr>
        <w:t>决算收入</w:t>
      </w:r>
      <w:r>
        <w:rPr>
          <w:rFonts w:hint="eastAsia" w:ascii="Times New Roman" w:hAnsi="Times New Roman" w:eastAsia="仿宋_GB2312" w:cs="宋体"/>
          <w:kern w:val="0"/>
          <w:sz w:val="32"/>
          <w:szCs w:val="32"/>
          <w:lang w:val="en-US" w:eastAsia="zh-CN"/>
        </w:rPr>
        <w:t>11</w:t>
      </w:r>
      <w:r>
        <w:rPr>
          <w:rFonts w:hint="eastAsia" w:ascii="Times New Roman" w:hAnsi="Times New Roman" w:eastAsia="仿宋_GB2312" w:cs="宋体"/>
          <w:kern w:val="0"/>
          <w:sz w:val="32"/>
          <w:szCs w:val="32"/>
        </w:rPr>
        <w:t>,</w:t>
      </w:r>
      <w:r>
        <w:rPr>
          <w:rFonts w:hint="eastAsia" w:ascii="Times New Roman" w:hAnsi="Times New Roman" w:eastAsia="仿宋_GB2312" w:cs="宋体"/>
          <w:kern w:val="0"/>
          <w:sz w:val="32"/>
          <w:szCs w:val="32"/>
          <w:lang w:val="en-US" w:eastAsia="zh-CN"/>
        </w:rPr>
        <w:t>449</w:t>
      </w:r>
      <w:r>
        <w:rPr>
          <w:rFonts w:ascii="Times New Roman" w:hAnsi="Times New Roman" w:eastAsia="仿宋_GB2312" w:cs="宋体"/>
          <w:kern w:val="0"/>
          <w:sz w:val="32"/>
          <w:szCs w:val="32"/>
        </w:rPr>
        <w:t>.</w:t>
      </w:r>
      <w:r>
        <w:rPr>
          <w:rFonts w:hint="eastAsia" w:ascii="Times New Roman" w:hAnsi="Times New Roman" w:eastAsia="仿宋_GB2312" w:cs="宋体"/>
          <w:kern w:val="0"/>
          <w:sz w:val="32"/>
          <w:szCs w:val="32"/>
          <w:lang w:val="en-US" w:eastAsia="zh-CN"/>
        </w:rPr>
        <w:t>35</w:t>
      </w:r>
      <w:r>
        <w:rPr>
          <w:rFonts w:hint="eastAsia" w:ascii="Times New Roman" w:hAnsi="Times New Roman" w:eastAsia="仿宋_GB2312" w:cs="宋体"/>
          <w:kern w:val="0"/>
          <w:sz w:val="32"/>
          <w:szCs w:val="32"/>
        </w:rPr>
        <w:t>万元，年初预算收入</w:t>
      </w:r>
      <w:r>
        <w:rPr>
          <w:rFonts w:hint="eastAsia" w:ascii="Times New Roman" w:hAnsi="Times New Roman" w:eastAsia="仿宋_GB2312" w:cs="宋体"/>
          <w:kern w:val="0"/>
          <w:sz w:val="32"/>
          <w:szCs w:val="32"/>
          <w:lang w:val="en-US" w:eastAsia="zh-CN"/>
        </w:rPr>
        <w:t>11</w:t>
      </w:r>
      <w:r>
        <w:rPr>
          <w:rFonts w:hint="eastAsia" w:ascii="Times New Roman" w:hAnsi="Times New Roman" w:eastAsia="仿宋_GB2312" w:cs="宋体"/>
          <w:kern w:val="0"/>
          <w:sz w:val="32"/>
          <w:szCs w:val="32"/>
        </w:rPr>
        <w:t>,</w:t>
      </w:r>
      <w:r>
        <w:rPr>
          <w:rFonts w:hint="eastAsia" w:ascii="Times New Roman" w:hAnsi="Times New Roman" w:eastAsia="仿宋_GB2312" w:cs="宋体"/>
          <w:kern w:val="0"/>
          <w:sz w:val="32"/>
          <w:szCs w:val="32"/>
          <w:lang w:val="en-US" w:eastAsia="zh-CN"/>
        </w:rPr>
        <w:t>776</w:t>
      </w:r>
      <w:r>
        <w:rPr>
          <w:rFonts w:ascii="Times New Roman" w:hAnsi="Times New Roman" w:eastAsia="仿宋_GB2312" w:cs="宋体"/>
          <w:kern w:val="0"/>
          <w:sz w:val="32"/>
          <w:szCs w:val="32"/>
        </w:rPr>
        <w:t>.</w:t>
      </w:r>
      <w:r>
        <w:rPr>
          <w:rFonts w:hint="eastAsia" w:ascii="Times New Roman" w:hAnsi="Times New Roman" w:eastAsia="仿宋_GB2312" w:cs="宋体"/>
          <w:kern w:val="0"/>
          <w:sz w:val="32"/>
          <w:szCs w:val="32"/>
          <w:lang w:val="en-US" w:eastAsia="zh-CN"/>
        </w:rPr>
        <w:t>03</w:t>
      </w:r>
      <w:r>
        <w:rPr>
          <w:rFonts w:hint="eastAsia" w:ascii="Times New Roman" w:hAnsi="Times New Roman" w:eastAsia="仿宋_GB2312" w:cs="宋体"/>
          <w:kern w:val="0"/>
          <w:sz w:val="32"/>
          <w:szCs w:val="32"/>
        </w:rPr>
        <w:t>万元，预决算差额</w:t>
      </w:r>
      <w:r>
        <w:rPr>
          <w:rFonts w:hint="eastAsia" w:ascii="Times New Roman" w:hAnsi="Times New Roman" w:eastAsia="仿宋_GB2312" w:cs="宋体"/>
          <w:kern w:val="0"/>
          <w:sz w:val="32"/>
          <w:szCs w:val="32"/>
          <w:lang w:val="en-US" w:eastAsia="zh-CN"/>
        </w:rPr>
        <w:t>326.68</w:t>
      </w:r>
      <w:r>
        <w:rPr>
          <w:rFonts w:hint="eastAsia" w:ascii="Times New Roman" w:hAnsi="Times New Roman" w:eastAsia="仿宋_GB2312" w:cs="宋体"/>
          <w:kern w:val="0"/>
          <w:sz w:val="32"/>
          <w:szCs w:val="32"/>
        </w:rPr>
        <w:t>万元，部门预决算差异率为</w:t>
      </w:r>
      <w:r>
        <w:rPr>
          <w:rFonts w:hint="eastAsia" w:ascii="Times New Roman" w:hAnsi="Times New Roman" w:eastAsia="仿宋_GB2312" w:cs="宋体"/>
          <w:kern w:val="0"/>
          <w:sz w:val="32"/>
          <w:szCs w:val="32"/>
          <w:lang w:val="en-US" w:eastAsia="zh-CN"/>
        </w:rPr>
        <w:t>2.77</w:t>
      </w:r>
      <w:r>
        <w:rPr>
          <w:rFonts w:hint="eastAsia" w:ascii="Times New Roman" w:hAnsi="Times New Roman" w:eastAsia="仿宋_GB2312" w:cs="宋体"/>
          <w:kern w:val="0"/>
          <w:sz w:val="32"/>
          <w:szCs w:val="32"/>
        </w:rPr>
        <w:t>%，</w:t>
      </w:r>
      <w:r>
        <w:rPr>
          <w:rFonts w:hint="eastAsia" w:ascii="Times New Roman" w:hAnsi="Times New Roman" w:eastAsia="仿宋_GB2312" w:cs="宋体"/>
          <w:kern w:val="0"/>
          <w:sz w:val="32"/>
          <w:szCs w:val="32"/>
          <w:lang w:val="en-US" w:eastAsia="zh-CN"/>
        </w:rPr>
        <w:t>对比2023年</w:t>
      </w:r>
      <w:r>
        <w:rPr>
          <w:rFonts w:hint="eastAsia" w:ascii="Times New Roman" w:hAnsi="Times New Roman" w:eastAsia="仿宋_GB2312" w:cs="宋体"/>
          <w:kern w:val="0"/>
          <w:sz w:val="32"/>
          <w:szCs w:val="32"/>
        </w:rPr>
        <w:t>预决算差异率1.04%</w:t>
      </w:r>
      <w:r>
        <w:rPr>
          <w:rFonts w:hint="eastAsia" w:ascii="Times New Roman" w:hAnsi="Times New Roman" w:eastAsia="仿宋_GB2312" w:cs="宋体"/>
          <w:kern w:val="0"/>
          <w:sz w:val="32"/>
          <w:szCs w:val="32"/>
          <w:lang w:val="en-US" w:eastAsia="zh-CN"/>
        </w:rPr>
        <w:t>略有增加。</w:t>
      </w:r>
    </w:p>
    <w:p w14:paraId="6D7010D1">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0"/>
        <w:rPr>
          <w:rFonts w:hint="eastAsia" w:ascii="Times New Roman" w:hAnsi="Times New Roman" w:eastAsia="黑体"/>
          <w:sz w:val="32"/>
          <w:szCs w:val="32"/>
        </w:rPr>
      </w:pPr>
      <w:bookmarkStart w:id="29" w:name="_Toc13489"/>
      <w:bookmarkStart w:id="30" w:name="_Toc165913340"/>
      <w:r>
        <w:rPr>
          <w:rFonts w:hint="eastAsia" w:ascii="Times New Roman" w:hAnsi="Times New Roman" w:eastAsia="黑体"/>
          <w:sz w:val="32"/>
          <w:szCs w:val="32"/>
        </w:rPr>
        <w:t>五、总体</w:t>
      </w:r>
      <w:r>
        <w:rPr>
          <w:rFonts w:ascii="Times New Roman" w:hAnsi="Times New Roman" w:eastAsia="黑体"/>
          <w:sz w:val="32"/>
          <w:szCs w:val="32"/>
        </w:rPr>
        <w:t>评价结论</w:t>
      </w:r>
      <w:bookmarkEnd w:id="29"/>
      <w:bookmarkEnd w:id="30"/>
    </w:p>
    <w:p w14:paraId="7F4217EF">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1"/>
        <w:rPr>
          <w:rFonts w:ascii="Times New Roman" w:hAnsi="Times New Roman" w:eastAsia="楷体_GB2312"/>
          <w:sz w:val="32"/>
          <w:szCs w:val="32"/>
        </w:rPr>
      </w:pPr>
      <w:bookmarkStart w:id="31" w:name="_Toc165913341"/>
      <w:bookmarkStart w:id="32" w:name="_Toc8539"/>
      <w:r>
        <w:rPr>
          <w:rFonts w:hint="eastAsia" w:ascii="Times New Roman" w:hAnsi="Times New Roman" w:eastAsia="楷体_GB2312"/>
          <w:sz w:val="32"/>
          <w:szCs w:val="32"/>
        </w:rPr>
        <w:t>（一）评价</w:t>
      </w:r>
      <w:r>
        <w:rPr>
          <w:rFonts w:ascii="Times New Roman" w:hAnsi="Times New Roman" w:eastAsia="楷体_GB2312"/>
          <w:sz w:val="32"/>
          <w:szCs w:val="32"/>
        </w:rPr>
        <w:t>得分</w:t>
      </w:r>
      <w:r>
        <w:rPr>
          <w:rFonts w:hint="eastAsia" w:ascii="Times New Roman" w:hAnsi="Times New Roman" w:eastAsia="楷体_GB2312"/>
          <w:sz w:val="32"/>
          <w:szCs w:val="32"/>
        </w:rPr>
        <w:t>情况</w:t>
      </w:r>
      <w:bookmarkEnd w:id="31"/>
      <w:bookmarkEnd w:id="32"/>
    </w:p>
    <w:p w14:paraId="259D2F53">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本次部门整体绩效评价通过资料分析、内部评议等多种方式开展了全面、系统、客观的分析评价，最终得分为</w:t>
      </w:r>
      <w:r>
        <w:rPr>
          <w:rFonts w:hint="eastAsia" w:ascii="Times New Roman" w:hAnsi="Times New Roman" w:eastAsia="仿宋_GB2312" w:cs="宋体"/>
          <w:color w:val="auto"/>
          <w:kern w:val="0"/>
          <w:sz w:val="32"/>
          <w:szCs w:val="32"/>
        </w:rPr>
        <w:t>9</w:t>
      </w:r>
      <w:r>
        <w:rPr>
          <w:rFonts w:hint="eastAsia" w:ascii="Times New Roman" w:hAnsi="Times New Roman" w:eastAsia="仿宋_GB2312" w:cs="宋体"/>
          <w:color w:val="auto"/>
          <w:kern w:val="0"/>
          <w:sz w:val="32"/>
          <w:szCs w:val="32"/>
          <w:lang w:val="en-US" w:eastAsia="zh-CN"/>
        </w:rPr>
        <w:t>5.74</w:t>
      </w:r>
      <w:r>
        <w:rPr>
          <w:rFonts w:hint="eastAsia" w:ascii="Times New Roman" w:hAnsi="Times New Roman" w:eastAsia="仿宋_GB2312" w:cs="宋体"/>
          <w:color w:val="auto"/>
          <w:kern w:val="0"/>
          <w:sz w:val="32"/>
          <w:szCs w:val="32"/>
        </w:rPr>
        <w:t>分，综合评价等级为“优秀”。其中：当年预算执行情况18.</w:t>
      </w:r>
      <w:r>
        <w:rPr>
          <w:rFonts w:hint="eastAsia" w:ascii="Times New Roman" w:hAnsi="Times New Roman" w:eastAsia="仿宋_GB2312" w:cs="宋体"/>
          <w:color w:val="auto"/>
          <w:kern w:val="0"/>
          <w:sz w:val="32"/>
          <w:szCs w:val="32"/>
          <w:lang w:val="en-US" w:eastAsia="zh-CN"/>
        </w:rPr>
        <w:t>67</w:t>
      </w:r>
      <w:r>
        <w:rPr>
          <w:rFonts w:hint="eastAsia" w:ascii="Times New Roman" w:hAnsi="Times New Roman" w:eastAsia="仿宋_GB2312" w:cs="宋体"/>
          <w:color w:val="auto"/>
          <w:kern w:val="0"/>
          <w:sz w:val="32"/>
          <w:szCs w:val="32"/>
        </w:rPr>
        <w:t>分，整体绩效目标实际情况58分，预算管理情况</w:t>
      </w:r>
      <w:r>
        <w:rPr>
          <w:rFonts w:hint="eastAsia" w:ascii="Times New Roman" w:hAnsi="Times New Roman" w:eastAsia="仿宋_GB2312" w:cs="宋体"/>
          <w:color w:val="auto"/>
          <w:kern w:val="0"/>
          <w:sz w:val="32"/>
          <w:szCs w:val="32"/>
          <w:lang w:val="en-US" w:eastAsia="zh-CN"/>
        </w:rPr>
        <w:t>19.07</w:t>
      </w:r>
      <w:r>
        <w:rPr>
          <w:rFonts w:hint="eastAsia" w:ascii="Times New Roman" w:hAnsi="Times New Roman" w:eastAsia="仿宋_GB2312" w:cs="宋体"/>
          <w:color w:val="auto"/>
          <w:kern w:val="0"/>
          <w:sz w:val="32"/>
          <w:szCs w:val="32"/>
        </w:rPr>
        <w:t>分，</w:t>
      </w:r>
      <w:r>
        <w:rPr>
          <w:rFonts w:hint="eastAsia" w:ascii="Times New Roman" w:hAnsi="Times New Roman" w:eastAsia="仿宋_GB2312" w:cs="宋体"/>
          <w:kern w:val="0"/>
          <w:sz w:val="32"/>
          <w:szCs w:val="32"/>
        </w:rPr>
        <w:t>具体评分见《202</w:t>
      </w:r>
      <w:r>
        <w:rPr>
          <w:rFonts w:hint="eastAsia" w:ascii="Times New Roman" w:hAnsi="Times New Roman" w:eastAsia="仿宋_GB2312" w:cs="宋体"/>
          <w:kern w:val="0"/>
          <w:sz w:val="32"/>
          <w:szCs w:val="32"/>
          <w:lang w:val="en-US" w:eastAsia="zh-CN"/>
        </w:rPr>
        <w:t>4</w:t>
      </w:r>
      <w:r>
        <w:rPr>
          <w:rFonts w:hint="eastAsia" w:ascii="Times New Roman" w:hAnsi="Times New Roman" w:eastAsia="仿宋_GB2312" w:cs="宋体"/>
          <w:kern w:val="0"/>
          <w:sz w:val="32"/>
          <w:szCs w:val="32"/>
        </w:rPr>
        <w:t>年部门整体绩效评价指标体系评分表》。</w:t>
      </w:r>
    </w:p>
    <w:p w14:paraId="1A2D549A">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市文化市场执法总队按照《北京市财政局关于开展2024年预算绩效管理相关工作的函》绩效评价工作要求，对202</w:t>
      </w:r>
      <w:r>
        <w:rPr>
          <w:rFonts w:hint="eastAsia" w:ascii="Times New Roman" w:hAnsi="Times New Roman" w:eastAsia="仿宋_GB2312" w:cs="宋体"/>
          <w:kern w:val="0"/>
          <w:sz w:val="32"/>
          <w:szCs w:val="32"/>
          <w:lang w:val="en-US" w:eastAsia="zh-CN"/>
        </w:rPr>
        <w:t>4</w:t>
      </w:r>
      <w:r>
        <w:rPr>
          <w:rFonts w:hint="eastAsia" w:ascii="Times New Roman" w:hAnsi="Times New Roman" w:eastAsia="仿宋_GB2312" w:cs="宋体"/>
          <w:kern w:val="0"/>
          <w:sz w:val="32"/>
          <w:szCs w:val="32"/>
        </w:rPr>
        <w:t>年度部门项目支出实施绩效自评，开展部门</w:t>
      </w:r>
      <w:r>
        <w:rPr>
          <w:rFonts w:hint="eastAsia" w:ascii="Times New Roman" w:hAnsi="Times New Roman" w:eastAsia="仿宋_GB2312" w:cs="宋体"/>
          <w:color w:val="auto"/>
          <w:kern w:val="0"/>
          <w:sz w:val="32"/>
          <w:szCs w:val="32"/>
        </w:rPr>
        <w:t>重点绩效评价项目1个，涉及金额</w:t>
      </w:r>
      <w:r>
        <w:rPr>
          <w:rFonts w:hint="eastAsia" w:ascii="Times New Roman" w:hAnsi="Times New Roman" w:eastAsia="仿宋_GB2312" w:cs="宋体"/>
          <w:color w:val="auto"/>
          <w:kern w:val="0"/>
          <w:sz w:val="32"/>
          <w:szCs w:val="32"/>
          <w:lang w:val="en-US" w:eastAsia="zh-CN"/>
        </w:rPr>
        <w:t>768.40</w:t>
      </w:r>
      <w:r>
        <w:rPr>
          <w:rFonts w:hint="eastAsia" w:ascii="Times New Roman" w:hAnsi="Times New Roman" w:eastAsia="仿宋_GB2312" w:cs="宋体"/>
          <w:color w:val="auto"/>
          <w:kern w:val="0"/>
          <w:sz w:val="32"/>
          <w:szCs w:val="32"/>
        </w:rPr>
        <w:t>万元，评价得分90.36分。</w:t>
      </w:r>
    </w:p>
    <w:p w14:paraId="58135C6E">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1"/>
        <w:rPr>
          <w:rFonts w:ascii="Times New Roman" w:hAnsi="Times New Roman" w:eastAsia="楷体_GB2312"/>
          <w:sz w:val="32"/>
          <w:szCs w:val="32"/>
        </w:rPr>
      </w:pPr>
      <w:bookmarkStart w:id="33" w:name="_Toc165913342"/>
      <w:bookmarkStart w:id="34" w:name="_Toc32108"/>
      <w:r>
        <w:rPr>
          <w:rFonts w:hint="eastAsia" w:ascii="Times New Roman" w:hAnsi="Times New Roman" w:eastAsia="楷体_GB2312"/>
          <w:sz w:val="32"/>
          <w:szCs w:val="32"/>
        </w:rPr>
        <w:t>（二）存在的问题及原因分析</w:t>
      </w:r>
      <w:bookmarkEnd w:id="33"/>
      <w:bookmarkEnd w:id="34"/>
    </w:p>
    <w:p w14:paraId="1F64DE14">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1.部分项目绩效目标设定</w:t>
      </w:r>
      <w:r>
        <w:rPr>
          <w:rFonts w:hint="eastAsia" w:eastAsia="仿宋_GB2312" w:cs="宋体"/>
          <w:kern w:val="0"/>
          <w:sz w:val="32"/>
          <w:szCs w:val="32"/>
          <w:lang w:eastAsia="zh-CN"/>
        </w:rPr>
        <w:t>还不完全科学</w:t>
      </w:r>
      <w:r>
        <w:rPr>
          <w:rFonts w:hint="eastAsia" w:ascii="Times New Roman" w:hAnsi="Times New Roman" w:eastAsia="仿宋_GB2312" w:cs="宋体"/>
          <w:kern w:val="0"/>
          <w:sz w:val="32"/>
          <w:szCs w:val="32"/>
        </w:rPr>
        <w:t>。</w:t>
      </w:r>
    </w:p>
    <w:p w14:paraId="65AD65D9">
      <w:pPr>
        <w:keepNext w:val="0"/>
        <w:keepLines w:val="0"/>
        <w:pageBreakBefore w:val="0"/>
        <w:kinsoku/>
        <w:wordWrap/>
        <w:overflowPunct/>
        <w:topLinePunct w:val="0"/>
        <w:autoSpaceDE/>
        <w:autoSpaceDN/>
        <w:bidi w:val="0"/>
        <w:adjustRightInd/>
        <w:snapToGrid w:val="0"/>
        <w:spacing w:beforeAutospacing="0" w:afterAutospacing="0" w:line="560" w:lineRule="exact"/>
        <w:ind w:left="0"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lang w:val="en-US" w:eastAsia="zh-CN"/>
        </w:rPr>
        <w:t>一是</w:t>
      </w:r>
      <w:r>
        <w:rPr>
          <w:rFonts w:hint="eastAsia" w:ascii="Times New Roman" w:hAnsi="Times New Roman" w:eastAsia="仿宋_GB2312" w:cs="宋体"/>
          <w:kern w:val="0"/>
          <w:sz w:val="32"/>
          <w:szCs w:val="32"/>
        </w:rPr>
        <w:t>市文化市场执法总队的常规履职项目与年度实际工作开展情况</w:t>
      </w:r>
      <w:r>
        <w:rPr>
          <w:rFonts w:hint="eastAsia" w:ascii="Times New Roman" w:hAnsi="Times New Roman" w:eastAsia="仿宋_GB2312" w:cs="宋体"/>
          <w:kern w:val="0"/>
          <w:sz w:val="32"/>
          <w:szCs w:val="32"/>
          <w:lang w:val="en-US" w:eastAsia="zh-CN"/>
        </w:rPr>
        <w:t>关联度</w:t>
      </w:r>
      <w:r>
        <w:rPr>
          <w:rFonts w:hint="eastAsia" w:ascii="Times New Roman" w:hAnsi="Times New Roman" w:eastAsia="仿宋_GB2312" w:cs="宋体"/>
          <w:kern w:val="0"/>
          <w:sz w:val="32"/>
          <w:szCs w:val="32"/>
        </w:rPr>
        <w:t>高，</w:t>
      </w:r>
      <w:r>
        <w:rPr>
          <w:rFonts w:hint="eastAsia" w:ascii="Times New Roman" w:hAnsi="Times New Roman" w:eastAsia="仿宋_GB2312" w:cs="宋体"/>
          <w:kern w:val="0"/>
          <w:sz w:val="32"/>
          <w:szCs w:val="32"/>
          <w:lang w:val="en-US" w:eastAsia="zh-CN"/>
        </w:rPr>
        <w:t>受外部政策因素和</w:t>
      </w:r>
      <w:r>
        <w:rPr>
          <w:rFonts w:hint="eastAsia" w:ascii="Times New Roman" w:hAnsi="Times New Roman" w:eastAsia="仿宋_GB2312" w:cs="宋体"/>
          <w:kern w:val="0"/>
          <w:sz w:val="32"/>
          <w:szCs w:val="32"/>
        </w:rPr>
        <w:t>上级部门的考核指标</w:t>
      </w:r>
      <w:r>
        <w:rPr>
          <w:rFonts w:hint="eastAsia" w:ascii="Times New Roman" w:hAnsi="Times New Roman" w:eastAsia="仿宋_GB2312" w:cs="宋体"/>
          <w:kern w:val="0"/>
          <w:sz w:val="32"/>
          <w:szCs w:val="32"/>
          <w:lang w:val="en-US" w:eastAsia="zh-CN"/>
        </w:rPr>
        <w:t>等客观因素影响较大</w:t>
      </w:r>
      <w:r>
        <w:rPr>
          <w:rFonts w:hint="eastAsia" w:ascii="Times New Roman" w:hAnsi="Times New Roman" w:eastAsia="仿宋_GB2312" w:cs="宋体"/>
          <w:kern w:val="0"/>
          <w:sz w:val="32"/>
          <w:szCs w:val="32"/>
        </w:rPr>
        <w:t>，</w:t>
      </w:r>
      <w:r>
        <w:rPr>
          <w:rFonts w:hint="eastAsia" w:ascii="Times New Roman" w:hAnsi="Times New Roman" w:eastAsia="仿宋_GB2312" w:cs="宋体"/>
          <w:kern w:val="0"/>
          <w:sz w:val="32"/>
          <w:szCs w:val="32"/>
          <w:lang w:val="en-US" w:eastAsia="zh-CN"/>
        </w:rPr>
        <w:t>科学</w:t>
      </w:r>
      <w:r>
        <w:rPr>
          <w:rFonts w:hint="eastAsia" w:ascii="Times New Roman" w:hAnsi="Times New Roman" w:eastAsia="仿宋_GB2312" w:cs="宋体"/>
          <w:kern w:val="0"/>
          <w:sz w:val="32"/>
          <w:szCs w:val="32"/>
        </w:rPr>
        <w:t>合理设定绩效目标的难度较大。</w:t>
      </w:r>
      <w:r>
        <w:rPr>
          <w:rFonts w:hint="eastAsia" w:ascii="Times New Roman" w:hAnsi="Times New Roman" w:eastAsia="仿宋_GB2312" w:cs="宋体"/>
          <w:kern w:val="0"/>
          <w:sz w:val="32"/>
          <w:szCs w:val="32"/>
          <w:lang w:val="en-US" w:eastAsia="zh-CN"/>
        </w:rPr>
        <w:t>二是</w:t>
      </w:r>
      <w:r>
        <w:rPr>
          <w:rFonts w:hint="eastAsia" w:ascii="Times New Roman" w:hAnsi="Times New Roman" w:eastAsia="仿宋_GB2312" w:cs="宋体"/>
          <w:kern w:val="0"/>
          <w:sz w:val="32"/>
          <w:szCs w:val="32"/>
        </w:rPr>
        <w:t>个别处室对项目绩效目标的设定和各项指标的理解、认识不到位，导致项目绩效目标不够明确、不够细化量化，缺乏可衡量性和可实现性。</w:t>
      </w:r>
    </w:p>
    <w:p w14:paraId="050286C3">
      <w:pPr>
        <w:keepNext w:val="0"/>
        <w:keepLines w:val="0"/>
        <w:pageBreakBefore w:val="0"/>
        <w:widowControl w:val="0"/>
        <w:numPr>
          <w:ilvl w:val="0"/>
          <w:numId w:val="5"/>
        </w:numPr>
        <w:kinsoku/>
        <w:wordWrap/>
        <w:overflowPunct/>
        <w:topLinePunct w:val="0"/>
        <w:autoSpaceDE/>
        <w:autoSpaceDN/>
        <w:bidi w:val="0"/>
        <w:adjustRightInd/>
        <w:snapToGrid w:val="0"/>
        <w:spacing w:beforeAutospacing="0" w:afterAutospacing="0" w:line="560" w:lineRule="exact"/>
        <w:ind w:left="0" w:firstLine="640" w:firstLineChars="200"/>
        <w:textAlignment w:val="auto"/>
        <w:rPr>
          <w:rFonts w:hint="eastAsia" w:ascii="Times New Roman" w:hAnsi="Times New Roman" w:eastAsia="仿宋_GB2312" w:cs="宋体"/>
          <w:kern w:val="0"/>
          <w:sz w:val="32"/>
          <w:szCs w:val="32"/>
          <w:lang w:val="en-US" w:eastAsia="zh-CN"/>
        </w:rPr>
      </w:pPr>
      <w:r>
        <w:rPr>
          <w:rFonts w:hint="eastAsia" w:ascii="Times New Roman" w:hAnsi="Times New Roman" w:eastAsia="仿宋_GB2312" w:cs="宋体"/>
          <w:kern w:val="0"/>
          <w:sz w:val="32"/>
          <w:szCs w:val="32"/>
          <w:lang w:val="en-US" w:eastAsia="zh-CN"/>
        </w:rPr>
        <w:t>项目绩效资料归集</w:t>
      </w:r>
      <w:r>
        <w:rPr>
          <w:rFonts w:hint="eastAsia" w:eastAsia="仿宋_GB2312" w:cs="宋体"/>
          <w:kern w:val="0"/>
          <w:sz w:val="32"/>
          <w:szCs w:val="32"/>
          <w:lang w:val="en-US" w:eastAsia="zh-CN"/>
        </w:rPr>
        <w:t>还不够</w:t>
      </w:r>
      <w:r>
        <w:rPr>
          <w:rFonts w:hint="eastAsia" w:ascii="Times New Roman" w:hAnsi="Times New Roman" w:eastAsia="仿宋_GB2312" w:cs="宋体"/>
          <w:kern w:val="0"/>
          <w:sz w:val="32"/>
          <w:szCs w:val="32"/>
          <w:lang w:val="en-US" w:eastAsia="zh-CN"/>
        </w:rPr>
        <w:t>充分。</w:t>
      </w:r>
    </w:p>
    <w:p w14:paraId="7350D3C0">
      <w:pPr>
        <w:pStyle w:val="17"/>
        <w:keepNext w:val="0"/>
        <w:keepLines w:val="0"/>
        <w:pageBreakBefore w:val="0"/>
        <w:widowControl/>
        <w:suppressLineNumbers w:val="0"/>
        <w:kinsoku/>
        <w:wordWrap/>
        <w:overflowPunct/>
        <w:topLinePunct w:val="0"/>
        <w:autoSpaceDE/>
        <w:autoSpaceDN/>
        <w:bidi w:val="0"/>
        <w:adjustRightInd/>
        <w:spacing w:before="0" w:beforeAutospacing="0" w:after="0" w:afterAutospacing="0" w:line="560" w:lineRule="exact"/>
        <w:ind w:left="0" w:right="0"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lang w:val="en-US" w:eastAsia="zh-CN" w:bidi="ar-SA"/>
        </w:rPr>
        <w:t>根据市文化市场执法总队自评结果，目前各项目效益资料归集有待加强，关键绩效指标缺乏量化资料支撑和过程性数据采集，无法全面、有效</w:t>
      </w:r>
      <w:r>
        <w:rPr>
          <w:rFonts w:hint="default" w:ascii="Times New Roman" w:hAnsi="Times New Roman" w:eastAsia="仿宋_GB2312" w:cs="宋体"/>
          <w:kern w:val="0"/>
          <w:sz w:val="32"/>
          <w:szCs w:val="32"/>
          <w:lang w:val="en-US" w:eastAsia="zh-CN" w:bidi="ar-SA"/>
        </w:rPr>
        <w:t>佐证</w:t>
      </w:r>
      <w:r>
        <w:rPr>
          <w:rFonts w:hint="eastAsia" w:ascii="Times New Roman" w:hAnsi="Times New Roman" w:eastAsia="仿宋_GB2312" w:cs="宋体"/>
          <w:kern w:val="0"/>
          <w:sz w:val="32"/>
          <w:szCs w:val="32"/>
          <w:lang w:val="en-US" w:eastAsia="zh-CN" w:bidi="ar-SA"/>
        </w:rPr>
        <w:t>项目效益实现情况。部分项目满意度调查深度分析不足，调查问卷内容不够全面，存在调查样本量不足或者主体覆盖不均衡情况。</w:t>
      </w:r>
    </w:p>
    <w:p w14:paraId="482932BD">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0"/>
        <w:rPr>
          <w:rFonts w:hint="eastAsia" w:ascii="Times New Roman" w:hAnsi="Times New Roman" w:eastAsia="仿宋_GB2312" w:cs="宋体"/>
          <w:color w:val="000000"/>
          <w:kern w:val="0"/>
          <w:sz w:val="32"/>
          <w:szCs w:val="32"/>
        </w:rPr>
      </w:pPr>
      <w:bookmarkStart w:id="35" w:name="_Toc165913343"/>
      <w:bookmarkStart w:id="36" w:name="_Toc27193"/>
      <w:r>
        <w:rPr>
          <w:rFonts w:hint="eastAsia" w:ascii="Times New Roman" w:hAnsi="Times New Roman" w:eastAsia="黑体" w:cs="宋体"/>
          <w:color w:val="000000"/>
          <w:kern w:val="0"/>
          <w:sz w:val="32"/>
          <w:szCs w:val="32"/>
        </w:rPr>
        <w:t>六、措施建议</w:t>
      </w:r>
      <w:bookmarkEnd w:id="35"/>
      <w:bookmarkEnd w:id="36"/>
    </w:p>
    <w:p w14:paraId="39895C9A">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宋体" w:cs="宋体"/>
          <w:sz w:val="24"/>
          <w:szCs w:val="24"/>
        </w:rPr>
      </w:pPr>
      <w:r>
        <w:rPr>
          <w:rFonts w:hint="eastAsia" w:ascii="Times New Roman" w:hAnsi="Times New Roman" w:eastAsia="仿宋_GB2312" w:cs="仿宋_GB2312"/>
          <w:sz w:val="32"/>
          <w:szCs w:val="32"/>
        </w:rPr>
        <w:t>1.科学构建绩效目标管理体系</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动态</w:t>
      </w:r>
      <w:r>
        <w:rPr>
          <w:rFonts w:hint="eastAsia" w:ascii="Times New Roman" w:hAnsi="Times New Roman" w:eastAsia="仿宋_GB2312" w:cs="仿宋_GB2312"/>
          <w:sz w:val="32"/>
          <w:szCs w:val="32"/>
          <w:lang w:val="en-US" w:eastAsia="zh-CN"/>
        </w:rPr>
        <w:t>调整</w:t>
      </w:r>
      <w:r>
        <w:rPr>
          <w:rFonts w:hint="eastAsia" w:ascii="Times New Roman" w:hAnsi="Times New Roman" w:eastAsia="仿宋_GB2312" w:cs="仿宋_GB2312"/>
          <w:sz w:val="32"/>
          <w:szCs w:val="32"/>
        </w:rPr>
        <w:t>绩效目标</w:t>
      </w:r>
    </w:p>
    <w:p w14:paraId="74B16BC0">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rPr>
        <w:t>充分借鉴运用先进的绩效管理、目标管理理念和技术方法，建立“战略目标－工作任务－预算资金－绩效目标”的层层分解机制，强化部门战略目标规划、年度工作任务、预算资金安排、项目绩效目标之间的关联。</w:t>
      </w:r>
      <w:r>
        <w:rPr>
          <w:rFonts w:hint="eastAsia" w:ascii="Times New Roman" w:hAnsi="Times New Roman" w:eastAsia="仿宋_GB2312" w:cs="仿宋_GB2312"/>
          <w:sz w:val="32"/>
          <w:szCs w:val="32"/>
          <w:lang w:val="en-US" w:eastAsia="zh-CN"/>
        </w:rPr>
        <w:t>结合历年项目执行情况、政策法规变化、突发事件、资源配置等情况，完</w:t>
      </w:r>
      <w:r>
        <w:rPr>
          <w:rFonts w:hint="eastAsia" w:ascii="Times New Roman" w:hAnsi="Times New Roman" w:eastAsia="仿宋_GB2312" w:cs="仿宋_GB2312"/>
          <w:sz w:val="32"/>
          <w:szCs w:val="32"/>
        </w:rPr>
        <w:t>善项目执行的考核标准并跟踪落实，根据绩效跟踪结果，建立评估和动态调整机制，精准配置资源</w:t>
      </w:r>
      <w:r>
        <w:rPr>
          <w:rFonts w:hint="eastAsia" w:ascii="Times New Roman" w:hAnsi="Times New Roman" w:eastAsia="仿宋_GB2312" w:cs="仿宋_GB2312"/>
          <w:sz w:val="32"/>
          <w:szCs w:val="32"/>
          <w:lang w:eastAsia="zh-CN"/>
        </w:rPr>
        <w:t>。</w:t>
      </w:r>
    </w:p>
    <w:p w14:paraId="56C503C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kern w:val="0"/>
          <w:sz w:val="32"/>
          <w:szCs w:val="32"/>
          <w:lang w:val="en-US" w:eastAsia="zh-CN"/>
        </w:rPr>
      </w:pPr>
      <w:r>
        <w:rPr>
          <w:rFonts w:hint="eastAsia" w:ascii="Times New Roman" w:hAnsi="Times New Roman" w:eastAsia="仿宋_GB2312" w:cs="宋体"/>
          <w:kern w:val="0"/>
          <w:sz w:val="32"/>
          <w:szCs w:val="32"/>
          <w:lang w:val="en-US" w:eastAsia="zh-CN"/>
        </w:rPr>
        <w:t>2.充分</w:t>
      </w:r>
      <w:r>
        <w:rPr>
          <w:rFonts w:hint="default" w:ascii="Times New Roman" w:hAnsi="Times New Roman" w:eastAsia="仿宋_GB2312" w:cs="宋体"/>
          <w:kern w:val="0"/>
          <w:sz w:val="32"/>
          <w:szCs w:val="32"/>
          <w:lang w:val="en-US" w:eastAsia="zh-CN"/>
        </w:rPr>
        <w:t>归集</w:t>
      </w:r>
      <w:r>
        <w:rPr>
          <w:rFonts w:hint="eastAsia" w:ascii="Times New Roman" w:hAnsi="Times New Roman" w:eastAsia="仿宋_GB2312" w:cs="宋体"/>
          <w:kern w:val="0"/>
          <w:sz w:val="32"/>
          <w:szCs w:val="32"/>
          <w:lang w:val="en-US" w:eastAsia="zh-CN"/>
        </w:rPr>
        <w:t>项目</w:t>
      </w:r>
      <w:r>
        <w:rPr>
          <w:rFonts w:hint="default" w:ascii="Times New Roman" w:hAnsi="Times New Roman" w:eastAsia="仿宋_GB2312" w:cs="宋体"/>
          <w:kern w:val="0"/>
          <w:sz w:val="32"/>
          <w:szCs w:val="32"/>
          <w:lang w:val="en-US" w:eastAsia="zh-CN"/>
        </w:rPr>
        <w:t>佐证资料，反映项目完成绩效</w:t>
      </w:r>
    </w:p>
    <w:p w14:paraId="18B4E6C2">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仿宋_GB2312"/>
          <w:sz w:val="32"/>
          <w:szCs w:val="32"/>
        </w:rPr>
      </w:pPr>
      <w:r>
        <w:rPr>
          <w:rFonts w:hint="default" w:ascii="Times New Roman" w:hAnsi="Times New Roman" w:eastAsia="仿宋_GB2312" w:cs="宋体"/>
          <w:kern w:val="0"/>
          <w:sz w:val="32"/>
          <w:szCs w:val="32"/>
        </w:rPr>
        <w:t>建议</w:t>
      </w:r>
      <w:r>
        <w:rPr>
          <w:rFonts w:hint="eastAsia" w:ascii="Times New Roman" w:hAnsi="Times New Roman" w:eastAsia="仿宋_GB2312" w:cs="宋体"/>
          <w:kern w:val="0"/>
          <w:sz w:val="32"/>
          <w:szCs w:val="32"/>
          <w:lang w:val="en-US" w:eastAsia="zh-CN"/>
        </w:rPr>
        <w:t>各业务科室</w:t>
      </w:r>
      <w:r>
        <w:rPr>
          <w:rFonts w:hint="default" w:ascii="Times New Roman" w:hAnsi="Times New Roman" w:eastAsia="仿宋_GB2312" w:cs="宋体"/>
          <w:kern w:val="0"/>
          <w:sz w:val="32"/>
          <w:szCs w:val="32"/>
          <w:lang w:val="en-US" w:eastAsia="zh-CN"/>
        </w:rPr>
        <w:t>对照项目资金支出内容，梳理项目</w:t>
      </w:r>
      <w:r>
        <w:rPr>
          <w:rFonts w:hint="eastAsia" w:ascii="Times New Roman" w:hAnsi="Times New Roman" w:eastAsia="仿宋_GB2312" w:cs="宋体"/>
          <w:kern w:val="0"/>
          <w:sz w:val="32"/>
          <w:szCs w:val="32"/>
          <w:lang w:val="en-US" w:eastAsia="zh-CN"/>
        </w:rPr>
        <w:t>具体工作任务</w:t>
      </w:r>
      <w:r>
        <w:rPr>
          <w:rFonts w:hint="default" w:ascii="Times New Roman" w:hAnsi="Times New Roman" w:eastAsia="仿宋_GB2312" w:cs="宋体"/>
          <w:kern w:val="0"/>
          <w:sz w:val="32"/>
          <w:szCs w:val="32"/>
          <w:lang w:val="en-US" w:eastAsia="zh-CN"/>
        </w:rPr>
        <w:t>，</w:t>
      </w:r>
      <w:r>
        <w:rPr>
          <w:rFonts w:hint="eastAsia" w:ascii="Times New Roman" w:hAnsi="Times New Roman" w:eastAsia="仿宋_GB2312" w:cs="宋体"/>
          <w:kern w:val="0"/>
          <w:sz w:val="32"/>
          <w:szCs w:val="32"/>
          <w:lang w:val="en-US" w:eastAsia="zh-CN"/>
        </w:rPr>
        <w:t>制定项目资料清单，</w:t>
      </w:r>
      <w:r>
        <w:rPr>
          <w:rFonts w:hint="default" w:ascii="Times New Roman" w:hAnsi="Times New Roman" w:eastAsia="仿宋_GB2312" w:cs="宋体"/>
          <w:kern w:val="0"/>
          <w:sz w:val="32"/>
          <w:szCs w:val="32"/>
          <w:lang w:val="en-US" w:eastAsia="zh-CN"/>
        </w:rPr>
        <w:t>按照财政批复的项目支出口径，</w:t>
      </w:r>
      <w:r>
        <w:rPr>
          <w:rFonts w:hint="eastAsia" w:ascii="Times New Roman" w:hAnsi="Times New Roman" w:eastAsia="仿宋_GB2312" w:cs="宋体"/>
          <w:kern w:val="0"/>
          <w:sz w:val="32"/>
          <w:szCs w:val="32"/>
          <w:lang w:val="en-US" w:eastAsia="zh-CN"/>
        </w:rPr>
        <w:t>及时归集整理项目过程性记录、成果性证明、财务凭证、满意度等产出和绩效资料，</w:t>
      </w:r>
      <w:r>
        <w:rPr>
          <w:rFonts w:hint="default" w:ascii="Times New Roman" w:hAnsi="Times New Roman" w:eastAsia="仿宋_GB2312" w:cs="宋体"/>
          <w:kern w:val="0"/>
          <w:sz w:val="32"/>
          <w:szCs w:val="32"/>
          <w:lang w:val="en-US" w:eastAsia="zh-CN"/>
        </w:rPr>
        <w:t>充分反映项目预算投入所对应的产出及效益，保证项目成本与绩效相匹配。一方面，为绩效评价、绩效自评工作提供数据支撑，量化效益指标完成情况；另一方面，为后续成本绩效分析工作开展奠定数据基础。</w:t>
      </w:r>
    </w:p>
    <w:p w14:paraId="6F056136">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0"/>
        <w:rPr>
          <w:rFonts w:hint="eastAsia" w:ascii="Times New Roman" w:hAnsi="Times New Roman" w:eastAsia="仿宋_GB2312" w:cs="仿宋_GB2312"/>
          <w:sz w:val="32"/>
          <w:szCs w:val="32"/>
        </w:rPr>
      </w:pPr>
      <w:bookmarkStart w:id="37" w:name="_Toc11076"/>
      <w:bookmarkStart w:id="38" w:name="_Toc165913344"/>
      <w:r>
        <w:rPr>
          <w:rFonts w:hint="eastAsia" w:ascii="Times New Roman" w:hAnsi="Times New Roman" w:eastAsia="黑体" w:cs="宋体"/>
          <w:color w:val="000000"/>
          <w:kern w:val="0"/>
          <w:sz w:val="32"/>
          <w:szCs w:val="32"/>
        </w:rPr>
        <w:t>七、附件</w:t>
      </w:r>
      <w:bookmarkEnd w:id="37"/>
      <w:bookmarkEnd w:id="38"/>
    </w:p>
    <w:p w14:paraId="3C6F526C">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202</w:t>
      </w:r>
      <w:r>
        <w:rPr>
          <w:rFonts w:hint="eastAsia" w:ascii="Times New Roman" w:hAnsi="Times New Roman" w:eastAsia="仿宋_GB2312" w:cs="仿宋_GB2312"/>
          <w:sz w:val="32"/>
          <w:szCs w:val="32"/>
          <w:lang w:val="en-US" w:eastAsia="zh-CN"/>
        </w:rPr>
        <w:t>4</w:t>
      </w:r>
      <w:r>
        <w:rPr>
          <w:rFonts w:hint="eastAsia" w:ascii="Times New Roman" w:hAnsi="Times New Roman" w:eastAsia="仿宋_GB2312" w:cs="仿宋_GB2312"/>
          <w:sz w:val="32"/>
          <w:szCs w:val="32"/>
        </w:rPr>
        <w:t>年部门整体绩效评价指标体系评分表</w:t>
      </w:r>
    </w:p>
    <w:p w14:paraId="42D5A8FC">
      <w:pPr>
        <w:rPr>
          <w:rFonts w:hint="eastAsia" w:ascii="Times New Roman" w:hAnsi="Times New Roman" w:eastAsia="仿宋_GB2312" w:cs="仿宋_GB2312"/>
          <w:sz w:val="32"/>
          <w:szCs w:val="32"/>
        </w:rPr>
        <w:sectPr>
          <w:footerReference r:id="rId10" w:type="default"/>
          <w:pgSz w:w="11906" w:h="16838"/>
          <w:pgMar w:top="1440" w:right="1800" w:bottom="1440" w:left="1800" w:header="851" w:footer="992" w:gutter="0"/>
          <w:pgNumType w:fmt="decimal" w:start="1"/>
          <w:cols w:space="425" w:num="1"/>
          <w:docGrid w:type="lines" w:linePitch="312" w:charSpace="0"/>
        </w:sectPr>
      </w:pPr>
      <w:r>
        <w:rPr>
          <w:rFonts w:hint="eastAsia" w:ascii="Times New Roman" w:hAnsi="Times New Roman" w:eastAsia="仿宋_GB2312" w:cs="仿宋_GB2312"/>
          <w:sz w:val="32"/>
          <w:szCs w:val="32"/>
        </w:rPr>
        <w:br w:type="page"/>
      </w:r>
    </w:p>
    <w:tbl>
      <w:tblPr>
        <w:tblStyle w:val="18"/>
        <w:tblW w:w="4867" w:type="pct"/>
        <w:tblInd w:w="201" w:type="dxa"/>
        <w:tblLayout w:type="fixed"/>
        <w:tblCellMar>
          <w:top w:w="0" w:type="dxa"/>
          <w:left w:w="108" w:type="dxa"/>
          <w:bottom w:w="0" w:type="dxa"/>
          <w:right w:w="108" w:type="dxa"/>
        </w:tblCellMar>
      </w:tblPr>
      <w:tblGrid>
        <w:gridCol w:w="1025"/>
        <w:gridCol w:w="1167"/>
        <w:gridCol w:w="1268"/>
        <w:gridCol w:w="2353"/>
        <w:gridCol w:w="3401"/>
        <w:gridCol w:w="538"/>
        <w:gridCol w:w="645"/>
      </w:tblGrid>
      <w:tr w14:paraId="7E19F63B">
        <w:tblPrEx>
          <w:tblCellMar>
            <w:top w:w="0" w:type="dxa"/>
            <w:left w:w="108" w:type="dxa"/>
            <w:bottom w:w="0" w:type="dxa"/>
            <w:right w:w="108" w:type="dxa"/>
          </w:tblCellMar>
        </w:tblPrEx>
        <w:trPr>
          <w:cantSplit/>
          <w:trHeight w:val="90" w:hRule="atLeast"/>
        </w:trPr>
        <w:tc>
          <w:tcPr>
            <w:tcW w:w="5000" w:type="pct"/>
            <w:gridSpan w:val="7"/>
            <w:tcBorders>
              <w:top w:val="nil"/>
              <w:left w:val="nil"/>
              <w:bottom w:val="single" w:color="auto" w:sz="4" w:space="0"/>
              <w:right w:val="nil"/>
            </w:tcBorders>
            <w:noWrap w:val="0"/>
            <w:vAlign w:val="center"/>
          </w:tcPr>
          <w:p w14:paraId="05F1D7FA">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Times New Roman" w:hAnsi="Times New Roman" w:eastAsia="宋体" w:cs="宋体"/>
                <w:color w:val="000000"/>
                <w:kern w:val="0"/>
                <w:sz w:val="20"/>
                <w:szCs w:val="20"/>
              </w:rPr>
            </w:pPr>
            <w:r>
              <w:rPr>
                <w:rFonts w:hint="eastAsia" w:ascii="Times New Roman" w:hAnsi="Times New Roman" w:eastAsia="方正小标宋简体" w:cs="宋体"/>
                <w:color w:val="000000"/>
                <w:kern w:val="0"/>
                <w:sz w:val="44"/>
                <w:szCs w:val="44"/>
                <w:highlight w:val="none"/>
              </w:rPr>
              <w:t>202</w:t>
            </w:r>
            <w:r>
              <w:rPr>
                <w:rFonts w:hint="eastAsia" w:ascii="Times New Roman" w:hAnsi="Times New Roman" w:eastAsia="方正小标宋简体" w:cs="宋体"/>
                <w:color w:val="000000"/>
                <w:kern w:val="0"/>
                <w:sz w:val="44"/>
                <w:szCs w:val="44"/>
                <w:highlight w:val="none"/>
                <w:lang w:val="en-US" w:eastAsia="zh-CN"/>
              </w:rPr>
              <w:t>4</w:t>
            </w:r>
            <w:r>
              <w:rPr>
                <w:rFonts w:hint="eastAsia" w:ascii="Times New Roman" w:hAnsi="Times New Roman" w:eastAsia="方正小标宋简体" w:cs="宋体"/>
                <w:color w:val="000000"/>
                <w:kern w:val="0"/>
                <w:sz w:val="44"/>
                <w:szCs w:val="44"/>
                <w:highlight w:val="none"/>
              </w:rPr>
              <w:t>年部门整体绩效评价指标体系评分表</w:t>
            </w:r>
          </w:p>
        </w:tc>
      </w:tr>
      <w:tr w14:paraId="591AA03E">
        <w:tblPrEx>
          <w:tblCellMar>
            <w:top w:w="0" w:type="dxa"/>
            <w:left w:w="108" w:type="dxa"/>
            <w:bottom w:w="0" w:type="dxa"/>
            <w:right w:w="108" w:type="dxa"/>
          </w:tblCellMar>
        </w:tblPrEx>
        <w:trPr>
          <w:cantSplit/>
          <w:trHeight w:val="574" w:hRule="atLeast"/>
        </w:trPr>
        <w:tc>
          <w:tcPr>
            <w:tcW w:w="5000" w:type="pct"/>
            <w:gridSpan w:val="7"/>
            <w:tcBorders>
              <w:top w:val="single" w:color="auto" w:sz="4" w:space="0"/>
              <w:left w:val="single" w:color="auto" w:sz="4" w:space="0"/>
              <w:bottom w:val="single" w:color="auto" w:sz="4" w:space="0"/>
              <w:right w:val="single" w:color="auto" w:sz="4" w:space="0"/>
            </w:tcBorders>
            <w:noWrap w:val="0"/>
            <w:vAlign w:val="center"/>
          </w:tcPr>
          <w:p w14:paraId="17666F60">
            <w:pPr>
              <w:widowControl/>
              <w:jc w:val="left"/>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一、当年预算执行情况（20分）</w:t>
            </w:r>
          </w:p>
        </w:tc>
      </w:tr>
      <w:tr w14:paraId="34AC5B0D">
        <w:tblPrEx>
          <w:tblCellMar>
            <w:top w:w="0" w:type="dxa"/>
            <w:left w:w="108" w:type="dxa"/>
            <w:bottom w:w="0" w:type="dxa"/>
            <w:right w:w="108" w:type="dxa"/>
          </w:tblCellMar>
        </w:tblPrEx>
        <w:trPr>
          <w:cantSplit/>
          <w:trHeight w:val="632" w:hRule="atLeast"/>
        </w:trPr>
        <w:tc>
          <w:tcPr>
            <w:tcW w:w="492" w:type="pct"/>
            <w:tcBorders>
              <w:top w:val="single" w:color="auto" w:sz="4" w:space="0"/>
              <w:left w:val="single" w:color="auto" w:sz="4" w:space="0"/>
              <w:bottom w:val="single" w:color="auto" w:sz="4" w:space="0"/>
              <w:right w:val="single" w:color="auto" w:sz="4" w:space="0"/>
            </w:tcBorders>
            <w:noWrap w:val="0"/>
            <w:vAlign w:val="center"/>
          </w:tcPr>
          <w:p w14:paraId="1E6B9CDE">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一级指标　</w:t>
            </w:r>
          </w:p>
        </w:tc>
        <w:tc>
          <w:tcPr>
            <w:tcW w:w="561" w:type="pct"/>
            <w:tcBorders>
              <w:top w:val="single" w:color="auto" w:sz="4" w:space="0"/>
              <w:left w:val="single" w:color="auto" w:sz="4" w:space="0"/>
              <w:bottom w:val="single" w:color="auto" w:sz="4" w:space="0"/>
              <w:right w:val="single" w:color="auto" w:sz="4" w:space="0"/>
            </w:tcBorders>
            <w:noWrap w:val="0"/>
            <w:vAlign w:val="center"/>
          </w:tcPr>
          <w:p w14:paraId="209C5CEA">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二级指标　</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166CAE35">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预算数（万元）</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1E9FA2C1">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执行数（万元）</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6FD5ED6E">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预算执行率</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5E606717">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分值</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46E779D1">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得分</w:t>
            </w:r>
          </w:p>
        </w:tc>
      </w:tr>
      <w:tr w14:paraId="0508AB25">
        <w:tblPrEx>
          <w:tblCellMar>
            <w:top w:w="0" w:type="dxa"/>
            <w:left w:w="108" w:type="dxa"/>
            <w:bottom w:w="0" w:type="dxa"/>
            <w:right w:w="108" w:type="dxa"/>
          </w:tblCellMar>
        </w:tblPrEx>
        <w:trPr>
          <w:cantSplit/>
          <w:trHeight w:val="604" w:hRule="atLeast"/>
        </w:trPr>
        <w:tc>
          <w:tcPr>
            <w:tcW w:w="492" w:type="pct"/>
            <w:vMerge w:val="restart"/>
            <w:tcBorders>
              <w:top w:val="single" w:color="auto" w:sz="4" w:space="0"/>
              <w:left w:val="single" w:color="auto" w:sz="4" w:space="0"/>
              <w:bottom w:val="single" w:color="auto" w:sz="4" w:space="0"/>
              <w:right w:val="single" w:color="auto" w:sz="4" w:space="0"/>
            </w:tcBorders>
            <w:noWrap w:val="0"/>
            <w:vAlign w:val="center"/>
          </w:tcPr>
          <w:p w14:paraId="7B7BBA82">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当年预算执行情况（20）</w:t>
            </w:r>
          </w:p>
        </w:tc>
        <w:tc>
          <w:tcPr>
            <w:tcW w:w="561" w:type="pct"/>
            <w:tcBorders>
              <w:top w:val="single" w:color="auto" w:sz="4" w:space="0"/>
              <w:left w:val="single" w:color="auto" w:sz="4" w:space="0"/>
              <w:bottom w:val="single" w:color="auto" w:sz="4" w:space="0"/>
              <w:right w:val="single" w:color="auto" w:sz="4" w:space="0"/>
            </w:tcBorders>
            <w:noWrap w:val="0"/>
            <w:vAlign w:val="center"/>
          </w:tcPr>
          <w:p w14:paraId="1133A64D">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资金总体</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0D41B027">
            <w:pPr>
              <w:keepNext w:val="0"/>
              <w:keepLines w:val="0"/>
              <w:widowControl/>
              <w:suppressLineNumbers w:val="0"/>
              <w:jc w:val="center"/>
              <w:textAlignment w:val="center"/>
              <w:rPr>
                <w:rFonts w:hint="eastAsia" w:ascii="Times New Roman" w:hAnsi="Times New Roman" w:eastAsia="宋体" w:cs="宋体"/>
                <w:color w:val="000000"/>
                <w:kern w:val="0"/>
                <w:sz w:val="20"/>
                <w:szCs w:val="20"/>
              </w:rPr>
            </w:pPr>
            <w:r>
              <w:rPr>
                <w:rFonts w:hint="eastAsia" w:ascii="Times New Roman" w:hAnsi="Times New Roman" w:eastAsia="宋体" w:cs="宋体"/>
                <w:i w:val="0"/>
                <w:iCs w:val="0"/>
                <w:color w:val="000000"/>
                <w:kern w:val="0"/>
                <w:sz w:val="20"/>
                <w:szCs w:val="20"/>
                <w:u w:val="none"/>
                <w:lang w:val="en-US" w:eastAsia="zh-CN" w:bidi="ar"/>
              </w:rPr>
              <w:t xml:space="preserve">11,624.88 </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308133CB">
            <w:pPr>
              <w:keepNext w:val="0"/>
              <w:keepLines w:val="0"/>
              <w:widowControl/>
              <w:suppressLineNumbers w:val="0"/>
              <w:jc w:val="center"/>
              <w:textAlignment w:val="center"/>
              <w:rPr>
                <w:rFonts w:hint="eastAsia" w:ascii="Times New Roman" w:hAnsi="Times New Roman" w:eastAsia="宋体" w:cs="宋体"/>
                <w:color w:val="000000"/>
                <w:kern w:val="0"/>
                <w:sz w:val="20"/>
                <w:szCs w:val="20"/>
              </w:rPr>
            </w:pPr>
            <w:r>
              <w:rPr>
                <w:rFonts w:hint="eastAsia" w:ascii="Times New Roman" w:hAnsi="Times New Roman" w:eastAsia="宋体" w:cs="宋体"/>
                <w:i w:val="0"/>
                <w:iCs w:val="0"/>
                <w:color w:val="000000"/>
                <w:kern w:val="0"/>
                <w:sz w:val="20"/>
                <w:szCs w:val="20"/>
                <w:u w:val="none"/>
                <w:lang w:val="en-US" w:eastAsia="zh-CN" w:bidi="ar"/>
              </w:rPr>
              <w:t xml:space="preserve">10,853.20 </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5C2C41E4">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93.36%</w:t>
            </w:r>
          </w:p>
        </w:tc>
        <w:tc>
          <w:tcPr>
            <w:tcW w:w="258" w:type="pct"/>
            <w:vMerge w:val="restart"/>
            <w:tcBorders>
              <w:top w:val="single" w:color="auto" w:sz="4" w:space="0"/>
              <w:left w:val="single" w:color="auto" w:sz="4" w:space="0"/>
              <w:bottom w:val="single" w:color="auto" w:sz="4" w:space="0"/>
              <w:right w:val="single" w:color="auto" w:sz="4" w:space="0"/>
            </w:tcBorders>
            <w:noWrap/>
            <w:vAlign w:val="center"/>
          </w:tcPr>
          <w:p w14:paraId="01D213FC">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rPr>
              <w:t>20</w:t>
            </w:r>
            <w:r>
              <w:rPr>
                <w:rFonts w:hint="eastAsia" w:ascii="Times New Roman" w:hAnsi="Times New Roman" w:eastAsia="宋体" w:cs="宋体"/>
                <w:color w:val="000000"/>
                <w:kern w:val="0"/>
                <w:sz w:val="20"/>
                <w:szCs w:val="20"/>
                <w:lang w:val="en-US" w:eastAsia="zh-CN"/>
              </w:rPr>
              <w:t>.00</w:t>
            </w:r>
          </w:p>
        </w:tc>
        <w:tc>
          <w:tcPr>
            <w:tcW w:w="310" w:type="pct"/>
            <w:vMerge w:val="restart"/>
            <w:tcBorders>
              <w:top w:val="single" w:color="auto" w:sz="4" w:space="0"/>
              <w:left w:val="single" w:color="auto" w:sz="4" w:space="0"/>
              <w:bottom w:val="single" w:color="auto" w:sz="4" w:space="0"/>
              <w:right w:val="single" w:color="auto" w:sz="4" w:space="0"/>
            </w:tcBorders>
            <w:noWrap/>
            <w:vAlign w:val="center"/>
          </w:tcPr>
          <w:p w14:paraId="5DBAB35F">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18.67</w:t>
            </w:r>
            <w:r>
              <w:rPr>
                <w:rFonts w:hint="eastAsia" w:ascii="Times New Roman" w:hAnsi="Times New Roman" w:eastAsia="宋体" w:cs="宋体"/>
                <w:color w:val="000000"/>
                <w:kern w:val="0"/>
                <w:sz w:val="20"/>
                <w:szCs w:val="20"/>
              </w:rPr>
              <w:t>　</w:t>
            </w:r>
          </w:p>
        </w:tc>
      </w:tr>
      <w:tr w14:paraId="64B15CA8">
        <w:tblPrEx>
          <w:tblCellMar>
            <w:top w:w="0" w:type="dxa"/>
            <w:left w:w="108" w:type="dxa"/>
            <w:bottom w:w="0" w:type="dxa"/>
            <w:right w:w="108" w:type="dxa"/>
          </w:tblCellMar>
        </w:tblPrEx>
        <w:trPr>
          <w:cantSplit/>
          <w:trHeight w:val="576" w:hRule="atLeast"/>
        </w:trPr>
        <w:tc>
          <w:tcPr>
            <w:tcW w:w="492" w:type="pct"/>
            <w:vMerge w:val="continue"/>
            <w:tcBorders>
              <w:top w:val="single" w:color="auto" w:sz="4" w:space="0"/>
              <w:left w:val="single" w:color="auto" w:sz="4" w:space="0"/>
              <w:bottom w:val="single" w:color="auto" w:sz="4" w:space="0"/>
              <w:right w:val="single" w:color="auto" w:sz="4" w:space="0"/>
            </w:tcBorders>
            <w:noWrap w:val="0"/>
            <w:vAlign w:val="center"/>
          </w:tcPr>
          <w:p w14:paraId="296DBD8E">
            <w:pPr>
              <w:widowControl/>
              <w:jc w:val="left"/>
              <w:rPr>
                <w:rFonts w:hint="eastAsia" w:ascii="Times New Roman" w:hAnsi="Times New Roman" w:eastAsia="宋体" w:cs="宋体"/>
                <w:color w:val="000000"/>
                <w:kern w:val="0"/>
                <w:sz w:val="20"/>
                <w:szCs w:val="20"/>
              </w:rPr>
            </w:pPr>
          </w:p>
        </w:tc>
        <w:tc>
          <w:tcPr>
            <w:tcW w:w="561" w:type="pct"/>
            <w:tcBorders>
              <w:top w:val="single" w:color="auto" w:sz="4" w:space="0"/>
              <w:left w:val="single" w:color="auto" w:sz="4" w:space="0"/>
              <w:bottom w:val="single" w:color="auto" w:sz="4" w:space="0"/>
              <w:right w:val="single" w:color="auto" w:sz="4" w:space="0"/>
            </w:tcBorders>
            <w:noWrap w:val="0"/>
            <w:vAlign w:val="center"/>
          </w:tcPr>
          <w:p w14:paraId="77DF043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基本支出</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40B7FE2F">
            <w:pPr>
              <w:keepNext w:val="0"/>
              <w:keepLines w:val="0"/>
              <w:widowControl/>
              <w:suppressLineNumbers w:val="0"/>
              <w:jc w:val="center"/>
              <w:textAlignment w:val="center"/>
              <w:rPr>
                <w:rFonts w:hint="eastAsia" w:ascii="Times New Roman" w:hAnsi="Times New Roman" w:eastAsia="宋体" w:cs="宋体"/>
                <w:color w:val="000000"/>
                <w:kern w:val="0"/>
                <w:sz w:val="20"/>
                <w:szCs w:val="20"/>
              </w:rPr>
            </w:pPr>
            <w:r>
              <w:rPr>
                <w:rFonts w:hint="eastAsia" w:ascii="Times New Roman" w:hAnsi="Times New Roman" w:eastAsia="宋体" w:cs="宋体"/>
                <w:i w:val="0"/>
                <w:iCs w:val="0"/>
                <w:color w:val="000000"/>
                <w:kern w:val="0"/>
                <w:sz w:val="20"/>
                <w:szCs w:val="20"/>
                <w:u w:val="none"/>
                <w:lang w:val="en-US" w:eastAsia="zh-CN" w:bidi="ar"/>
              </w:rPr>
              <w:t xml:space="preserve">8,237.01 </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4A84AC7E">
            <w:pPr>
              <w:keepNext w:val="0"/>
              <w:keepLines w:val="0"/>
              <w:widowControl/>
              <w:suppressLineNumbers w:val="0"/>
              <w:jc w:val="center"/>
              <w:textAlignment w:val="center"/>
              <w:rPr>
                <w:rFonts w:hint="eastAsia" w:ascii="Times New Roman" w:hAnsi="Times New Roman" w:eastAsia="宋体" w:cs="宋体"/>
                <w:color w:val="000000"/>
                <w:kern w:val="0"/>
                <w:sz w:val="20"/>
                <w:szCs w:val="20"/>
              </w:rPr>
            </w:pPr>
            <w:r>
              <w:rPr>
                <w:rFonts w:hint="eastAsia" w:ascii="Times New Roman" w:hAnsi="Times New Roman" w:eastAsia="宋体" w:cs="宋体"/>
                <w:i w:val="0"/>
                <w:iCs w:val="0"/>
                <w:color w:val="000000"/>
                <w:kern w:val="0"/>
                <w:sz w:val="20"/>
                <w:szCs w:val="20"/>
                <w:u w:val="none"/>
                <w:lang w:val="en-US" w:eastAsia="zh-CN" w:bidi="ar"/>
              </w:rPr>
              <w:t xml:space="preserve">7,700.01 </w:t>
            </w:r>
          </w:p>
        </w:tc>
        <w:tc>
          <w:tcPr>
            <w:tcW w:w="1635" w:type="pct"/>
            <w:vMerge w:val="restart"/>
            <w:tcBorders>
              <w:top w:val="single" w:color="auto" w:sz="4" w:space="0"/>
              <w:left w:val="single" w:color="auto" w:sz="4" w:space="0"/>
              <w:bottom w:val="single" w:color="auto" w:sz="4" w:space="0"/>
              <w:right w:val="single" w:color="auto" w:sz="4" w:space="0"/>
            </w:tcBorders>
            <w:noWrap w:val="0"/>
            <w:vAlign w:val="center"/>
          </w:tcPr>
          <w:p w14:paraId="4CA3CCBD">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w:t>
            </w:r>
          </w:p>
        </w:tc>
        <w:tc>
          <w:tcPr>
            <w:tcW w:w="258" w:type="pct"/>
            <w:vMerge w:val="continue"/>
            <w:tcBorders>
              <w:top w:val="single" w:color="auto" w:sz="4" w:space="0"/>
              <w:left w:val="single" w:color="auto" w:sz="4" w:space="0"/>
              <w:bottom w:val="single" w:color="auto" w:sz="4" w:space="0"/>
              <w:right w:val="single" w:color="auto" w:sz="4" w:space="0"/>
            </w:tcBorders>
            <w:noWrap w:val="0"/>
            <w:vAlign w:val="center"/>
          </w:tcPr>
          <w:p w14:paraId="46D7E8C5">
            <w:pPr>
              <w:widowControl/>
              <w:jc w:val="left"/>
              <w:rPr>
                <w:rFonts w:hint="eastAsia" w:ascii="Times New Roman" w:hAnsi="Times New Roman" w:eastAsia="宋体" w:cs="宋体"/>
                <w:color w:val="000000"/>
                <w:kern w:val="0"/>
                <w:sz w:val="20"/>
                <w:szCs w:val="20"/>
              </w:rPr>
            </w:pPr>
          </w:p>
        </w:tc>
        <w:tc>
          <w:tcPr>
            <w:tcW w:w="310" w:type="pct"/>
            <w:vMerge w:val="continue"/>
            <w:tcBorders>
              <w:top w:val="single" w:color="auto" w:sz="4" w:space="0"/>
              <w:left w:val="single" w:color="auto" w:sz="4" w:space="0"/>
              <w:bottom w:val="single" w:color="auto" w:sz="4" w:space="0"/>
              <w:right w:val="single" w:color="auto" w:sz="4" w:space="0"/>
            </w:tcBorders>
            <w:noWrap w:val="0"/>
            <w:vAlign w:val="center"/>
          </w:tcPr>
          <w:p w14:paraId="7DF0A9AB">
            <w:pPr>
              <w:widowControl/>
              <w:jc w:val="left"/>
              <w:rPr>
                <w:rFonts w:hint="eastAsia" w:ascii="Times New Roman" w:hAnsi="Times New Roman" w:eastAsia="宋体" w:cs="宋体"/>
                <w:color w:val="000000"/>
                <w:kern w:val="0"/>
                <w:sz w:val="20"/>
                <w:szCs w:val="20"/>
              </w:rPr>
            </w:pPr>
          </w:p>
        </w:tc>
      </w:tr>
      <w:tr w14:paraId="039457D7">
        <w:tblPrEx>
          <w:tblCellMar>
            <w:top w:w="0" w:type="dxa"/>
            <w:left w:w="108" w:type="dxa"/>
            <w:bottom w:w="0" w:type="dxa"/>
            <w:right w:w="108" w:type="dxa"/>
          </w:tblCellMar>
        </w:tblPrEx>
        <w:trPr>
          <w:cantSplit/>
          <w:trHeight w:val="590" w:hRule="atLeast"/>
        </w:trPr>
        <w:tc>
          <w:tcPr>
            <w:tcW w:w="492" w:type="pct"/>
            <w:vMerge w:val="continue"/>
            <w:tcBorders>
              <w:top w:val="single" w:color="auto" w:sz="4" w:space="0"/>
              <w:left w:val="single" w:color="auto" w:sz="4" w:space="0"/>
              <w:bottom w:val="single" w:color="auto" w:sz="4" w:space="0"/>
              <w:right w:val="single" w:color="auto" w:sz="4" w:space="0"/>
            </w:tcBorders>
            <w:noWrap w:val="0"/>
            <w:vAlign w:val="center"/>
          </w:tcPr>
          <w:p w14:paraId="0EA2A041">
            <w:pPr>
              <w:widowControl/>
              <w:jc w:val="left"/>
              <w:rPr>
                <w:rFonts w:hint="eastAsia" w:ascii="Times New Roman" w:hAnsi="Times New Roman" w:eastAsia="宋体" w:cs="宋体"/>
                <w:color w:val="000000"/>
                <w:kern w:val="0"/>
                <w:sz w:val="20"/>
                <w:szCs w:val="20"/>
              </w:rPr>
            </w:pPr>
          </w:p>
        </w:tc>
        <w:tc>
          <w:tcPr>
            <w:tcW w:w="561" w:type="pct"/>
            <w:tcBorders>
              <w:top w:val="single" w:color="auto" w:sz="4" w:space="0"/>
              <w:left w:val="single" w:color="auto" w:sz="4" w:space="0"/>
              <w:bottom w:val="single" w:color="auto" w:sz="4" w:space="0"/>
              <w:right w:val="single" w:color="auto" w:sz="4" w:space="0"/>
            </w:tcBorders>
            <w:noWrap w:val="0"/>
            <w:vAlign w:val="center"/>
          </w:tcPr>
          <w:p w14:paraId="67DA9C3A">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项目支出</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50FB7947">
            <w:pPr>
              <w:keepNext w:val="0"/>
              <w:keepLines w:val="0"/>
              <w:widowControl/>
              <w:suppressLineNumbers w:val="0"/>
              <w:jc w:val="center"/>
              <w:textAlignment w:val="center"/>
              <w:rPr>
                <w:rFonts w:hint="eastAsia" w:ascii="Times New Roman" w:hAnsi="Times New Roman" w:eastAsia="宋体" w:cs="宋体"/>
                <w:color w:val="000000"/>
                <w:kern w:val="0"/>
                <w:sz w:val="20"/>
                <w:szCs w:val="20"/>
              </w:rPr>
            </w:pPr>
            <w:r>
              <w:rPr>
                <w:rFonts w:hint="eastAsia" w:ascii="Times New Roman" w:hAnsi="Times New Roman" w:eastAsia="宋体" w:cs="宋体"/>
                <w:i w:val="0"/>
                <w:iCs w:val="0"/>
                <w:color w:val="000000"/>
                <w:kern w:val="0"/>
                <w:sz w:val="20"/>
                <w:szCs w:val="20"/>
                <w:u w:val="none"/>
                <w:lang w:val="en-US" w:eastAsia="zh-CN" w:bidi="ar"/>
              </w:rPr>
              <w:t xml:space="preserve">3,387.87 </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76B9C790">
            <w:pPr>
              <w:keepNext w:val="0"/>
              <w:keepLines w:val="0"/>
              <w:widowControl/>
              <w:suppressLineNumbers w:val="0"/>
              <w:jc w:val="center"/>
              <w:textAlignment w:val="center"/>
              <w:rPr>
                <w:rFonts w:hint="eastAsia" w:ascii="Times New Roman" w:hAnsi="Times New Roman" w:eastAsia="宋体" w:cs="宋体"/>
                <w:color w:val="000000"/>
                <w:kern w:val="0"/>
                <w:sz w:val="20"/>
                <w:szCs w:val="20"/>
              </w:rPr>
            </w:pPr>
            <w:r>
              <w:rPr>
                <w:rFonts w:hint="eastAsia" w:ascii="Times New Roman" w:hAnsi="Times New Roman" w:eastAsia="宋体" w:cs="宋体"/>
                <w:i w:val="0"/>
                <w:iCs w:val="0"/>
                <w:color w:val="000000"/>
                <w:kern w:val="0"/>
                <w:sz w:val="20"/>
                <w:szCs w:val="20"/>
                <w:u w:val="none"/>
                <w:lang w:val="en-US" w:eastAsia="zh-CN" w:bidi="ar"/>
              </w:rPr>
              <w:t xml:space="preserve">3,153.19 </w:t>
            </w:r>
          </w:p>
        </w:tc>
        <w:tc>
          <w:tcPr>
            <w:tcW w:w="1635" w:type="pct"/>
            <w:vMerge w:val="continue"/>
            <w:tcBorders>
              <w:top w:val="single" w:color="auto" w:sz="4" w:space="0"/>
              <w:left w:val="single" w:color="auto" w:sz="4" w:space="0"/>
              <w:bottom w:val="single" w:color="auto" w:sz="4" w:space="0"/>
              <w:right w:val="single" w:color="auto" w:sz="4" w:space="0"/>
            </w:tcBorders>
            <w:noWrap w:val="0"/>
            <w:vAlign w:val="center"/>
          </w:tcPr>
          <w:p w14:paraId="5FAABCE0">
            <w:pPr>
              <w:widowControl/>
              <w:jc w:val="left"/>
              <w:rPr>
                <w:rFonts w:hint="eastAsia" w:ascii="Times New Roman" w:hAnsi="Times New Roman" w:eastAsia="宋体" w:cs="宋体"/>
                <w:color w:val="000000"/>
                <w:kern w:val="0"/>
                <w:sz w:val="20"/>
                <w:szCs w:val="20"/>
              </w:rPr>
            </w:pPr>
          </w:p>
        </w:tc>
        <w:tc>
          <w:tcPr>
            <w:tcW w:w="258" w:type="pct"/>
            <w:vMerge w:val="continue"/>
            <w:tcBorders>
              <w:top w:val="single" w:color="auto" w:sz="4" w:space="0"/>
              <w:left w:val="single" w:color="auto" w:sz="4" w:space="0"/>
              <w:bottom w:val="single" w:color="auto" w:sz="4" w:space="0"/>
              <w:right w:val="single" w:color="auto" w:sz="4" w:space="0"/>
            </w:tcBorders>
            <w:noWrap w:val="0"/>
            <w:vAlign w:val="center"/>
          </w:tcPr>
          <w:p w14:paraId="377EBFE2">
            <w:pPr>
              <w:widowControl/>
              <w:jc w:val="left"/>
              <w:rPr>
                <w:rFonts w:hint="eastAsia" w:ascii="Times New Roman" w:hAnsi="Times New Roman" w:eastAsia="宋体" w:cs="宋体"/>
                <w:color w:val="000000"/>
                <w:kern w:val="0"/>
                <w:sz w:val="20"/>
                <w:szCs w:val="20"/>
              </w:rPr>
            </w:pPr>
          </w:p>
        </w:tc>
        <w:tc>
          <w:tcPr>
            <w:tcW w:w="310" w:type="pct"/>
            <w:vMerge w:val="continue"/>
            <w:tcBorders>
              <w:top w:val="single" w:color="auto" w:sz="4" w:space="0"/>
              <w:left w:val="single" w:color="auto" w:sz="4" w:space="0"/>
              <w:bottom w:val="single" w:color="auto" w:sz="4" w:space="0"/>
              <w:right w:val="single" w:color="auto" w:sz="4" w:space="0"/>
            </w:tcBorders>
            <w:noWrap w:val="0"/>
            <w:vAlign w:val="center"/>
          </w:tcPr>
          <w:p w14:paraId="09AD0C72">
            <w:pPr>
              <w:widowControl/>
              <w:jc w:val="left"/>
              <w:rPr>
                <w:rFonts w:hint="eastAsia" w:ascii="Times New Roman" w:hAnsi="Times New Roman" w:eastAsia="宋体" w:cs="宋体"/>
                <w:color w:val="000000"/>
                <w:kern w:val="0"/>
                <w:sz w:val="20"/>
                <w:szCs w:val="20"/>
              </w:rPr>
            </w:pPr>
          </w:p>
        </w:tc>
      </w:tr>
      <w:tr w14:paraId="79831533">
        <w:tblPrEx>
          <w:tblCellMar>
            <w:top w:w="0" w:type="dxa"/>
            <w:left w:w="108" w:type="dxa"/>
            <w:bottom w:w="0" w:type="dxa"/>
            <w:right w:w="108" w:type="dxa"/>
          </w:tblCellMar>
        </w:tblPrEx>
        <w:trPr>
          <w:cantSplit/>
          <w:trHeight w:val="558" w:hRule="atLeast"/>
        </w:trPr>
        <w:tc>
          <w:tcPr>
            <w:tcW w:w="492" w:type="pct"/>
            <w:vMerge w:val="continue"/>
            <w:tcBorders>
              <w:top w:val="single" w:color="auto" w:sz="4" w:space="0"/>
              <w:left w:val="single" w:color="auto" w:sz="4" w:space="0"/>
              <w:bottom w:val="single" w:color="auto" w:sz="4" w:space="0"/>
              <w:right w:val="single" w:color="auto" w:sz="4" w:space="0"/>
            </w:tcBorders>
            <w:noWrap w:val="0"/>
            <w:vAlign w:val="center"/>
          </w:tcPr>
          <w:p w14:paraId="3FBCE9AA">
            <w:pPr>
              <w:widowControl/>
              <w:jc w:val="left"/>
              <w:rPr>
                <w:rFonts w:hint="eastAsia" w:ascii="Times New Roman" w:hAnsi="Times New Roman" w:eastAsia="宋体" w:cs="宋体"/>
                <w:color w:val="000000"/>
                <w:kern w:val="0"/>
                <w:sz w:val="20"/>
                <w:szCs w:val="20"/>
              </w:rPr>
            </w:pPr>
          </w:p>
        </w:tc>
        <w:tc>
          <w:tcPr>
            <w:tcW w:w="561" w:type="pct"/>
            <w:tcBorders>
              <w:top w:val="single" w:color="auto" w:sz="4" w:space="0"/>
              <w:left w:val="single" w:color="auto" w:sz="4" w:space="0"/>
              <w:bottom w:val="single" w:color="auto" w:sz="4" w:space="0"/>
              <w:right w:val="single" w:color="auto" w:sz="4" w:space="0"/>
            </w:tcBorders>
            <w:noWrap w:val="0"/>
            <w:vAlign w:val="center"/>
          </w:tcPr>
          <w:p w14:paraId="3FA5DDA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其他</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7BB61B76">
            <w:pPr>
              <w:keepNext w:val="0"/>
              <w:keepLines w:val="0"/>
              <w:widowControl/>
              <w:suppressLineNumbers w:val="0"/>
              <w:jc w:val="center"/>
              <w:textAlignment w:val="center"/>
              <w:rPr>
                <w:rFonts w:hint="eastAsia" w:ascii="Times New Roman" w:hAnsi="Times New Roman" w:eastAsia="宋体" w:cs="宋体"/>
                <w:color w:val="000000"/>
                <w:kern w:val="0"/>
                <w:sz w:val="20"/>
                <w:szCs w:val="20"/>
              </w:rPr>
            </w:pPr>
            <w:r>
              <w:rPr>
                <w:rFonts w:hint="eastAsia" w:ascii="Times New Roman" w:hAnsi="Times New Roman" w:eastAsia="宋体" w:cs="宋体"/>
                <w:i w:val="0"/>
                <w:iCs w:val="0"/>
                <w:color w:val="000000"/>
                <w:kern w:val="0"/>
                <w:sz w:val="20"/>
                <w:szCs w:val="20"/>
                <w:u w:val="none"/>
                <w:lang w:val="en-US" w:eastAsia="zh-CN" w:bidi="ar"/>
              </w:rPr>
              <w:t xml:space="preserve">0.00 </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555F9441">
            <w:pPr>
              <w:keepNext w:val="0"/>
              <w:keepLines w:val="0"/>
              <w:widowControl/>
              <w:suppressLineNumbers w:val="0"/>
              <w:jc w:val="center"/>
              <w:textAlignment w:val="center"/>
              <w:rPr>
                <w:rFonts w:hint="eastAsia" w:ascii="Times New Roman" w:hAnsi="Times New Roman" w:eastAsia="宋体" w:cs="宋体"/>
                <w:color w:val="000000"/>
                <w:kern w:val="0"/>
                <w:sz w:val="20"/>
                <w:szCs w:val="20"/>
              </w:rPr>
            </w:pPr>
            <w:r>
              <w:rPr>
                <w:rFonts w:hint="eastAsia" w:ascii="Times New Roman" w:hAnsi="Times New Roman" w:eastAsia="宋体" w:cs="宋体"/>
                <w:i w:val="0"/>
                <w:iCs w:val="0"/>
                <w:color w:val="000000"/>
                <w:kern w:val="0"/>
                <w:sz w:val="20"/>
                <w:szCs w:val="20"/>
                <w:u w:val="none"/>
                <w:lang w:val="en-US" w:eastAsia="zh-CN" w:bidi="ar"/>
              </w:rPr>
              <w:t xml:space="preserve">0.00 </w:t>
            </w:r>
          </w:p>
        </w:tc>
        <w:tc>
          <w:tcPr>
            <w:tcW w:w="1635" w:type="pct"/>
            <w:vMerge w:val="continue"/>
            <w:tcBorders>
              <w:top w:val="single" w:color="auto" w:sz="4" w:space="0"/>
              <w:left w:val="single" w:color="auto" w:sz="4" w:space="0"/>
              <w:bottom w:val="single" w:color="auto" w:sz="4" w:space="0"/>
              <w:right w:val="single" w:color="auto" w:sz="4" w:space="0"/>
            </w:tcBorders>
            <w:noWrap w:val="0"/>
            <w:vAlign w:val="center"/>
          </w:tcPr>
          <w:p w14:paraId="74EB2CF4">
            <w:pPr>
              <w:widowControl/>
              <w:jc w:val="left"/>
              <w:rPr>
                <w:rFonts w:hint="eastAsia" w:ascii="Times New Roman" w:hAnsi="Times New Roman" w:eastAsia="宋体" w:cs="宋体"/>
                <w:color w:val="000000"/>
                <w:kern w:val="0"/>
                <w:sz w:val="20"/>
                <w:szCs w:val="20"/>
              </w:rPr>
            </w:pPr>
          </w:p>
        </w:tc>
        <w:tc>
          <w:tcPr>
            <w:tcW w:w="258" w:type="pct"/>
            <w:vMerge w:val="continue"/>
            <w:tcBorders>
              <w:top w:val="single" w:color="auto" w:sz="4" w:space="0"/>
              <w:left w:val="single" w:color="auto" w:sz="4" w:space="0"/>
              <w:bottom w:val="single" w:color="auto" w:sz="4" w:space="0"/>
              <w:right w:val="single" w:color="auto" w:sz="4" w:space="0"/>
            </w:tcBorders>
            <w:noWrap w:val="0"/>
            <w:vAlign w:val="center"/>
          </w:tcPr>
          <w:p w14:paraId="666B5AC7">
            <w:pPr>
              <w:widowControl/>
              <w:jc w:val="left"/>
              <w:rPr>
                <w:rFonts w:hint="eastAsia" w:ascii="Times New Roman" w:hAnsi="Times New Roman" w:eastAsia="宋体" w:cs="宋体"/>
                <w:color w:val="000000"/>
                <w:kern w:val="0"/>
                <w:sz w:val="20"/>
                <w:szCs w:val="20"/>
              </w:rPr>
            </w:pPr>
          </w:p>
        </w:tc>
        <w:tc>
          <w:tcPr>
            <w:tcW w:w="310" w:type="pct"/>
            <w:vMerge w:val="continue"/>
            <w:tcBorders>
              <w:top w:val="single" w:color="auto" w:sz="4" w:space="0"/>
              <w:left w:val="single" w:color="auto" w:sz="4" w:space="0"/>
              <w:bottom w:val="single" w:color="auto" w:sz="4" w:space="0"/>
              <w:right w:val="single" w:color="auto" w:sz="4" w:space="0"/>
            </w:tcBorders>
            <w:noWrap w:val="0"/>
            <w:vAlign w:val="center"/>
          </w:tcPr>
          <w:p w14:paraId="5C2E4413">
            <w:pPr>
              <w:widowControl/>
              <w:jc w:val="left"/>
              <w:rPr>
                <w:rFonts w:hint="eastAsia" w:ascii="Times New Roman" w:hAnsi="Times New Roman" w:eastAsia="宋体" w:cs="宋体"/>
                <w:color w:val="000000"/>
                <w:kern w:val="0"/>
                <w:sz w:val="20"/>
                <w:szCs w:val="20"/>
              </w:rPr>
            </w:pPr>
          </w:p>
        </w:tc>
      </w:tr>
      <w:tr w14:paraId="6C00739D">
        <w:tblPrEx>
          <w:tblCellMar>
            <w:top w:w="0" w:type="dxa"/>
            <w:left w:w="108" w:type="dxa"/>
            <w:bottom w:w="0" w:type="dxa"/>
            <w:right w:w="108" w:type="dxa"/>
          </w:tblCellMar>
        </w:tblPrEx>
        <w:trPr>
          <w:cantSplit/>
          <w:trHeight w:val="574" w:hRule="atLeast"/>
        </w:trPr>
        <w:tc>
          <w:tcPr>
            <w:tcW w:w="5000" w:type="pct"/>
            <w:gridSpan w:val="7"/>
            <w:tcBorders>
              <w:top w:val="single" w:color="auto" w:sz="4" w:space="0"/>
              <w:left w:val="single" w:color="auto" w:sz="4" w:space="0"/>
              <w:bottom w:val="single" w:color="auto" w:sz="4" w:space="0"/>
              <w:right w:val="single" w:color="auto" w:sz="4" w:space="0"/>
            </w:tcBorders>
            <w:noWrap w:val="0"/>
            <w:vAlign w:val="center"/>
          </w:tcPr>
          <w:p w14:paraId="747B3E9D">
            <w:pPr>
              <w:widowControl/>
              <w:jc w:val="left"/>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二、整体绩效目标实现情况（60分）</w:t>
            </w:r>
          </w:p>
        </w:tc>
      </w:tr>
      <w:tr w14:paraId="711BA46D">
        <w:tblPrEx>
          <w:tblCellMar>
            <w:top w:w="0" w:type="dxa"/>
            <w:left w:w="108" w:type="dxa"/>
            <w:bottom w:w="0" w:type="dxa"/>
            <w:right w:w="108" w:type="dxa"/>
          </w:tblCellMar>
        </w:tblPrEx>
        <w:trPr>
          <w:cantSplit/>
          <w:trHeight w:val="345" w:hRule="atLeast"/>
        </w:trPr>
        <w:tc>
          <w:tcPr>
            <w:tcW w:w="492" w:type="pct"/>
            <w:tcBorders>
              <w:top w:val="single" w:color="auto" w:sz="4" w:space="0"/>
              <w:left w:val="single" w:color="auto" w:sz="4" w:space="0"/>
              <w:bottom w:val="single" w:color="auto" w:sz="4" w:space="0"/>
              <w:right w:val="single" w:color="auto" w:sz="4" w:space="0"/>
            </w:tcBorders>
            <w:noWrap w:val="0"/>
            <w:vAlign w:val="center"/>
          </w:tcPr>
          <w:p w14:paraId="0B52504E">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一级指标</w:t>
            </w:r>
          </w:p>
        </w:tc>
        <w:tc>
          <w:tcPr>
            <w:tcW w:w="561" w:type="pct"/>
            <w:tcBorders>
              <w:top w:val="single" w:color="auto" w:sz="4" w:space="0"/>
              <w:left w:val="single" w:color="auto" w:sz="4" w:space="0"/>
              <w:bottom w:val="single" w:color="auto" w:sz="4" w:space="0"/>
              <w:right w:val="single" w:color="auto" w:sz="4" w:space="0"/>
            </w:tcBorders>
            <w:noWrap w:val="0"/>
            <w:vAlign w:val="center"/>
          </w:tcPr>
          <w:p w14:paraId="21E9AD22">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二级指标　</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62F26766">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三级指标　</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45326086">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指标值</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46CE9435">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完成值</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67B003C2">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分值</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5D65F26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得分</w:t>
            </w:r>
          </w:p>
        </w:tc>
      </w:tr>
      <w:tr w14:paraId="0532F9EE">
        <w:tblPrEx>
          <w:tblCellMar>
            <w:top w:w="0" w:type="dxa"/>
            <w:left w:w="108" w:type="dxa"/>
            <w:bottom w:w="0" w:type="dxa"/>
            <w:right w:w="108" w:type="dxa"/>
          </w:tblCellMar>
        </w:tblPrEx>
        <w:trPr>
          <w:cantSplit/>
          <w:trHeight w:val="2425" w:hRule="atLeast"/>
        </w:trPr>
        <w:tc>
          <w:tcPr>
            <w:tcW w:w="492" w:type="pct"/>
            <w:vMerge w:val="restart"/>
            <w:tcBorders>
              <w:top w:val="single" w:color="auto" w:sz="4" w:space="0"/>
              <w:left w:val="single" w:color="auto" w:sz="4" w:space="0"/>
              <w:right w:val="single" w:color="auto" w:sz="4" w:space="0"/>
            </w:tcBorders>
            <w:noWrap w:val="0"/>
            <w:vAlign w:val="center"/>
          </w:tcPr>
          <w:p w14:paraId="2A7334A2">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整体绩效目标实现情况（60）</w:t>
            </w:r>
          </w:p>
        </w:tc>
        <w:tc>
          <w:tcPr>
            <w:tcW w:w="561" w:type="pct"/>
            <w:vMerge w:val="restart"/>
            <w:tcBorders>
              <w:top w:val="single" w:color="auto" w:sz="4" w:space="0"/>
              <w:left w:val="single" w:color="auto" w:sz="4" w:space="0"/>
              <w:right w:val="single" w:color="auto" w:sz="4" w:space="0"/>
            </w:tcBorders>
            <w:noWrap w:val="0"/>
            <w:vAlign w:val="center"/>
          </w:tcPr>
          <w:p w14:paraId="710E0E76">
            <w:pPr>
              <w:widowControl/>
              <w:jc w:val="center"/>
              <w:rPr>
                <w:rFonts w:hint="eastAsia" w:ascii="Times New Roman" w:hAnsi="Times New Roman" w:eastAsia="宋体" w:cs="宋体"/>
                <w:color w:val="000000"/>
                <w:kern w:val="0"/>
                <w:sz w:val="20"/>
                <w:szCs w:val="20"/>
              </w:rPr>
            </w:pPr>
          </w:p>
          <w:p w14:paraId="1C92A249">
            <w:pPr>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产出（30）</w:t>
            </w:r>
          </w:p>
        </w:tc>
        <w:tc>
          <w:tcPr>
            <w:tcW w:w="609" w:type="pct"/>
            <w:vMerge w:val="restart"/>
            <w:tcBorders>
              <w:top w:val="single" w:color="auto" w:sz="4" w:space="0"/>
              <w:left w:val="single" w:color="auto" w:sz="4" w:space="0"/>
              <w:right w:val="single" w:color="auto" w:sz="4" w:space="0"/>
            </w:tcBorders>
            <w:noWrap w:val="0"/>
            <w:vAlign w:val="center"/>
          </w:tcPr>
          <w:p w14:paraId="34770D0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文化综合执法检查</w:t>
            </w:r>
            <w:r>
              <w:rPr>
                <w:rFonts w:hint="eastAsia" w:ascii="Times New Roman" w:hAnsi="Times New Roman" w:eastAsia="宋体" w:cs="宋体"/>
                <w:color w:val="000000"/>
                <w:kern w:val="0"/>
                <w:sz w:val="20"/>
                <w:szCs w:val="20"/>
                <w:lang w:val="en-US" w:eastAsia="zh-CN"/>
              </w:rPr>
              <w:t>工作</w:t>
            </w:r>
            <w:r>
              <w:rPr>
                <w:rFonts w:hint="eastAsia" w:ascii="Times New Roman" w:hAnsi="Times New Roman" w:cs="宋体"/>
                <w:color w:val="000000"/>
                <w:kern w:val="0"/>
                <w:sz w:val="20"/>
                <w:szCs w:val="20"/>
                <w:lang w:val="en-US" w:eastAsia="zh-CN"/>
              </w:rPr>
              <w:t>（12分）</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5F923CDB">
            <w:pPr>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rPr>
              <w:t>　集中行使法律、法规、规章规定的文化、文物、新闻出版、版权、广播电视、电影、旅游市场以及宗教等领域相关的</w:t>
            </w:r>
            <w:r>
              <w:rPr>
                <w:rFonts w:hint="eastAsia" w:ascii="Times New Roman" w:hAnsi="Times New Roman" w:eastAsia="宋体" w:cs="宋体"/>
                <w:color w:val="000000"/>
                <w:kern w:val="0"/>
                <w:sz w:val="20"/>
                <w:szCs w:val="20"/>
                <w:lang w:val="en-US" w:eastAsia="zh-CN"/>
              </w:rPr>
              <w:t>行政检查工作</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3AA87F2B">
            <w:pPr>
              <w:jc w:val="both"/>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全年共计开展执法检查11.1万余件次</w:t>
            </w:r>
            <w:r>
              <w:rPr>
                <w:rFonts w:hint="eastAsia" w:ascii="Times New Roman" w:hAnsi="Times New Roman" w:eastAsia="宋体" w:cs="宋体"/>
                <w:color w:val="auto"/>
                <w:kern w:val="0"/>
                <w:sz w:val="20"/>
                <w:szCs w:val="20"/>
                <w:highlight w:val="none"/>
              </w:rPr>
              <w:t>，立案2566起，结案2926起，罚没款1297万余元</w:t>
            </w:r>
            <w:r>
              <w:rPr>
                <w:rFonts w:hint="eastAsia" w:ascii="Times New Roman" w:hAnsi="Times New Roman" w:eastAsia="宋体" w:cs="宋体"/>
                <w:color w:val="auto"/>
                <w:kern w:val="0"/>
                <w:sz w:val="20"/>
                <w:szCs w:val="20"/>
                <w:highlight w:val="none"/>
                <w:lang w:eastAsia="zh-CN"/>
              </w:rPr>
              <w:t>，</w:t>
            </w:r>
            <w:r>
              <w:rPr>
                <w:rFonts w:hint="eastAsia" w:ascii="Times New Roman" w:hAnsi="Times New Roman" w:eastAsia="宋体" w:cs="宋体"/>
                <w:color w:val="auto"/>
                <w:kern w:val="0"/>
                <w:sz w:val="20"/>
                <w:szCs w:val="20"/>
                <w:highlight w:val="none"/>
                <w:lang w:val="en-US" w:eastAsia="zh-CN"/>
              </w:rPr>
              <w:t>完成日常巡查37412</w:t>
            </w:r>
            <w:r>
              <w:rPr>
                <w:rFonts w:hint="eastAsia" w:ascii="Times New Roman" w:hAnsi="Times New Roman" w:eastAsia="宋体" w:cs="宋体"/>
                <w:color w:val="auto"/>
                <w:kern w:val="0"/>
                <w:sz w:val="20"/>
                <w:szCs w:val="20"/>
                <w:highlight w:val="none"/>
              </w:rPr>
              <w:t>次。发现并处理了各类违法违规行为，违法行为纳入检查率达100%，行政执法A岗人员参与执法率</w:t>
            </w:r>
            <w:r>
              <w:rPr>
                <w:rFonts w:hint="eastAsia" w:ascii="Times New Roman" w:hAnsi="Times New Roman" w:eastAsia="宋体" w:cs="宋体"/>
                <w:color w:val="auto"/>
                <w:kern w:val="0"/>
                <w:sz w:val="20"/>
                <w:szCs w:val="20"/>
                <w:highlight w:val="none"/>
                <w:lang w:val="en-US" w:eastAsia="zh-CN"/>
              </w:rPr>
              <w:t>1</w:t>
            </w:r>
            <w:r>
              <w:rPr>
                <w:rFonts w:hint="eastAsia" w:ascii="Times New Roman" w:hAnsi="Times New Roman" w:eastAsia="宋体" w:cs="宋体"/>
                <w:color w:val="000000"/>
                <w:kern w:val="0"/>
                <w:sz w:val="20"/>
                <w:szCs w:val="20"/>
                <w:lang w:val="en-US" w:eastAsia="zh-CN"/>
              </w:rPr>
              <w:t>00%，行政诉讼、复议率有效控制在3%以下，移动执法终端检查单和案件推送率达到了100%，案件回复率100%，总队全年非现场检查率达78.97%。</w:t>
            </w:r>
            <w:r>
              <w:rPr>
                <w:rFonts w:hint="eastAsia" w:ascii="Times New Roman" w:hAnsi="Times New Roman" w:eastAsia="宋体" w:cs="宋体"/>
                <w:color w:val="000000"/>
                <w:kern w:val="0"/>
                <w:sz w:val="20"/>
                <w:szCs w:val="20"/>
              </w:rPr>
              <w:t>　</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004DE248">
            <w:pPr>
              <w:widowControl/>
              <w:jc w:val="center"/>
              <w:rPr>
                <w:rFonts w:hint="eastAsia" w:ascii="Times New Roman" w:hAnsi="Times New Roman" w:eastAsia="宋体" w:cs="宋体"/>
                <w:color w:val="000000"/>
                <w:kern w:val="0"/>
                <w:sz w:val="20"/>
                <w:szCs w:val="20"/>
              </w:rPr>
            </w:pPr>
          </w:p>
          <w:p w14:paraId="60A6FA14">
            <w:pPr>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3</w:t>
            </w:r>
            <w:r>
              <w:rPr>
                <w:rFonts w:hint="eastAsia" w:ascii="Times New Roman" w:hAnsi="Times New Roman" w:cs="宋体"/>
                <w:color w:val="000000"/>
                <w:kern w:val="0"/>
                <w:sz w:val="20"/>
                <w:szCs w:val="20"/>
                <w:lang w:val="en-US" w:eastAsia="zh-CN"/>
              </w:rPr>
              <w:t>.00</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0E0DE391">
            <w:pPr>
              <w:widowControl/>
              <w:jc w:val="center"/>
              <w:rPr>
                <w:rFonts w:hint="eastAsia" w:ascii="Times New Roman" w:hAnsi="Times New Roman" w:eastAsia="宋体" w:cs="宋体"/>
                <w:color w:val="000000"/>
                <w:kern w:val="0"/>
                <w:sz w:val="20"/>
                <w:szCs w:val="20"/>
              </w:rPr>
            </w:pPr>
          </w:p>
          <w:p w14:paraId="04102844">
            <w:pPr>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3.00</w:t>
            </w:r>
          </w:p>
        </w:tc>
      </w:tr>
      <w:tr w14:paraId="3B943837">
        <w:tblPrEx>
          <w:tblCellMar>
            <w:top w:w="0" w:type="dxa"/>
            <w:left w:w="108" w:type="dxa"/>
            <w:bottom w:w="0" w:type="dxa"/>
            <w:right w:w="108" w:type="dxa"/>
          </w:tblCellMar>
        </w:tblPrEx>
        <w:trPr>
          <w:cantSplit/>
          <w:trHeight w:val="1304" w:hRule="atLeast"/>
        </w:trPr>
        <w:tc>
          <w:tcPr>
            <w:tcW w:w="492" w:type="pct"/>
            <w:vMerge w:val="continue"/>
            <w:tcBorders>
              <w:left w:val="single" w:color="auto" w:sz="4" w:space="0"/>
              <w:bottom w:val="single" w:color="auto" w:sz="4" w:space="0"/>
              <w:right w:val="single" w:color="auto" w:sz="4" w:space="0"/>
            </w:tcBorders>
            <w:noWrap w:val="0"/>
            <w:vAlign w:val="center"/>
          </w:tcPr>
          <w:p w14:paraId="24C8EBDA">
            <w:pPr>
              <w:widowControl/>
              <w:jc w:val="center"/>
              <w:rPr>
                <w:rFonts w:hint="eastAsia" w:ascii="Times New Roman" w:hAnsi="Times New Roman" w:eastAsia="宋体" w:cs="宋体"/>
                <w:color w:val="000000"/>
                <w:kern w:val="0"/>
                <w:sz w:val="20"/>
                <w:szCs w:val="20"/>
              </w:rPr>
            </w:pPr>
          </w:p>
        </w:tc>
        <w:tc>
          <w:tcPr>
            <w:tcW w:w="561" w:type="pct"/>
            <w:vMerge w:val="continue"/>
            <w:tcBorders>
              <w:left w:val="single" w:color="auto" w:sz="4" w:space="0"/>
              <w:bottom w:val="single" w:color="auto" w:sz="4" w:space="0"/>
              <w:right w:val="single" w:color="auto" w:sz="4" w:space="0"/>
            </w:tcBorders>
            <w:noWrap w:val="0"/>
            <w:vAlign w:val="center"/>
          </w:tcPr>
          <w:p w14:paraId="2A2A3E69">
            <w:pPr>
              <w:jc w:val="center"/>
              <w:rPr>
                <w:rFonts w:hint="eastAsia" w:ascii="Times New Roman" w:hAnsi="Times New Roman" w:eastAsia="宋体" w:cs="宋体"/>
                <w:color w:val="000000"/>
                <w:kern w:val="0"/>
                <w:sz w:val="20"/>
                <w:szCs w:val="20"/>
              </w:rPr>
            </w:pPr>
          </w:p>
        </w:tc>
        <w:tc>
          <w:tcPr>
            <w:tcW w:w="609" w:type="pct"/>
            <w:vMerge w:val="continue"/>
            <w:tcBorders>
              <w:left w:val="single" w:color="auto" w:sz="4" w:space="0"/>
              <w:bottom w:val="single" w:color="auto" w:sz="4" w:space="0"/>
              <w:right w:val="single" w:color="auto" w:sz="4" w:space="0"/>
            </w:tcBorders>
            <w:noWrap w:val="0"/>
            <w:vAlign w:val="center"/>
          </w:tcPr>
          <w:p w14:paraId="5211D976">
            <w:pPr>
              <w:widowControl/>
              <w:jc w:val="center"/>
              <w:rPr>
                <w:rFonts w:hint="eastAsia" w:ascii="Times New Roman" w:hAnsi="Times New Roman" w:eastAsia="宋体" w:cs="宋体"/>
                <w:color w:val="000000"/>
                <w:kern w:val="0"/>
                <w:sz w:val="20"/>
                <w:szCs w:val="20"/>
              </w:rPr>
            </w:pPr>
          </w:p>
        </w:tc>
        <w:tc>
          <w:tcPr>
            <w:tcW w:w="1131" w:type="pct"/>
            <w:tcBorders>
              <w:top w:val="single" w:color="auto" w:sz="4" w:space="0"/>
              <w:left w:val="single" w:color="auto" w:sz="4" w:space="0"/>
              <w:bottom w:val="single" w:color="auto" w:sz="4" w:space="0"/>
              <w:right w:val="single" w:color="auto" w:sz="4" w:space="0"/>
            </w:tcBorders>
            <w:noWrap w:val="0"/>
            <w:vAlign w:val="center"/>
          </w:tcPr>
          <w:p w14:paraId="384269F0">
            <w:pPr>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组织相关领域重大疑难复杂案件查处</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11079083">
            <w:pPr>
              <w:jc w:val="both"/>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重大要案应急处置及时率100%。</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4EC8E350">
            <w:pPr>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3</w:t>
            </w:r>
            <w:r>
              <w:rPr>
                <w:rFonts w:hint="eastAsia" w:ascii="Times New Roman" w:hAnsi="Times New Roman" w:cs="宋体"/>
                <w:color w:val="000000"/>
                <w:kern w:val="0"/>
                <w:sz w:val="20"/>
                <w:szCs w:val="20"/>
                <w:lang w:val="en-US" w:eastAsia="zh-CN"/>
              </w:rPr>
              <w:t>.00</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6BCD025A">
            <w:pPr>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3.00</w:t>
            </w:r>
          </w:p>
        </w:tc>
      </w:tr>
      <w:tr w14:paraId="7264AB8D">
        <w:tblPrEx>
          <w:tblCellMar>
            <w:top w:w="0" w:type="dxa"/>
            <w:left w:w="108" w:type="dxa"/>
            <w:bottom w:w="0" w:type="dxa"/>
            <w:right w:w="108" w:type="dxa"/>
          </w:tblCellMar>
        </w:tblPrEx>
        <w:trPr>
          <w:cantSplit/>
          <w:trHeight w:val="1591" w:hRule="atLeast"/>
        </w:trPr>
        <w:tc>
          <w:tcPr>
            <w:tcW w:w="492" w:type="pct"/>
            <w:vMerge w:val="restart"/>
            <w:tcBorders>
              <w:top w:val="single" w:color="auto" w:sz="4" w:space="0"/>
              <w:left w:val="single" w:color="auto" w:sz="4" w:space="0"/>
              <w:right w:val="single" w:color="auto" w:sz="4" w:space="0"/>
            </w:tcBorders>
            <w:noWrap w:val="0"/>
            <w:vAlign w:val="center"/>
          </w:tcPr>
          <w:p w14:paraId="59EC0E7A">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续上页</w:t>
            </w:r>
          </w:p>
        </w:tc>
        <w:tc>
          <w:tcPr>
            <w:tcW w:w="561" w:type="pct"/>
            <w:vMerge w:val="restart"/>
            <w:tcBorders>
              <w:top w:val="single" w:color="auto" w:sz="4" w:space="0"/>
              <w:left w:val="single" w:color="auto" w:sz="4" w:space="0"/>
              <w:right w:val="single" w:color="auto" w:sz="4" w:space="0"/>
            </w:tcBorders>
            <w:noWrap w:val="0"/>
            <w:vAlign w:val="center"/>
          </w:tcPr>
          <w:p w14:paraId="0BEA3DA2">
            <w:pPr>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续上页</w:t>
            </w:r>
          </w:p>
        </w:tc>
        <w:tc>
          <w:tcPr>
            <w:tcW w:w="609" w:type="pct"/>
            <w:vMerge w:val="restart"/>
            <w:tcBorders>
              <w:top w:val="single" w:color="auto" w:sz="4" w:space="0"/>
              <w:left w:val="single" w:color="auto" w:sz="4" w:space="0"/>
              <w:right w:val="single" w:color="auto" w:sz="4" w:space="0"/>
            </w:tcBorders>
            <w:noWrap w:val="0"/>
            <w:vAlign w:val="center"/>
          </w:tcPr>
          <w:p w14:paraId="43AE289D">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续上页</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0852A999">
            <w:pPr>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对罚没物品及时收缴、规范管理、定期销毁</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6B094416">
            <w:pPr>
              <w:jc w:val="both"/>
              <w:rPr>
                <w:rFonts w:hint="eastAsia" w:ascii="Times New Roman" w:hAnsi="Times New Roman" w:eastAsia="宋体" w:cs="宋体"/>
                <w:color w:val="000000"/>
                <w:kern w:val="0"/>
                <w:sz w:val="20"/>
                <w:szCs w:val="20"/>
                <w:highlight w:val="none"/>
              </w:rPr>
            </w:pPr>
            <w:r>
              <w:rPr>
                <w:rFonts w:hint="eastAsia" w:ascii="Times New Roman" w:hAnsi="Times New Roman" w:eastAsia="宋体" w:cs="宋体"/>
                <w:color w:val="000000"/>
                <w:kern w:val="0"/>
                <w:sz w:val="20"/>
                <w:szCs w:val="20"/>
                <w:highlight w:val="none"/>
                <w:lang w:val="en-US" w:eastAsia="zh-CN"/>
              </w:rPr>
              <w:t>确保查办收缴罚没物品及时入库</w:t>
            </w:r>
            <w:r>
              <w:rPr>
                <w:rFonts w:hint="eastAsia" w:ascii="Times New Roman" w:hAnsi="Times New Roman" w:cs="宋体"/>
                <w:color w:val="000000"/>
                <w:kern w:val="0"/>
                <w:sz w:val="20"/>
                <w:szCs w:val="20"/>
                <w:highlight w:val="none"/>
                <w:lang w:val="en-US" w:eastAsia="zh-CN"/>
              </w:rPr>
              <w:t>；</w:t>
            </w:r>
            <w:r>
              <w:rPr>
                <w:rFonts w:hint="eastAsia" w:ascii="Times New Roman" w:hAnsi="Times New Roman" w:eastAsia="宋体" w:cs="宋体"/>
                <w:color w:val="000000"/>
                <w:kern w:val="0"/>
                <w:sz w:val="20"/>
                <w:szCs w:val="20"/>
                <w:highlight w:val="none"/>
                <w:lang w:val="en-US" w:eastAsia="zh-CN"/>
              </w:rPr>
              <w:t>租用平面库房2134㎡，妥善存储</w:t>
            </w:r>
            <w:r>
              <w:rPr>
                <w:rFonts w:hint="eastAsia" w:ascii="Times New Roman" w:hAnsi="Times New Roman" w:cs="宋体"/>
                <w:color w:val="000000"/>
                <w:kern w:val="0"/>
                <w:sz w:val="20"/>
                <w:szCs w:val="20"/>
                <w:highlight w:val="none"/>
                <w:lang w:val="en-US" w:eastAsia="zh-CN"/>
              </w:rPr>
              <w:t>收缴</w:t>
            </w:r>
            <w:r>
              <w:rPr>
                <w:rFonts w:hint="eastAsia" w:ascii="Times New Roman" w:hAnsi="Times New Roman" w:eastAsia="宋体" w:cs="宋体"/>
                <w:color w:val="000000"/>
                <w:kern w:val="0"/>
                <w:sz w:val="20"/>
                <w:szCs w:val="20"/>
                <w:highlight w:val="none"/>
                <w:lang w:val="en-US" w:eastAsia="zh-CN"/>
              </w:rPr>
              <w:t>罚没物品</w:t>
            </w:r>
            <w:r>
              <w:rPr>
                <w:rFonts w:hint="eastAsia" w:ascii="Times New Roman" w:hAnsi="Times New Roman" w:cs="宋体"/>
                <w:color w:val="000000"/>
                <w:kern w:val="0"/>
                <w:sz w:val="20"/>
                <w:szCs w:val="20"/>
                <w:highlight w:val="none"/>
                <w:lang w:val="en-US" w:eastAsia="zh-CN"/>
              </w:rPr>
              <w:t>。</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0A4FF1DF">
            <w:pPr>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1AA3EE8C">
            <w:pPr>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r>
      <w:tr w14:paraId="7D50B303">
        <w:tblPrEx>
          <w:tblCellMar>
            <w:top w:w="0" w:type="dxa"/>
            <w:left w:w="108" w:type="dxa"/>
            <w:bottom w:w="0" w:type="dxa"/>
            <w:right w:w="108" w:type="dxa"/>
          </w:tblCellMar>
        </w:tblPrEx>
        <w:trPr>
          <w:cantSplit/>
          <w:trHeight w:val="1956" w:hRule="atLeast"/>
        </w:trPr>
        <w:tc>
          <w:tcPr>
            <w:tcW w:w="492" w:type="pct"/>
            <w:vMerge w:val="continue"/>
            <w:tcBorders>
              <w:left w:val="single" w:color="auto" w:sz="4" w:space="0"/>
              <w:right w:val="single" w:color="auto" w:sz="4" w:space="0"/>
            </w:tcBorders>
            <w:noWrap w:val="0"/>
            <w:vAlign w:val="center"/>
          </w:tcPr>
          <w:p w14:paraId="36D9284A">
            <w:pPr>
              <w:widowControl/>
              <w:jc w:val="center"/>
              <w:rPr>
                <w:rFonts w:hint="eastAsia" w:ascii="Times New Roman" w:hAnsi="Times New Roman" w:eastAsia="宋体" w:cs="宋体"/>
                <w:color w:val="000000"/>
                <w:kern w:val="0"/>
                <w:sz w:val="20"/>
                <w:szCs w:val="20"/>
              </w:rPr>
            </w:pPr>
          </w:p>
        </w:tc>
        <w:tc>
          <w:tcPr>
            <w:tcW w:w="561" w:type="pct"/>
            <w:vMerge w:val="continue"/>
            <w:tcBorders>
              <w:left w:val="single" w:color="auto" w:sz="4" w:space="0"/>
              <w:right w:val="single" w:color="auto" w:sz="4" w:space="0"/>
            </w:tcBorders>
            <w:noWrap w:val="0"/>
            <w:vAlign w:val="center"/>
          </w:tcPr>
          <w:p w14:paraId="4C2A1290">
            <w:pPr>
              <w:jc w:val="center"/>
              <w:rPr>
                <w:rFonts w:hint="eastAsia" w:ascii="Times New Roman" w:hAnsi="Times New Roman" w:eastAsia="宋体" w:cs="宋体"/>
                <w:color w:val="000000"/>
                <w:kern w:val="0"/>
                <w:sz w:val="20"/>
                <w:szCs w:val="20"/>
              </w:rPr>
            </w:pPr>
          </w:p>
        </w:tc>
        <w:tc>
          <w:tcPr>
            <w:tcW w:w="609" w:type="pct"/>
            <w:vMerge w:val="continue"/>
            <w:tcBorders>
              <w:left w:val="single" w:color="auto" w:sz="4" w:space="0"/>
              <w:right w:val="single" w:color="auto" w:sz="4" w:space="0"/>
            </w:tcBorders>
            <w:noWrap w:val="0"/>
            <w:vAlign w:val="center"/>
          </w:tcPr>
          <w:p w14:paraId="76C5714A">
            <w:pPr>
              <w:widowControl/>
              <w:jc w:val="center"/>
              <w:rPr>
                <w:rFonts w:hint="eastAsia" w:ascii="Times New Roman" w:hAnsi="Times New Roman" w:eastAsia="宋体" w:cs="宋体"/>
                <w:color w:val="000000"/>
                <w:kern w:val="0"/>
                <w:sz w:val="20"/>
                <w:szCs w:val="20"/>
              </w:rPr>
            </w:pPr>
          </w:p>
        </w:tc>
        <w:tc>
          <w:tcPr>
            <w:tcW w:w="1131" w:type="pct"/>
            <w:tcBorders>
              <w:top w:val="single" w:color="auto" w:sz="4" w:space="0"/>
              <w:left w:val="single" w:color="auto" w:sz="4" w:space="0"/>
              <w:bottom w:val="single" w:color="auto" w:sz="4" w:space="0"/>
              <w:right w:val="single" w:color="auto" w:sz="4" w:space="0"/>
            </w:tcBorders>
            <w:noWrap w:val="0"/>
            <w:vAlign w:val="center"/>
          </w:tcPr>
          <w:p w14:paraId="3D510086">
            <w:pPr>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开展文化执法宣传工作</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67F3F6C8">
            <w:pPr>
              <w:jc w:val="both"/>
              <w:rPr>
                <w:rFonts w:hint="eastAsia" w:ascii="Times New Roman" w:hAnsi="Times New Roman" w:eastAsia="宋体" w:cs="宋体"/>
                <w:color w:val="000000"/>
                <w:kern w:val="0"/>
                <w:sz w:val="20"/>
                <w:szCs w:val="20"/>
                <w:highlight w:val="none"/>
              </w:rPr>
            </w:pPr>
            <w:r>
              <w:rPr>
                <w:rFonts w:hint="eastAsia" w:ascii="Times New Roman" w:hAnsi="Times New Roman" w:eastAsia="宋体" w:cs="宋体"/>
                <w:color w:val="000000"/>
                <w:kern w:val="0"/>
                <w:sz w:val="20"/>
                <w:szCs w:val="20"/>
                <w:highlight w:val="none"/>
                <w:lang w:val="en-US" w:eastAsia="zh-CN"/>
              </w:rPr>
              <w:t>利用“一刊、一站、三平台”，作为宣传阵地，2024年按期发行《首都文化执法》内刊6期，官方网站更新稿件信息310篇，在20多家中央及市级媒体刊发转载稿件749篇，新媒体发布信息710篇，新媒体展现量1039万次，官网、新媒体季度考核均获满分。</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7906B4DB">
            <w:pPr>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423A4E14">
            <w:pPr>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r>
      <w:tr w14:paraId="1E16945F">
        <w:tblPrEx>
          <w:tblCellMar>
            <w:top w:w="0" w:type="dxa"/>
            <w:left w:w="108" w:type="dxa"/>
            <w:bottom w:w="0" w:type="dxa"/>
            <w:right w:w="108" w:type="dxa"/>
          </w:tblCellMar>
        </w:tblPrEx>
        <w:trPr>
          <w:cantSplit/>
          <w:trHeight w:val="3458" w:hRule="atLeast"/>
        </w:trPr>
        <w:tc>
          <w:tcPr>
            <w:tcW w:w="492" w:type="pct"/>
            <w:vMerge w:val="continue"/>
            <w:tcBorders>
              <w:left w:val="single" w:color="auto" w:sz="4" w:space="0"/>
              <w:bottom w:val="single" w:color="auto" w:sz="4" w:space="0"/>
              <w:right w:val="single" w:color="auto" w:sz="4" w:space="0"/>
            </w:tcBorders>
            <w:noWrap w:val="0"/>
            <w:vAlign w:val="center"/>
          </w:tcPr>
          <w:p w14:paraId="6E33572D">
            <w:pPr>
              <w:widowControl/>
              <w:jc w:val="center"/>
              <w:rPr>
                <w:rFonts w:hint="eastAsia" w:ascii="Times New Roman" w:hAnsi="Times New Roman" w:eastAsia="宋体" w:cs="宋体"/>
                <w:color w:val="000000"/>
                <w:kern w:val="0"/>
                <w:sz w:val="20"/>
                <w:szCs w:val="20"/>
              </w:rPr>
            </w:pPr>
          </w:p>
        </w:tc>
        <w:tc>
          <w:tcPr>
            <w:tcW w:w="561" w:type="pct"/>
            <w:vMerge w:val="continue"/>
            <w:tcBorders>
              <w:left w:val="single" w:color="auto" w:sz="4" w:space="0"/>
              <w:bottom w:val="single" w:color="auto" w:sz="4" w:space="0"/>
              <w:right w:val="single" w:color="auto" w:sz="4" w:space="0"/>
            </w:tcBorders>
            <w:noWrap w:val="0"/>
            <w:vAlign w:val="center"/>
          </w:tcPr>
          <w:p w14:paraId="02C9E97A">
            <w:pPr>
              <w:jc w:val="center"/>
              <w:rPr>
                <w:rFonts w:hint="eastAsia" w:ascii="Times New Roman" w:hAnsi="Times New Roman" w:eastAsia="宋体" w:cs="宋体"/>
                <w:color w:val="000000"/>
                <w:kern w:val="0"/>
                <w:sz w:val="20"/>
                <w:szCs w:val="20"/>
              </w:rPr>
            </w:pPr>
          </w:p>
        </w:tc>
        <w:tc>
          <w:tcPr>
            <w:tcW w:w="609" w:type="pct"/>
            <w:vMerge w:val="continue"/>
            <w:tcBorders>
              <w:left w:val="single" w:color="auto" w:sz="4" w:space="0"/>
              <w:bottom w:val="single" w:color="auto" w:sz="4" w:space="0"/>
              <w:right w:val="single" w:color="auto" w:sz="4" w:space="0"/>
            </w:tcBorders>
            <w:noWrap w:val="0"/>
            <w:vAlign w:val="center"/>
          </w:tcPr>
          <w:p w14:paraId="7D5E45C6">
            <w:pPr>
              <w:widowControl/>
              <w:jc w:val="center"/>
              <w:rPr>
                <w:rFonts w:hint="eastAsia" w:ascii="Times New Roman" w:hAnsi="Times New Roman" w:eastAsia="宋体" w:cs="宋体"/>
                <w:color w:val="000000"/>
                <w:kern w:val="0"/>
                <w:sz w:val="20"/>
                <w:szCs w:val="20"/>
              </w:rPr>
            </w:pPr>
          </w:p>
        </w:tc>
        <w:tc>
          <w:tcPr>
            <w:tcW w:w="1131" w:type="pct"/>
            <w:tcBorders>
              <w:top w:val="single" w:color="auto" w:sz="4" w:space="0"/>
              <w:left w:val="single" w:color="auto" w:sz="4" w:space="0"/>
              <w:bottom w:val="single" w:color="auto" w:sz="4" w:space="0"/>
              <w:right w:val="single" w:color="auto" w:sz="4" w:space="0"/>
            </w:tcBorders>
            <w:noWrap w:val="0"/>
            <w:vAlign w:val="center"/>
          </w:tcPr>
          <w:p w14:paraId="72327DFA">
            <w:pPr>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举报核查、接诉即办工作</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042BE816">
            <w:pPr>
              <w:jc w:val="both"/>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一是</w:t>
            </w:r>
            <w:r>
              <w:rPr>
                <w:rFonts w:hint="eastAsia" w:ascii="Times New Roman" w:hAnsi="Times New Roman" w:eastAsia="宋体" w:cs="宋体"/>
                <w:color w:val="000000"/>
                <w:kern w:val="0"/>
                <w:sz w:val="20"/>
                <w:szCs w:val="20"/>
                <w:lang w:val="en-US" w:eastAsia="zh-CN"/>
              </w:rPr>
              <w:t>处理社会举报1万余件，依法受理举报606件。接收网上信访系统派单61件，受理19件，直接回复42件。</w:t>
            </w:r>
          </w:p>
          <w:p w14:paraId="18D5F216">
            <w:pPr>
              <w:jc w:val="both"/>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二是</w:t>
            </w:r>
            <w:r>
              <w:rPr>
                <w:rFonts w:hint="eastAsia" w:ascii="Times New Roman" w:hAnsi="Times New Roman" w:eastAsia="宋体" w:cs="宋体"/>
                <w:color w:val="000000"/>
                <w:kern w:val="0"/>
                <w:sz w:val="20"/>
                <w:szCs w:val="20"/>
                <w:lang w:val="en-US" w:eastAsia="zh-CN"/>
              </w:rPr>
              <w:t>全年接收“接诉即办”派单共计878件,依法受理148件，审核处理“接诉即办”行业数据415139件。</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31ED7D98">
            <w:pPr>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67A46DD3">
            <w:pPr>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r>
      <w:tr w14:paraId="11C4658F">
        <w:tblPrEx>
          <w:tblCellMar>
            <w:top w:w="0" w:type="dxa"/>
            <w:left w:w="108" w:type="dxa"/>
            <w:bottom w:w="0" w:type="dxa"/>
            <w:right w:w="108" w:type="dxa"/>
          </w:tblCellMar>
        </w:tblPrEx>
        <w:trPr>
          <w:cantSplit/>
          <w:trHeight w:val="3088" w:hRule="atLeast"/>
        </w:trPr>
        <w:tc>
          <w:tcPr>
            <w:tcW w:w="492" w:type="pct"/>
            <w:vMerge w:val="restart"/>
            <w:tcBorders>
              <w:top w:val="single" w:color="auto" w:sz="4" w:space="0"/>
              <w:left w:val="single" w:color="auto" w:sz="4" w:space="0"/>
              <w:right w:val="single" w:color="auto" w:sz="4" w:space="0"/>
            </w:tcBorders>
            <w:noWrap w:val="0"/>
            <w:vAlign w:val="center"/>
          </w:tcPr>
          <w:p w14:paraId="61678192">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续上页</w:t>
            </w:r>
          </w:p>
        </w:tc>
        <w:tc>
          <w:tcPr>
            <w:tcW w:w="561" w:type="pct"/>
            <w:vMerge w:val="restart"/>
            <w:tcBorders>
              <w:top w:val="single" w:color="auto" w:sz="4" w:space="0"/>
              <w:left w:val="single" w:color="auto" w:sz="4" w:space="0"/>
              <w:right w:val="single" w:color="auto" w:sz="4" w:space="0"/>
            </w:tcBorders>
            <w:noWrap w:val="0"/>
            <w:vAlign w:val="center"/>
          </w:tcPr>
          <w:p w14:paraId="66D697F6">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续上页</w:t>
            </w:r>
          </w:p>
        </w:tc>
        <w:tc>
          <w:tcPr>
            <w:tcW w:w="609" w:type="pct"/>
            <w:vMerge w:val="restart"/>
            <w:tcBorders>
              <w:top w:val="single" w:color="auto" w:sz="4" w:space="0"/>
              <w:left w:val="single" w:color="auto" w:sz="4" w:space="0"/>
              <w:bottom w:val="single" w:color="auto" w:sz="4" w:space="0"/>
              <w:right w:val="single" w:color="auto" w:sz="4" w:space="0"/>
            </w:tcBorders>
            <w:noWrap w:val="0"/>
            <w:vAlign w:val="center"/>
          </w:tcPr>
          <w:p w14:paraId="045D055D">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rPr>
              <w:t>执法保障</w:t>
            </w:r>
            <w:r>
              <w:rPr>
                <w:rFonts w:hint="eastAsia" w:ascii="Times New Roman" w:hAnsi="Times New Roman" w:eastAsia="宋体" w:cs="宋体"/>
                <w:color w:val="000000"/>
                <w:kern w:val="0"/>
                <w:sz w:val="20"/>
                <w:szCs w:val="20"/>
                <w:lang w:val="en-US" w:eastAsia="zh-CN"/>
              </w:rPr>
              <w:t>工作</w:t>
            </w:r>
          </w:p>
          <w:p w14:paraId="219F98AF">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（8分）</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638B105E">
            <w:pPr>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执法信息化平台升级改造与平台运维</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1AE6E53A">
            <w:pP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一是组织文化执法信息化工作平台内部协同办公系统的升级改造工作，解决了原内部办公OA系统技术框架落后、业务流程紧耦合、系统卡顿、故障率高等问题</w:t>
            </w:r>
            <w:r>
              <w:rPr>
                <w:rFonts w:hint="eastAsia" w:eastAsia="宋体" w:cs="宋体"/>
                <w:color w:val="000000"/>
                <w:kern w:val="0"/>
                <w:sz w:val="20"/>
                <w:szCs w:val="20"/>
                <w:lang w:val="en-US" w:eastAsia="zh-CN"/>
              </w:rPr>
              <w:t>，</w:t>
            </w:r>
            <w:r>
              <w:rPr>
                <w:rFonts w:hint="eastAsia" w:ascii="Times New Roman" w:hAnsi="Times New Roman" w:eastAsia="宋体" w:cs="宋体"/>
                <w:color w:val="000000"/>
                <w:kern w:val="0"/>
                <w:sz w:val="20"/>
                <w:szCs w:val="20"/>
                <w:lang w:val="en-US" w:eastAsia="zh-CN"/>
              </w:rPr>
              <w:t>通过统一支撑平台建设的统一门户，集成多个业务系统，实现一个“京办”账号可以访问和操作多个业务系统，系统安全测评通过率、软件测评通过率100%。</w:t>
            </w:r>
            <w:r>
              <w:rPr>
                <w:rFonts w:hint="eastAsia" w:ascii="Times New Roman" w:hAnsi="Times New Roman" w:eastAsia="宋体" w:cs="宋体"/>
                <w:color w:val="000000"/>
                <w:kern w:val="0"/>
                <w:sz w:val="20"/>
                <w:szCs w:val="20"/>
              </w:rPr>
              <w:t>　</w:t>
            </w:r>
          </w:p>
          <w:p w14:paraId="4D5451A6">
            <w:pP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二是完成信息化业务系统的运行维护工作，主要应用系统及设备日常巡检次数48次，故障应急响应及时率100%，保障了各类信息系统的安全稳定运行。</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0242ECDF">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3.00</w:t>
            </w:r>
          </w:p>
        </w:tc>
        <w:tc>
          <w:tcPr>
            <w:tcW w:w="310" w:type="pct"/>
            <w:tcBorders>
              <w:top w:val="single" w:color="auto" w:sz="4" w:space="0"/>
              <w:left w:val="single" w:color="auto" w:sz="4" w:space="0"/>
              <w:bottom w:val="single" w:color="auto" w:sz="4" w:space="0"/>
              <w:right w:val="single" w:color="auto" w:sz="4" w:space="0"/>
            </w:tcBorders>
            <w:noWrap/>
            <w:vAlign w:val="center"/>
          </w:tcPr>
          <w:p w14:paraId="395C602A">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3.00</w:t>
            </w:r>
          </w:p>
        </w:tc>
      </w:tr>
      <w:tr w14:paraId="0540EE75">
        <w:tblPrEx>
          <w:tblCellMar>
            <w:top w:w="0" w:type="dxa"/>
            <w:left w:w="108" w:type="dxa"/>
            <w:bottom w:w="0" w:type="dxa"/>
            <w:right w:w="108" w:type="dxa"/>
          </w:tblCellMar>
        </w:tblPrEx>
        <w:trPr>
          <w:cantSplit/>
          <w:trHeight w:val="2350" w:hRule="atLeast"/>
        </w:trPr>
        <w:tc>
          <w:tcPr>
            <w:tcW w:w="492" w:type="pct"/>
            <w:vMerge w:val="continue"/>
            <w:tcBorders>
              <w:left w:val="single" w:color="auto" w:sz="4" w:space="0"/>
              <w:right w:val="single" w:color="auto" w:sz="4" w:space="0"/>
            </w:tcBorders>
            <w:noWrap w:val="0"/>
            <w:vAlign w:val="center"/>
          </w:tcPr>
          <w:p w14:paraId="2ACB7D5E">
            <w:pPr>
              <w:widowControl/>
              <w:jc w:val="left"/>
              <w:rPr>
                <w:rFonts w:hint="eastAsia" w:ascii="Times New Roman" w:hAnsi="Times New Roman" w:eastAsia="宋体" w:cs="宋体"/>
                <w:color w:val="000000"/>
                <w:kern w:val="0"/>
                <w:sz w:val="20"/>
                <w:szCs w:val="20"/>
              </w:rPr>
            </w:pPr>
          </w:p>
        </w:tc>
        <w:tc>
          <w:tcPr>
            <w:tcW w:w="561" w:type="pct"/>
            <w:vMerge w:val="continue"/>
            <w:tcBorders>
              <w:left w:val="single" w:color="auto" w:sz="4" w:space="0"/>
              <w:right w:val="single" w:color="auto" w:sz="4" w:space="0"/>
            </w:tcBorders>
            <w:noWrap w:val="0"/>
            <w:vAlign w:val="center"/>
          </w:tcPr>
          <w:p w14:paraId="4A6B8642">
            <w:pPr>
              <w:widowControl/>
              <w:jc w:val="left"/>
              <w:rPr>
                <w:rFonts w:hint="eastAsia" w:ascii="Times New Roman" w:hAnsi="Times New Roman" w:eastAsia="宋体" w:cs="宋体"/>
                <w:color w:val="000000"/>
                <w:kern w:val="0"/>
                <w:sz w:val="20"/>
                <w:szCs w:val="20"/>
              </w:rPr>
            </w:pPr>
          </w:p>
        </w:tc>
        <w:tc>
          <w:tcPr>
            <w:tcW w:w="609" w:type="pct"/>
            <w:vMerge w:val="continue"/>
            <w:tcBorders>
              <w:top w:val="single" w:color="auto" w:sz="4" w:space="0"/>
              <w:left w:val="single" w:color="auto" w:sz="4" w:space="0"/>
              <w:bottom w:val="single" w:color="auto" w:sz="4" w:space="0"/>
              <w:right w:val="single" w:color="auto" w:sz="4" w:space="0"/>
            </w:tcBorders>
            <w:noWrap w:val="0"/>
            <w:vAlign w:val="center"/>
          </w:tcPr>
          <w:p w14:paraId="35250C7E">
            <w:pPr>
              <w:widowControl/>
              <w:jc w:val="center"/>
              <w:rPr>
                <w:rFonts w:hint="eastAsia" w:ascii="Times New Roman" w:hAnsi="Times New Roman" w:eastAsia="宋体" w:cs="宋体"/>
                <w:color w:val="000000"/>
                <w:kern w:val="0"/>
                <w:sz w:val="20"/>
                <w:szCs w:val="20"/>
              </w:rPr>
            </w:pPr>
          </w:p>
        </w:tc>
        <w:tc>
          <w:tcPr>
            <w:tcW w:w="1131" w:type="pct"/>
            <w:tcBorders>
              <w:top w:val="single" w:color="auto" w:sz="4" w:space="0"/>
              <w:left w:val="single" w:color="auto" w:sz="4" w:space="0"/>
              <w:bottom w:val="single" w:color="auto" w:sz="4" w:space="0"/>
              <w:right w:val="single" w:color="auto" w:sz="4" w:space="0"/>
            </w:tcBorders>
            <w:noWrap w:val="0"/>
            <w:vAlign w:val="center"/>
          </w:tcPr>
          <w:p w14:paraId="49769C16">
            <w:pPr>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执法系统数据保障</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7ADDDF06">
            <w:pP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一是</w:t>
            </w:r>
            <w:r>
              <w:rPr>
                <w:rFonts w:hint="eastAsia" w:ascii="Times New Roman" w:hAnsi="Times New Roman" w:eastAsia="宋体" w:cs="宋体"/>
                <w:color w:val="000000"/>
                <w:kern w:val="0"/>
                <w:sz w:val="20"/>
                <w:szCs w:val="20"/>
                <w:lang w:val="en-US" w:eastAsia="zh-CN"/>
              </w:rPr>
              <w:t>开展平台数据保障维护服务、执法影像数据保障维护服务和网络有害文化产品和服务专项监测数据保障维护服务，进行数据运行监管，优化数据采集、数据处理功能，保障了数据的可用性、完整性、规范性、一致性。</w:t>
            </w:r>
          </w:p>
          <w:p w14:paraId="0E7C27B4">
            <w:pP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二是</w:t>
            </w:r>
            <w:r>
              <w:rPr>
                <w:rFonts w:hint="eastAsia" w:ascii="Times New Roman" w:hAnsi="Times New Roman" w:eastAsia="宋体" w:cs="宋体"/>
                <w:color w:val="000000"/>
                <w:kern w:val="0"/>
                <w:sz w:val="20"/>
                <w:szCs w:val="20"/>
                <w:lang w:val="en-US" w:eastAsia="zh-CN"/>
              </w:rPr>
              <w:t>租赁虚拟服务器，用于满足各应用系统的政务云资源需要，信息化工作平台数据有效率≥95%。</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28BB9CA7">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3.00</w:t>
            </w:r>
          </w:p>
        </w:tc>
        <w:tc>
          <w:tcPr>
            <w:tcW w:w="310" w:type="pct"/>
            <w:tcBorders>
              <w:top w:val="single" w:color="auto" w:sz="4" w:space="0"/>
              <w:left w:val="single" w:color="auto" w:sz="4" w:space="0"/>
              <w:bottom w:val="single" w:color="auto" w:sz="4" w:space="0"/>
              <w:right w:val="single" w:color="auto" w:sz="4" w:space="0"/>
            </w:tcBorders>
            <w:noWrap/>
            <w:vAlign w:val="center"/>
          </w:tcPr>
          <w:p w14:paraId="224ABFAC">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3.00</w:t>
            </w:r>
          </w:p>
        </w:tc>
      </w:tr>
      <w:tr w14:paraId="0C93106E">
        <w:tblPrEx>
          <w:tblCellMar>
            <w:top w:w="0" w:type="dxa"/>
            <w:left w:w="108" w:type="dxa"/>
            <w:bottom w:w="0" w:type="dxa"/>
            <w:right w:w="108" w:type="dxa"/>
          </w:tblCellMar>
        </w:tblPrEx>
        <w:trPr>
          <w:cantSplit/>
          <w:trHeight w:val="2928" w:hRule="atLeast"/>
        </w:trPr>
        <w:tc>
          <w:tcPr>
            <w:tcW w:w="492" w:type="pct"/>
            <w:vMerge w:val="continue"/>
            <w:tcBorders>
              <w:left w:val="single" w:color="auto" w:sz="4" w:space="0"/>
              <w:bottom w:val="single" w:color="auto" w:sz="4" w:space="0"/>
              <w:right w:val="single" w:color="auto" w:sz="4" w:space="0"/>
            </w:tcBorders>
            <w:noWrap w:val="0"/>
            <w:vAlign w:val="center"/>
          </w:tcPr>
          <w:p w14:paraId="71003A84">
            <w:pPr>
              <w:widowControl/>
              <w:jc w:val="left"/>
              <w:rPr>
                <w:rFonts w:hint="eastAsia" w:ascii="Times New Roman" w:hAnsi="Times New Roman" w:eastAsia="宋体" w:cs="宋体"/>
                <w:color w:val="000000"/>
                <w:kern w:val="0"/>
                <w:sz w:val="20"/>
                <w:szCs w:val="20"/>
              </w:rPr>
            </w:pPr>
          </w:p>
        </w:tc>
        <w:tc>
          <w:tcPr>
            <w:tcW w:w="561" w:type="pct"/>
            <w:vMerge w:val="continue"/>
            <w:tcBorders>
              <w:left w:val="single" w:color="auto" w:sz="4" w:space="0"/>
              <w:bottom w:val="single" w:color="auto" w:sz="4" w:space="0"/>
              <w:right w:val="single" w:color="auto" w:sz="4" w:space="0"/>
            </w:tcBorders>
            <w:noWrap w:val="0"/>
            <w:vAlign w:val="center"/>
          </w:tcPr>
          <w:p w14:paraId="64872006">
            <w:pPr>
              <w:widowControl/>
              <w:jc w:val="left"/>
              <w:rPr>
                <w:rFonts w:hint="eastAsia" w:ascii="Times New Roman" w:hAnsi="Times New Roman" w:eastAsia="宋体" w:cs="宋体"/>
                <w:color w:val="000000"/>
                <w:kern w:val="0"/>
                <w:sz w:val="20"/>
                <w:szCs w:val="20"/>
              </w:rPr>
            </w:pPr>
          </w:p>
        </w:tc>
        <w:tc>
          <w:tcPr>
            <w:tcW w:w="609" w:type="pct"/>
            <w:vMerge w:val="continue"/>
            <w:tcBorders>
              <w:top w:val="single" w:color="auto" w:sz="4" w:space="0"/>
              <w:left w:val="single" w:color="auto" w:sz="4" w:space="0"/>
              <w:bottom w:val="single" w:color="auto" w:sz="4" w:space="0"/>
              <w:right w:val="single" w:color="auto" w:sz="4" w:space="0"/>
            </w:tcBorders>
            <w:noWrap w:val="0"/>
            <w:vAlign w:val="center"/>
          </w:tcPr>
          <w:p w14:paraId="7DEDF5C1">
            <w:pPr>
              <w:widowControl/>
              <w:jc w:val="center"/>
              <w:rPr>
                <w:rFonts w:hint="eastAsia" w:ascii="Times New Roman" w:hAnsi="Times New Roman" w:eastAsia="宋体" w:cs="宋体"/>
                <w:color w:val="000000"/>
                <w:kern w:val="0"/>
                <w:sz w:val="20"/>
                <w:szCs w:val="20"/>
              </w:rPr>
            </w:pPr>
          </w:p>
        </w:tc>
        <w:tc>
          <w:tcPr>
            <w:tcW w:w="1131" w:type="pct"/>
            <w:tcBorders>
              <w:top w:val="single" w:color="auto" w:sz="4" w:space="0"/>
              <w:left w:val="single" w:color="auto" w:sz="4" w:space="0"/>
              <w:bottom w:val="single" w:color="auto" w:sz="4" w:space="0"/>
              <w:right w:val="single" w:color="auto" w:sz="4" w:space="0"/>
            </w:tcBorders>
            <w:noWrap w:val="0"/>
            <w:vAlign w:val="center"/>
          </w:tcPr>
          <w:p w14:paraId="77170D2B">
            <w:pPr>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执法装备、服装保障</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53C9852E">
            <w:pP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一是为全市移动执法终端提供数据流量支持，并为总队移动执法PAD和记录仪提供数据流量服务、短线服务，实现北京市辖区数据接通率100%。</w:t>
            </w:r>
          </w:p>
          <w:p w14:paraId="33234381">
            <w:pP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二是为市文化市场执法总队新增人员置装，为全部执法人员制作和配发标志配件。</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2B78CE37">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c>
          <w:tcPr>
            <w:tcW w:w="310" w:type="pct"/>
            <w:tcBorders>
              <w:top w:val="single" w:color="auto" w:sz="4" w:space="0"/>
              <w:left w:val="single" w:color="auto" w:sz="4" w:space="0"/>
              <w:bottom w:val="single" w:color="auto" w:sz="4" w:space="0"/>
              <w:right w:val="single" w:color="auto" w:sz="4" w:space="0"/>
            </w:tcBorders>
            <w:noWrap/>
            <w:vAlign w:val="center"/>
          </w:tcPr>
          <w:p w14:paraId="1C75AC69">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r>
      <w:tr w14:paraId="03B16BDA">
        <w:tblPrEx>
          <w:tblCellMar>
            <w:top w:w="0" w:type="dxa"/>
            <w:left w:w="108" w:type="dxa"/>
            <w:bottom w:w="0" w:type="dxa"/>
            <w:right w:w="108" w:type="dxa"/>
          </w:tblCellMar>
        </w:tblPrEx>
        <w:trPr>
          <w:cantSplit/>
          <w:trHeight w:val="2684" w:hRule="atLeast"/>
        </w:trPr>
        <w:tc>
          <w:tcPr>
            <w:tcW w:w="492" w:type="pct"/>
            <w:vMerge w:val="restart"/>
            <w:tcBorders>
              <w:top w:val="single" w:color="auto" w:sz="4" w:space="0"/>
              <w:left w:val="single" w:color="auto" w:sz="4" w:space="0"/>
              <w:right w:val="single" w:color="auto" w:sz="4" w:space="0"/>
            </w:tcBorders>
            <w:noWrap w:val="0"/>
            <w:vAlign w:val="center"/>
          </w:tcPr>
          <w:p w14:paraId="58EC10E3">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续上页</w:t>
            </w:r>
          </w:p>
        </w:tc>
        <w:tc>
          <w:tcPr>
            <w:tcW w:w="561" w:type="pct"/>
            <w:vMerge w:val="restart"/>
            <w:tcBorders>
              <w:top w:val="single" w:color="auto" w:sz="4" w:space="0"/>
              <w:left w:val="single" w:color="auto" w:sz="4" w:space="0"/>
              <w:right w:val="single" w:color="auto" w:sz="4" w:space="0"/>
            </w:tcBorders>
            <w:noWrap w:val="0"/>
            <w:vAlign w:val="center"/>
          </w:tcPr>
          <w:p w14:paraId="23D29871">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续上页</w:t>
            </w:r>
          </w:p>
        </w:tc>
        <w:tc>
          <w:tcPr>
            <w:tcW w:w="609" w:type="pct"/>
            <w:vMerge w:val="restart"/>
            <w:tcBorders>
              <w:top w:val="single" w:color="auto" w:sz="4" w:space="0"/>
              <w:left w:val="single" w:color="auto" w:sz="4" w:space="0"/>
              <w:bottom w:val="single" w:color="auto" w:sz="4" w:space="0"/>
              <w:right w:val="single" w:color="auto" w:sz="4" w:space="0"/>
            </w:tcBorders>
            <w:noWrap w:val="0"/>
            <w:vAlign w:val="center"/>
          </w:tcPr>
          <w:p w14:paraId="3781ACBA">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rPr>
              <w:t>指导、协调、监督、考核各区文化市场综合执法</w:t>
            </w:r>
            <w:r>
              <w:rPr>
                <w:rFonts w:hint="eastAsia" w:ascii="Times New Roman" w:hAnsi="Times New Roman" w:eastAsia="宋体" w:cs="宋体"/>
                <w:color w:val="000000"/>
                <w:kern w:val="0"/>
                <w:sz w:val="20"/>
                <w:szCs w:val="20"/>
                <w:lang w:val="en-US" w:eastAsia="zh-CN"/>
              </w:rPr>
              <w:t>工作</w:t>
            </w:r>
          </w:p>
          <w:p w14:paraId="19F73C3F">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（8分）</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7E0A7341">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持续深化区级文化市场综合执法改革</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651F594C">
            <w:pP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一是</w:t>
            </w:r>
            <w:r>
              <w:rPr>
                <w:rFonts w:hint="eastAsia" w:ascii="Times New Roman" w:hAnsi="Times New Roman" w:eastAsia="宋体" w:cs="宋体"/>
                <w:color w:val="000000"/>
                <w:kern w:val="0"/>
                <w:sz w:val="20"/>
                <w:szCs w:val="20"/>
                <w:lang w:val="en-US" w:eastAsia="zh-CN"/>
              </w:rPr>
              <w:t>推动区级执法队伍在岗率由77.96%提高至89.12%，在编率由83.56%提高到90.45%。</w:t>
            </w:r>
          </w:p>
          <w:p w14:paraId="6E28F11D">
            <w:pP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二是</w:t>
            </w:r>
            <w:r>
              <w:rPr>
                <w:rFonts w:hint="eastAsia" w:ascii="Times New Roman" w:hAnsi="Times New Roman" w:eastAsia="宋体" w:cs="宋体"/>
                <w:color w:val="000000"/>
                <w:kern w:val="0"/>
                <w:sz w:val="20"/>
                <w:szCs w:val="20"/>
                <w:lang w:val="en-US" w:eastAsia="zh-CN"/>
              </w:rPr>
              <w:t>着力强化对区级执法队伍指导帮带，将指导区队案件办理情况纳入年度考核，指导各区办理案件27起、移刑1起。</w:t>
            </w:r>
          </w:p>
          <w:p w14:paraId="05263EAE">
            <w:pP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三是</w:t>
            </w:r>
            <w:r>
              <w:rPr>
                <w:rFonts w:hint="eastAsia" w:ascii="Times New Roman" w:hAnsi="Times New Roman" w:eastAsia="宋体" w:cs="宋体"/>
                <w:color w:val="000000"/>
                <w:kern w:val="0"/>
                <w:sz w:val="20"/>
                <w:szCs w:val="20"/>
                <w:lang w:val="en-US" w:eastAsia="zh-CN"/>
              </w:rPr>
              <w:t>扎实推进市区两级执法案卷“月互查、季评查”，案卷审核率100%,开发运用线上评查模块，实现处罚案件两轮次、全覆盖评查。</w:t>
            </w:r>
            <w:r>
              <w:rPr>
                <w:rFonts w:hint="eastAsia" w:ascii="Times New Roman" w:hAnsi="Times New Roman" w:eastAsia="宋体" w:cs="宋体"/>
                <w:color w:val="000000"/>
                <w:kern w:val="0"/>
                <w:sz w:val="20"/>
                <w:szCs w:val="20"/>
              </w:rPr>
              <w:t>　</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24700D64">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3.00</w:t>
            </w:r>
          </w:p>
        </w:tc>
        <w:tc>
          <w:tcPr>
            <w:tcW w:w="310" w:type="pct"/>
            <w:tcBorders>
              <w:top w:val="single" w:color="auto" w:sz="4" w:space="0"/>
              <w:left w:val="single" w:color="auto" w:sz="4" w:space="0"/>
              <w:bottom w:val="single" w:color="auto" w:sz="4" w:space="0"/>
              <w:right w:val="single" w:color="auto" w:sz="4" w:space="0"/>
            </w:tcBorders>
            <w:noWrap/>
            <w:vAlign w:val="center"/>
          </w:tcPr>
          <w:p w14:paraId="0848A666">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3.00</w:t>
            </w:r>
          </w:p>
        </w:tc>
      </w:tr>
      <w:tr w14:paraId="122DC82F">
        <w:tblPrEx>
          <w:tblCellMar>
            <w:top w:w="0" w:type="dxa"/>
            <w:left w:w="108" w:type="dxa"/>
            <w:bottom w:w="0" w:type="dxa"/>
            <w:right w:w="108" w:type="dxa"/>
          </w:tblCellMar>
        </w:tblPrEx>
        <w:trPr>
          <w:cantSplit/>
          <w:trHeight w:val="1602" w:hRule="atLeast"/>
        </w:trPr>
        <w:tc>
          <w:tcPr>
            <w:tcW w:w="492" w:type="pct"/>
            <w:vMerge w:val="continue"/>
            <w:tcBorders>
              <w:left w:val="single" w:color="auto" w:sz="4" w:space="0"/>
              <w:right w:val="single" w:color="auto" w:sz="4" w:space="0"/>
            </w:tcBorders>
            <w:noWrap w:val="0"/>
            <w:vAlign w:val="center"/>
          </w:tcPr>
          <w:p w14:paraId="299FC813">
            <w:pPr>
              <w:widowControl/>
              <w:jc w:val="left"/>
              <w:rPr>
                <w:rFonts w:hint="eastAsia" w:ascii="Times New Roman" w:hAnsi="Times New Roman" w:eastAsia="宋体" w:cs="宋体"/>
                <w:color w:val="000000"/>
                <w:kern w:val="0"/>
                <w:sz w:val="20"/>
                <w:szCs w:val="20"/>
              </w:rPr>
            </w:pPr>
          </w:p>
        </w:tc>
        <w:tc>
          <w:tcPr>
            <w:tcW w:w="561" w:type="pct"/>
            <w:vMerge w:val="continue"/>
            <w:tcBorders>
              <w:left w:val="single" w:color="auto" w:sz="4" w:space="0"/>
              <w:right w:val="single" w:color="auto" w:sz="4" w:space="0"/>
            </w:tcBorders>
            <w:noWrap w:val="0"/>
            <w:vAlign w:val="center"/>
          </w:tcPr>
          <w:p w14:paraId="0CB9944D">
            <w:pPr>
              <w:widowControl/>
              <w:jc w:val="left"/>
              <w:rPr>
                <w:rFonts w:hint="eastAsia" w:ascii="Times New Roman" w:hAnsi="Times New Roman" w:eastAsia="宋体" w:cs="宋体"/>
                <w:color w:val="000000"/>
                <w:kern w:val="0"/>
                <w:sz w:val="20"/>
                <w:szCs w:val="20"/>
              </w:rPr>
            </w:pPr>
          </w:p>
        </w:tc>
        <w:tc>
          <w:tcPr>
            <w:tcW w:w="609" w:type="pct"/>
            <w:vMerge w:val="continue"/>
            <w:tcBorders>
              <w:top w:val="single" w:color="auto" w:sz="4" w:space="0"/>
              <w:left w:val="single" w:color="auto" w:sz="4" w:space="0"/>
              <w:bottom w:val="single" w:color="auto" w:sz="4" w:space="0"/>
              <w:right w:val="single" w:color="auto" w:sz="4" w:space="0"/>
            </w:tcBorders>
            <w:noWrap w:val="0"/>
            <w:vAlign w:val="center"/>
          </w:tcPr>
          <w:p w14:paraId="131A4A01">
            <w:pPr>
              <w:widowControl/>
              <w:jc w:val="center"/>
              <w:rPr>
                <w:rFonts w:hint="eastAsia" w:ascii="Times New Roman" w:hAnsi="Times New Roman" w:eastAsia="宋体" w:cs="宋体"/>
                <w:color w:val="000000"/>
                <w:kern w:val="0"/>
                <w:sz w:val="20"/>
                <w:szCs w:val="20"/>
              </w:rPr>
            </w:pPr>
          </w:p>
        </w:tc>
        <w:tc>
          <w:tcPr>
            <w:tcW w:w="1131" w:type="pct"/>
            <w:tcBorders>
              <w:top w:val="single" w:color="auto" w:sz="4" w:space="0"/>
              <w:left w:val="single" w:color="auto" w:sz="4" w:space="0"/>
              <w:bottom w:val="single" w:color="auto" w:sz="4" w:space="0"/>
              <w:right w:val="single" w:color="auto" w:sz="4" w:space="0"/>
            </w:tcBorders>
            <w:noWrap w:val="0"/>
            <w:vAlign w:val="center"/>
          </w:tcPr>
          <w:p w14:paraId="73C4AAEE">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强化</w:t>
            </w:r>
            <w:r>
              <w:rPr>
                <w:rFonts w:hint="eastAsia" w:ascii="Times New Roman" w:hAnsi="Times New Roman" w:eastAsia="宋体" w:cs="宋体"/>
                <w:color w:val="000000"/>
                <w:kern w:val="0"/>
                <w:sz w:val="20"/>
                <w:szCs w:val="20"/>
              </w:rPr>
              <w:t>文化综合执法队伍建设</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046277BD">
            <w:pP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优化了“普训+专训+特训”执法培训体系，</w:t>
            </w:r>
            <w:r>
              <w:rPr>
                <w:rFonts w:hint="eastAsia" w:ascii="Times New Roman" w:hAnsi="Times New Roman" w:cs="宋体"/>
                <w:color w:val="000000"/>
                <w:kern w:val="0"/>
                <w:sz w:val="20"/>
                <w:szCs w:val="20"/>
                <w:lang w:val="en-US" w:eastAsia="zh-CN"/>
              </w:rPr>
              <w:t>组织开展</w:t>
            </w:r>
            <w:r>
              <w:rPr>
                <w:rFonts w:hint="eastAsia" w:ascii="Times New Roman" w:hAnsi="Times New Roman" w:eastAsia="宋体" w:cs="宋体"/>
                <w:color w:val="000000"/>
                <w:kern w:val="0"/>
                <w:sz w:val="20"/>
                <w:szCs w:val="20"/>
                <w:lang w:val="en-US" w:eastAsia="zh-CN"/>
              </w:rPr>
              <w:t>全市执法骨干培训</w:t>
            </w:r>
            <w:r>
              <w:rPr>
                <w:rFonts w:hint="eastAsia" w:ascii="Times New Roman" w:hAnsi="Times New Roman" w:cs="宋体"/>
                <w:color w:val="000000"/>
                <w:kern w:val="0"/>
                <w:sz w:val="20"/>
                <w:szCs w:val="20"/>
                <w:lang w:val="en-US" w:eastAsia="zh-CN"/>
              </w:rPr>
              <w:t>、案件评查培训和</w:t>
            </w:r>
            <w:r>
              <w:rPr>
                <w:rFonts w:hint="eastAsia" w:ascii="Times New Roman" w:hAnsi="Times New Roman" w:eastAsia="宋体" w:cs="宋体"/>
                <w:color w:val="000000"/>
                <w:kern w:val="0"/>
                <w:sz w:val="20"/>
                <w:szCs w:val="20"/>
                <w:lang w:val="en-US" w:eastAsia="zh-CN"/>
              </w:rPr>
              <w:t>执法人员综合技能素质培训</w:t>
            </w:r>
            <w:r>
              <w:rPr>
                <w:rFonts w:hint="eastAsia" w:cs="宋体"/>
                <w:color w:val="000000"/>
                <w:kern w:val="0"/>
                <w:sz w:val="20"/>
                <w:szCs w:val="20"/>
                <w:lang w:val="en-US" w:eastAsia="zh-CN"/>
              </w:rPr>
              <w:t>，</w:t>
            </w:r>
            <w:r>
              <w:rPr>
                <w:rFonts w:hint="eastAsia" w:ascii="Times New Roman" w:hAnsi="Times New Roman" w:cs="宋体"/>
                <w:color w:val="000000"/>
                <w:kern w:val="0"/>
                <w:sz w:val="20"/>
                <w:szCs w:val="20"/>
                <w:lang w:val="en-US" w:eastAsia="zh-CN"/>
              </w:rPr>
              <w:t>人员培训合格率在95%以上</w:t>
            </w:r>
            <w:r>
              <w:rPr>
                <w:rFonts w:hint="eastAsia" w:ascii="Times New Roman" w:hAnsi="Times New Roman" w:eastAsia="宋体" w:cs="宋体"/>
                <w:color w:val="000000"/>
                <w:kern w:val="0"/>
                <w:sz w:val="20"/>
                <w:szCs w:val="20"/>
                <w:lang w:val="en-US" w:eastAsia="zh-CN"/>
              </w:rPr>
              <w:t>。</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1C60C41D">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c>
          <w:tcPr>
            <w:tcW w:w="310" w:type="pct"/>
            <w:tcBorders>
              <w:top w:val="single" w:color="auto" w:sz="4" w:space="0"/>
              <w:left w:val="single" w:color="auto" w:sz="4" w:space="0"/>
              <w:bottom w:val="single" w:color="auto" w:sz="4" w:space="0"/>
              <w:right w:val="single" w:color="auto" w:sz="4" w:space="0"/>
            </w:tcBorders>
            <w:noWrap/>
            <w:vAlign w:val="center"/>
          </w:tcPr>
          <w:p w14:paraId="354F92A8">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1.00</w:t>
            </w:r>
          </w:p>
        </w:tc>
      </w:tr>
      <w:tr w14:paraId="6DC79996">
        <w:tblPrEx>
          <w:tblCellMar>
            <w:top w:w="0" w:type="dxa"/>
            <w:left w:w="108" w:type="dxa"/>
            <w:bottom w:w="0" w:type="dxa"/>
            <w:right w:w="108" w:type="dxa"/>
          </w:tblCellMar>
        </w:tblPrEx>
        <w:trPr>
          <w:cantSplit/>
          <w:trHeight w:val="1702" w:hRule="atLeast"/>
        </w:trPr>
        <w:tc>
          <w:tcPr>
            <w:tcW w:w="492" w:type="pct"/>
            <w:vMerge w:val="continue"/>
            <w:tcBorders>
              <w:left w:val="single" w:color="auto" w:sz="4" w:space="0"/>
              <w:right w:val="single" w:color="auto" w:sz="4" w:space="0"/>
            </w:tcBorders>
            <w:noWrap w:val="0"/>
            <w:vAlign w:val="center"/>
          </w:tcPr>
          <w:p w14:paraId="0DEE7B3B">
            <w:pPr>
              <w:widowControl/>
              <w:jc w:val="left"/>
              <w:rPr>
                <w:rFonts w:hint="eastAsia" w:ascii="Times New Roman" w:hAnsi="Times New Roman" w:eastAsia="宋体" w:cs="宋体"/>
                <w:color w:val="000000"/>
                <w:kern w:val="0"/>
                <w:sz w:val="20"/>
                <w:szCs w:val="20"/>
              </w:rPr>
            </w:pPr>
          </w:p>
        </w:tc>
        <w:tc>
          <w:tcPr>
            <w:tcW w:w="561" w:type="pct"/>
            <w:vMerge w:val="continue"/>
            <w:tcBorders>
              <w:left w:val="single" w:color="auto" w:sz="4" w:space="0"/>
              <w:right w:val="single" w:color="auto" w:sz="4" w:space="0"/>
            </w:tcBorders>
            <w:noWrap w:val="0"/>
            <w:vAlign w:val="center"/>
          </w:tcPr>
          <w:p w14:paraId="12FB58B6">
            <w:pPr>
              <w:widowControl/>
              <w:jc w:val="left"/>
              <w:rPr>
                <w:rFonts w:hint="eastAsia" w:ascii="Times New Roman" w:hAnsi="Times New Roman" w:eastAsia="宋体" w:cs="宋体"/>
                <w:color w:val="000000"/>
                <w:kern w:val="0"/>
                <w:sz w:val="20"/>
                <w:szCs w:val="20"/>
              </w:rPr>
            </w:pPr>
          </w:p>
        </w:tc>
        <w:tc>
          <w:tcPr>
            <w:tcW w:w="609" w:type="pct"/>
            <w:vMerge w:val="continue"/>
            <w:tcBorders>
              <w:top w:val="single" w:color="auto" w:sz="4" w:space="0"/>
              <w:left w:val="single" w:color="auto" w:sz="4" w:space="0"/>
              <w:bottom w:val="single" w:color="auto" w:sz="4" w:space="0"/>
              <w:right w:val="single" w:color="auto" w:sz="4" w:space="0"/>
            </w:tcBorders>
            <w:noWrap w:val="0"/>
            <w:vAlign w:val="center"/>
          </w:tcPr>
          <w:p w14:paraId="7EDB0FFD">
            <w:pPr>
              <w:widowControl/>
              <w:jc w:val="center"/>
              <w:rPr>
                <w:rFonts w:hint="eastAsia" w:ascii="Times New Roman" w:hAnsi="Times New Roman" w:eastAsia="宋体" w:cs="宋体"/>
                <w:color w:val="000000"/>
                <w:kern w:val="0"/>
                <w:sz w:val="20"/>
                <w:szCs w:val="20"/>
              </w:rPr>
            </w:pPr>
          </w:p>
        </w:tc>
        <w:tc>
          <w:tcPr>
            <w:tcW w:w="1131" w:type="pct"/>
            <w:tcBorders>
              <w:top w:val="single" w:color="auto" w:sz="4" w:space="0"/>
              <w:left w:val="single" w:color="auto" w:sz="4" w:space="0"/>
              <w:bottom w:val="single" w:color="auto" w:sz="4" w:space="0"/>
              <w:right w:val="single" w:color="auto" w:sz="4" w:space="0"/>
            </w:tcBorders>
            <w:noWrap w:val="0"/>
            <w:vAlign w:val="center"/>
          </w:tcPr>
          <w:p w14:paraId="341FF685">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修订完善执法制度或办法</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16399782">
            <w:pP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研究制定23项具体提升举措，推进执法规范化建设。创新市区两级执法案卷“月互查、季评查”机制，先后汇集整编文旅部 北京市《行政处罚案卷评查评分细则》《行政处罚案卷制作标准》，修订完善全流程执法文书。修订《季度办案能手、年度办案标兵评选办法》，制定《优秀案卷、优秀案卷评查员评选办法》《执法师资管理办法》系列制度文件，编纂执法指引、案例汇编等执法基础教材，推送执法小提示50期，推动完善了执法保障机制。</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10609DAA">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c>
          <w:tcPr>
            <w:tcW w:w="310" w:type="pct"/>
            <w:tcBorders>
              <w:top w:val="single" w:color="auto" w:sz="4" w:space="0"/>
              <w:left w:val="single" w:color="auto" w:sz="4" w:space="0"/>
              <w:bottom w:val="single" w:color="auto" w:sz="4" w:space="0"/>
              <w:right w:val="single" w:color="auto" w:sz="4" w:space="0"/>
            </w:tcBorders>
            <w:noWrap/>
            <w:vAlign w:val="center"/>
          </w:tcPr>
          <w:p w14:paraId="16C9A384">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r>
      <w:tr w14:paraId="47DCE67B">
        <w:tblPrEx>
          <w:tblCellMar>
            <w:top w:w="0" w:type="dxa"/>
            <w:left w:w="108" w:type="dxa"/>
            <w:bottom w:w="0" w:type="dxa"/>
            <w:right w:w="108" w:type="dxa"/>
          </w:tblCellMar>
        </w:tblPrEx>
        <w:trPr>
          <w:cantSplit/>
          <w:trHeight w:val="1443" w:hRule="atLeast"/>
        </w:trPr>
        <w:tc>
          <w:tcPr>
            <w:tcW w:w="492" w:type="pct"/>
            <w:vMerge w:val="continue"/>
            <w:tcBorders>
              <w:left w:val="single" w:color="auto" w:sz="4" w:space="0"/>
              <w:bottom w:val="single" w:color="auto" w:sz="4" w:space="0"/>
              <w:right w:val="single" w:color="auto" w:sz="4" w:space="0"/>
            </w:tcBorders>
            <w:noWrap w:val="0"/>
            <w:vAlign w:val="center"/>
          </w:tcPr>
          <w:p w14:paraId="275548A9">
            <w:pPr>
              <w:widowControl/>
              <w:jc w:val="left"/>
              <w:rPr>
                <w:rFonts w:hint="eastAsia" w:ascii="Times New Roman" w:hAnsi="Times New Roman" w:eastAsia="宋体" w:cs="宋体"/>
                <w:color w:val="000000"/>
                <w:kern w:val="0"/>
                <w:sz w:val="20"/>
                <w:szCs w:val="20"/>
              </w:rPr>
            </w:pPr>
          </w:p>
        </w:tc>
        <w:tc>
          <w:tcPr>
            <w:tcW w:w="561" w:type="pct"/>
            <w:vMerge w:val="continue"/>
            <w:tcBorders>
              <w:left w:val="single" w:color="auto" w:sz="4" w:space="0"/>
              <w:bottom w:val="single" w:color="auto" w:sz="4" w:space="0"/>
              <w:right w:val="single" w:color="auto" w:sz="4" w:space="0"/>
            </w:tcBorders>
            <w:noWrap w:val="0"/>
            <w:vAlign w:val="center"/>
          </w:tcPr>
          <w:p w14:paraId="4206C50D">
            <w:pPr>
              <w:widowControl/>
              <w:jc w:val="left"/>
              <w:rPr>
                <w:rFonts w:hint="eastAsia" w:ascii="Times New Roman" w:hAnsi="Times New Roman" w:eastAsia="宋体" w:cs="宋体"/>
                <w:color w:val="000000"/>
                <w:kern w:val="0"/>
                <w:sz w:val="20"/>
                <w:szCs w:val="20"/>
              </w:rPr>
            </w:pPr>
          </w:p>
        </w:tc>
        <w:tc>
          <w:tcPr>
            <w:tcW w:w="609" w:type="pct"/>
            <w:vMerge w:val="continue"/>
            <w:tcBorders>
              <w:top w:val="single" w:color="auto" w:sz="4" w:space="0"/>
              <w:left w:val="single" w:color="auto" w:sz="4" w:space="0"/>
              <w:bottom w:val="single" w:color="auto" w:sz="4" w:space="0"/>
              <w:right w:val="single" w:color="auto" w:sz="4" w:space="0"/>
            </w:tcBorders>
            <w:noWrap w:val="0"/>
            <w:vAlign w:val="center"/>
          </w:tcPr>
          <w:p w14:paraId="59222B0C">
            <w:pPr>
              <w:widowControl/>
              <w:jc w:val="center"/>
              <w:rPr>
                <w:rFonts w:hint="eastAsia" w:ascii="Times New Roman" w:hAnsi="Times New Roman" w:eastAsia="宋体" w:cs="宋体"/>
                <w:color w:val="000000"/>
                <w:kern w:val="0"/>
                <w:sz w:val="20"/>
                <w:szCs w:val="20"/>
              </w:rPr>
            </w:pPr>
          </w:p>
        </w:tc>
        <w:tc>
          <w:tcPr>
            <w:tcW w:w="1131" w:type="pct"/>
            <w:tcBorders>
              <w:top w:val="single" w:color="auto" w:sz="4" w:space="0"/>
              <w:left w:val="single" w:color="auto" w:sz="4" w:space="0"/>
              <w:bottom w:val="single" w:color="auto" w:sz="4" w:space="0"/>
              <w:right w:val="single" w:color="auto" w:sz="4" w:space="0"/>
            </w:tcBorders>
            <w:noWrap w:val="0"/>
            <w:vAlign w:val="center"/>
          </w:tcPr>
          <w:p w14:paraId="65082ABB">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北京市文化市场监管调研及课题研究</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60AA45C8">
            <w:pP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完成了</w:t>
            </w:r>
            <w:r>
              <w:rPr>
                <w:rFonts w:hint="eastAsia" w:cs="宋体"/>
                <w:color w:val="000000"/>
                <w:kern w:val="0"/>
                <w:sz w:val="20"/>
                <w:szCs w:val="20"/>
                <w:lang w:val="en-US" w:eastAsia="zh-CN"/>
              </w:rPr>
              <w:t>相关</w:t>
            </w:r>
            <w:r>
              <w:rPr>
                <w:rFonts w:hint="eastAsia" w:ascii="Times New Roman" w:hAnsi="Times New Roman" w:eastAsia="宋体" w:cs="宋体"/>
                <w:color w:val="000000"/>
                <w:kern w:val="0"/>
                <w:sz w:val="20"/>
                <w:szCs w:val="20"/>
                <w:lang w:val="en-US" w:eastAsia="zh-CN"/>
              </w:rPr>
              <w:t>调研</w:t>
            </w:r>
            <w:r>
              <w:rPr>
                <w:rFonts w:hint="eastAsia" w:cs="宋体"/>
                <w:color w:val="000000"/>
                <w:kern w:val="0"/>
                <w:sz w:val="20"/>
                <w:szCs w:val="20"/>
                <w:lang w:val="en-US" w:eastAsia="zh-CN"/>
              </w:rPr>
              <w:t>工作任务</w:t>
            </w:r>
            <w:r>
              <w:rPr>
                <w:rFonts w:hint="eastAsia" w:ascii="Times New Roman" w:hAnsi="Times New Roman" w:eastAsia="宋体" w:cs="宋体"/>
                <w:color w:val="000000"/>
                <w:kern w:val="0"/>
                <w:sz w:val="20"/>
                <w:szCs w:val="20"/>
                <w:lang w:val="en-US" w:eastAsia="zh-CN"/>
              </w:rPr>
              <w:t>，调研成果为总队执法工作提供了一定的指导。</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48BD2CB8">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1.00</w:t>
            </w:r>
          </w:p>
        </w:tc>
        <w:tc>
          <w:tcPr>
            <w:tcW w:w="310" w:type="pct"/>
            <w:tcBorders>
              <w:top w:val="single" w:color="auto" w:sz="4" w:space="0"/>
              <w:left w:val="single" w:color="auto" w:sz="4" w:space="0"/>
              <w:bottom w:val="single" w:color="auto" w:sz="4" w:space="0"/>
              <w:right w:val="single" w:color="auto" w:sz="4" w:space="0"/>
            </w:tcBorders>
            <w:noWrap/>
            <w:vAlign w:val="center"/>
          </w:tcPr>
          <w:p w14:paraId="29DD7C76">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1.00</w:t>
            </w:r>
          </w:p>
        </w:tc>
      </w:tr>
      <w:tr w14:paraId="280386B2">
        <w:tblPrEx>
          <w:tblCellMar>
            <w:top w:w="0" w:type="dxa"/>
            <w:left w:w="108" w:type="dxa"/>
            <w:bottom w:w="0" w:type="dxa"/>
            <w:right w:w="108" w:type="dxa"/>
          </w:tblCellMar>
        </w:tblPrEx>
        <w:trPr>
          <w:cantSplit/>
          <w:trHeight w:val="4753" w:hRule="atLeast"/>
        </w:trPr>
        <w:tc>
          <w:tcPr>
            <w:tcW w:w="492" w:type="pct"/>
            <w:vMerge w:val="restart"/>
            <w:tcBorders>
              <w:top w:val="single" w:color="auto" w:sz="4" w:space="0"/>
              <w:left w:val="single" w:color="auto" w:sz="4" w:space="0"/>
              <w:right w:val="single" w:color="auto" w:sz="4" w:space="0"/>
            </w:tcBorders>
            <w:noWrap w:val="0"/>
            <w:vAlign w:val="center"/>
          </w:tcPr>
          <w:p w14:paraId="5FA83156">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续上页</w:t>
            </w:r>
          </w:p>
        </w:tc>
        <w:tc>
          <w:tcPr>
            <w:tcW w:w="561" w:type="pct"/>
            <w:tcBorders>
              <w:top w:val="single" w:color="auto" w:sz="4" w:space="0"/>
              <w:left w:val="single" w:color="auto" w:sz="4" w:space="0"/>
              <w:bottom w:val="single" w:color="auto" w:sz="4" w:space="0"/>
              <w:right w:val="single" w:color="auto" w:sz="4" w:space="0"/>
            </w:tcBorders>
            <w:noWrap w:val="0"/>
            <w:vAlign w:val="center"/>
          </w:tcPr>
          <w:p w14:paraId="2944E425">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续上页</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198FD3AD">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党建工作（2分）</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69522D04">
            <w:pPr>
              <w:widowControl/>
              <w:jc w:val="center"/>
              <w:rPr>
                <w:rFonts w:hint="eastAsia" w:ascii="Times New Roman" w:hAnsi="Times New Roman" w:eastAsia="宋体" w:cs="宋体"/>
                <w:color w:val="000000"/>
                <w:kern w:val="0"/>
                <w:sz w:val="20"/>
                <w:szCs w:val="20"/>
                <w:lang w:val="en-US"/>
              </w:rPr>
            </w:pPr>
            <w:r>
              <w:rPr>
                <w:rFonts w:hint="eastAsia" w:ascii="Times New Roman" w:hAnsi="Times New Roman" w:eastAsia="宋体" w:cs="宋体"/>
                <w:color w:val="000000"/>
                <w:kern w:val="0"/>
                <w:sz w:val="20"/>
                <w:szCs w:val="20"/>
              </w:rPr>
              <w:t>　</w:t>
            </w:r>
            <w:r>
              <w:rPr>
                <w:rFonts w:hint="eastAsia" w:ascii="Times New Roman" w:hAnsi="Times New Roman" w:eastAsia="宋体" w:cs="宋体"/>
                <w:color w:val="000000"/>
                <w:kern w:val="0"/>
                <w:sz w:val="20"/>
                <w:szCs w:val="20"/>
                <w:lang w:val="en-US" w:eastAsia="zh-CN"/>
              </w:rPr>
              <w:t>深入贯彻党的二十大和二十届二中、三中全会精神，持续开展党建和党风廉政建设</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088E4BA6">
            <w:pPr>
              <w:widowControl/>
              <w:jc w:val="both"/>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一是</w:t>
            </w:r>
            <w:r>
              <w:rPr>
                <w:rFonts w:hint="eastAsia" w:ascii="Times New Roman" w:hAnsi="Times New Roman" w:eastAsia="宋体" w:cs="宋体"/>
                <w:color w:val="000000"/>
                <w:kern w:val="0"/>
                <w:sz w:val="20"/>
                <w:szCs w:val="20"/>
                <w:lang w:val="en-US" w:eastAsia="zh-CN"/>
              </w:rPr>
              <w:t>组织开展“第一议题”学习52次，发布“每日微党课”249条。研究出台《关于巩固拓展主题教育成果的任务清单》，明确31项具体任务，全面落实“四个以学”长效机制。</w:t>
            </w:r>
          </w:p>
          <w:p w14:paraId="2635C435">
            <w:pPr>
              <w:widowControl/>
              <w:jc w:val="both"/>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 xml:space="preserve">二是高质量办结上级交办案事件455件，形成总结报告182篇，制度方案48个，多次获得各级领导肯定性批示。 </w:t>
            </w:r>
          </w:p>
          <w:p w14:paraId="2E165EF2">
            <w:pPr>
              <w:widowControl/>
              <w:jc w:val="both"/>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三是针对巡视组中期反馈问题，组织自查整治专题民主生活会，认真查摆5个方面15项问题。研究出台整改方案，提出32项整改措施，修订完善制度16个，新建制度13个，完成整改30项，切实做到以巡促改、以巡促建、以巡促治。</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1673A680">
            <w:pPr>
              <w:widowControl/>
              <w:jc w:val="left"/>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c>
          <w:tcPr>
            <w:tcW w:w="310" w:type="pct"/>
            <w:tcBorders>
              <w:top w:val="single" w:color="auto" w:sz="4" w:space="0"/>
              <w:left w:val="single" w:color="auto" w:sz="4" w:space="0"/>
              <w:bottom w:val="single" w:color="auto" w:sz="4" w:space="0"/>
              <w:right w:val="single" w:color="auto" w:sz="4" w:space="0"/>
            </w:tcBorders>
            <w:noWrap/>
            <w:vAlign w:val="center"/>
          </w:tcPr>
          <w:p w14:paraId="01BC7F72">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2.00</w:t>
            </w:r>
            <w:r>
              <w:rPr>
                <w:rFonts w:hint="eastAsia" w:ascii="Times New Roman" w:hAnsi="Times New Roman" w:eastAsia="宋体" w:cs="宋体"/>
                <w:color w:val="000000"/>
                <w:kern w:val="0"/>
                <w:sz w:val="20"/>
                <w:szCs w:val="20"/>
              </w:rPr>
              <w:t>　</w:t>
            </w:r>
          </w:p>
        </w:tc>
      </w:tr>
      <w:tr w14:paraId="337B9F92">
        <w:tblPrEx>
          <w:tblCellMar>
            <w:top w:w="0" w:type="dxa"/>
            <w:left w:w="108" w:type="dxa"/>
            <w:bottom w:w="0" w:type="dxa"/>
            <w:right w:w="108" w:type="dxa"/>
          </w:tblCellMar>
        </w:tblPrEx>
        <w:trPr>
          <w:cantSplit/>
          <w:trHeight w:val="3561" w:hRule="atLeast"/>
        </w:trPr>
        <w:tc>
          <w:tcPr>
            <w:tcW w:w="492" w:type="pct"/>
            <w:vMerge w:val="continue"/>
            <w:tcBorders>
              <w:left w:val="single" w:color="auto" w:sz="4" w:space="0"/>
              <w:bottom w:val="single" w:color="auto" w:sz="4" w:space="0"/>
              <w:right w:val="single" w:color="auto" w:sz="4" w:space="0"/>
            </w:tcBorders>
            <w:noWrap w:val="0"/>
            <w:vAlign w:val="center"/>
          </w:tcPr>
          <w:p w14:paraId="00B1FFA6">
            <w:pPr>
              <w:widowControl/>
              <w:jc w:val="left"/>
              <w:rPr>
                <w:rFonts w:hint="eastAsia" w:ascii="Times New Roman" w:hAnsi="Times New Roman" w:eastAsia="宋体" w:cs="宋体"/>
                <w:color w:val="000000"/>
                <w:kern w:val="0"/>
                <w:sz w:val="20"/>
                <w:szCs w:val="20"/>
              </w:rPr>
            </w:pPr>
          </w:p>
        </w:tc>
        <w:tc>
          <w:tcPr>
            <w:tcW w:w="561" w:type="pct"/>
            <w:tcBorders>
              <w:top w:val="single" w:color="auto" w:sz="4" w:space="0"/>
              <w:left w:val="single" w:color="auto" w:sz="4" w:space="0"/>
              <w:bottom w:val="single" w:color="auto" w:sz="4" w:space="0"/>
              <w:right w:val="single" w:color="auto" w:sz="4" w:space="0"/>
            </w:tcBorders>
            <w:noWrap w:val="0"/>
            <w:vAlign w:val="center"/>
          </w:tcPr>
          <w:p w14:paraId="0964C6BE">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效果（30）</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1ACED22E">
            <w:pPr>
              <w:widowControl/>
              <w:jc w:val="both"/>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社会效益（24分）</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31A2D208">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提高执法办案工作能力</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6A81B306">
            <w:pPr>
              <w:widowControl/>
              <w:jc w:val="both"/>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一是持续优化“普训+专训+特训”执法培训体系，组织全市执法骨干培训，提升了执法人员法律素养，执法队伍依法行政能力水平显著提升.</w:t>
            </w:r>
          </w:p>
          <w:p w14:paraId="1DFDF919">
            <w:pPr>
              <w:widowControl/>
              <w:jc w:val="both"/>
              <w:rPr>
                <w:rFonts w:hint="default"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二是</w:t>
            </w:r>
            <w:r>
              <w:rPr>
                <w:rFonts w:hint="eastAsia" w:ascii="Times New Roman" w:hAnsi="Times New Roman" w:cs="宋体"/>
                <w:color w:val="000000"/>
                <w:kern w:val="0"/>
                <w:sz w:val="20"/>
                <w:szCs w:val="20"/>
                <w:lang w:val="en-US" w:eastAsia="zh-CN"/>
              </w:rPr>
              <w:t>开</w:t>
            </w:r>
            <w:r>
              <w:rPr>
                <w:rFonts w:hint="eastAsia" w:ascii="Times New Roman" w:hAnsi="Times New Roman" w:eastAsia="宋体" w:cs="宋体"/>
                <w:color w:val="000000"/>
                <w:kern w:val="0"/>
                <w:sz w:val="20"/>
                <w:szCs w:val="20"/>
                <w:lang w:val="en-US" w:eastAsia="zh-CN"/>
              </w:rPr>
              <w:t>展全市执法师资评选活动，利用师资评选活动挖掘优秀实务人才，形成“专家型”师资库，有助于解决基层培训资源不足问题。三是强化执法人员综合能力大练兵，砥砺全市文化执法队伍能力作风，推动打造全面过硬首都文化铁军，积极锤炼“敏感、预判、决断”首都文化执法三项基本</w:t>
            </w:r>
            <w:r>
              <w:rPr>
                <w:rFonts w:hint="eastAsia" w:ascii="Times New Roman" w:hAnsi="Times New Roman" w:cs="宋体"/>
                <w:color w:val="000000"/>
                <w:kern w:val="0"/>
                <w:sz w:val="20"/>
                <w:szCs w:val="20"/>
                <w:lang w:val="en-US" w:eastAsia="zh-CN"/>
              </w:rPr>
              <w:t>功。</w:t>
            </w:r>
          </w:p>
        </w:tc>
        <w:tc>
          <w:tcPr>
            <w:tcW w:w="258" w:type="pct"/>
            <w:tcBorders>
              <w:top w:val="single" w:color="auto" w:sz="4" w:space="0"/>
              <w:left w:val="single" w:color="auto" w:sz="4" w:space="0"/>
              <w:bottom w:val="single" w:color="auto" w:sz="4" w:space="0"/>
              <w:right w:val="single" w:color="auto" w:sz="4" w:space="0"/>
            </w:tcBorders>
            <w:noWrap/>
            <w:vAlign w:val="center"/>
          </w:tcPr>
          <w:p w14:paraId="3381D8EF">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8.00</w:t>
            </w:r>
          </w:p>
        </w:tc>
        <w:tc>
          <w:tcPr>
            <w:tcW w:w="310" w:type="pct"/>
            <w:tcBorders>
              <w:top w:val="single" w:color="auto" w:sz="4" w:space="0"/>
              <w:left w:val="single" w:color="auto" w:sz="4" w:space="0"/>
              <w:bottom w:val="single" w:color="auto" w:sz="4" w:space="0"/>
              <w:right w:val="single" w:color="auto" w:sz="4" w:space="0"/>
            </w:tcBorders>
            <w:noWrap/>
            <w:vAlign w:val="center"/>
          </w:tcPr>
          <w:p w14:paraId="5F038F06">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8.00</w:t>
            </w:r>
          </w:p>
        </w:tc>
      </w:tr>
      <w:tr w14:paraId="17971E1E">
        <w:tblPrEx>
          <w:tblCellMar>
            <w:top w:w="0" w:type="dxa"/>
            <w:left w:w="108" w:type="dxa"/>
            <w:bottom w:w="0" w:type="dxa"/>
            <w:right w:w="108" w:type="dxa"/>
          </w:tblCellMar>
        </w:tblPrEx>
        <w:trPr>
          <w:cantSplit/>
          <w:trHeight w:val="5135" w:hRule="atLeast"/>
        </w:trPr>
        <w:tc>
          <w:tcPr>
            <w:tcW w:w="492" w:type="pct"/>
            <w:vMerge w:val="restart"/>
            <w:tcBorders>
              <w:top w:val="single" w:color="auto" w:sz="4" w:space="0"/>
              <w:left w:val="single" w:color="auto" w:sz="4" w:space="0"/>
              <w:right w:val="single" w:color="auto" w:sz="4" w:space="0"/>
            </w:tcBorders>
            <w:noWrap w:val="0"/>
            <w:vAlign w:val="center"/>
          </w:tcPr>
          <w:p w14:paraId="0557A288">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续上页</w:t>
            </w:r>
          </w:p>
        </w:tc>
        <w:tc>
          <w:tcPr>
            <w:tcW w:w="561" w:type="pct"/>
            <w:vMerge w:val="restart"/>
            <w:tcBorders>
              <w:top w:val="single" w:color="auto" w:sz="4" w:space="0"/>
              <w:left w:val="single" w:color="auto" w:sz="4" w:space="0"/>
              <w:right w:val="single" w:color="auto" w:sz="4" w:space="0"/>
            </w:tcBorders>
            <w:noWrap w:val="0"/>
            <w:vAlign w:val="center"/>
          </w:tcPr>
          <w:p w14:paraId="75F6CF3B">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续上页</w:t>
            </w:r>
          </w:p>
        </w:tc>
        <w:tc>
          <w:tcPr>
            <w:tcW w:w="609" w:type="pct"/>
            <w:vMerge w:val="restart"/>
            <w:tcBorders>
              <w:top w:val="single" w:color="auto" w:sz="4" w:space="0"/>
              <w:left w:val="single" w:color="auto" w:sz="4" w:space="0"/>
              <w:right w:val="single" w:color="auto" w:sz="4" w:space="0"/>
            </w:tcBorders>
            <w:noWrap w:val="0"/>
            <w:vAlign w:val="center"/>
          </w:tcPr>
          <w:p w14:paraId="33E9A7D2">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续上页</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5B3C2AE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推进文化执法专业化、规范化、现代化建设，履职效率、管理效能和服务效果进一步提升</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4B7F3D5E">
            <w:pPr>
              <w:widowControl/>
              <w:jc w:val="both"/>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一是深入推进“案件质量大提升”活动,修订完善全流程执法文书和相关制度文件，逐步构建“法制+支队+法制员”全流程执法监督体系，有效遏制“同案不同罚”“人情执法”等现象，推动提高执法的公开性和规范性，减少了程序违法导致的行政诉讼。</w:t>
            </w:r>
          </w:p>
          <w:p w14:paraId="2C36395A">
            <w:pPr>
              <w:widowControl/>
              <w:jc w:val="both"/>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二是持续深化区级文化市场综合执法改革。聚焦执法主业，确保执法力量充足。强化对区级执法队伍指导帮带，将指导区队案件办理情况纳入年度考核，推动基层执法质效提升。</w:t>
            </w:r>
          </w:p>
          <w:p w14:paraId="60D3D878">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　</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105B9CE3">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8.00</w:t>
            </w:r>
          </w:p>
        </w:tc>
        <w:tc>
          <w:tcPr>
            <w:tcW w:w="310" w:type="pct"/>
            <w:tcBorders>
              <w:top w:val="single" w:color="auto" w:sz="4" w:space="0"/>
              <w:left w:val="single" w:color="auto" w:sz="4" w:space="0"/>
              <w:bottom w:val="single" w:color="auto" w:sz="4" w:space="0"/>
              <w:right w:val="single" w:color="auto" w:sz="4" w:space="0"/>
            </w:tcBorders>
            <w:noWrap/>
            <w:vAlign w:val="center"/>
          </w:tcPr>
          <w:p w14:paraId="5BDCEEF4">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8.00</w:t>
            </w:r>
          </w:p>
        </w:tc>
      </w:tr>
      <w:tr w14:paraId="74B762C4">
        <w:tblPrEx>
          <w:tblCellMar>
            <w:top w:w="0" w:type="dxa"/>
            <w:left w:w="108" w:type="dxa"/>
            <w:bottom w:w="0" w:type="dxa"/>
            <w:right w:w="108" w:type="dxa"/>
          </w:tblCellMar>
        </w:tblPrEx>
        <w:trPr>
          <w:cantSplit/>
          <w:trHeight w:val="4318" w:hRule="atLeast"/>
        </w:trPr>
        <w:tc>
          <w:tcPr>
            <w:tcW w:w="492" w:type="pct"/>
            <w:vMerge w:val="continue"/>
            <w:tcBorders>
              <w:left w:val="single" w:color="auto" w:sz="4" w:space="0"/>
              <w:bottom w:val="single" w:color="auto" w:sz="4" w:space="0"/>
              <w:right w:val="single" w:color="auto" w:sz="4" w:space="0"/>
            </w:tcBorders>
            <w:noWrap w:val="0"/>
            <w:vAlign w:val="center"/>
          </w:tcPr>
          <w:p w14:paraId="40FE438E">
            <w:pPr>
              <w:widowControl/>
              <w:jc w:val="left"/>
              <w:rPr>
                <w:rFonts w:hint="eastAsia" w:ascii="Times New Roman" w:hAnsi="Times New Roman" w:eastAsia="宋体" w:cs="宋体"/>
                <w:color w:val="000000"/>
                <w:kern w:val="0"/>
                <w:sz w:val="20"/>
                <w:szCs w:val="20"/>
              </w:rPr>
            </w:pPr>
          </w:p>
        </w:tc>
        <w:tc>
          <w:tcPr>
            <w:tcW w:w="561" w:type="pct"/>
            <w:vMerge w:val="continue"/>
            <w:tcBorders>
              <w:left w:val="single" w:color="auto" w:sz="4" w:space="0"/>
              <w:bottom w:val="single" w:color="auto" w:sz="4" w:space="0"/>
              <w:right w:val="single" w:color="auto" w:sz="4" w:space="0"/>
            </w:tcBorders>
            <w:noWrap w:val="0"/>
            <w:vAlign w:val="center"/>
          </w:tcPr>
          <w:p w14:paraId="72C40ED4">
            <w:pPr>
              <w:widowControl/>
              <w:jc w:val="left"/>
              <w:rPr>
                <w:rFonts w:hint="eastAsia" w:ascii="Times New Roman" w:hAnsi="Times New Roman" w:eastAsia="宋体" w:cs="宋体"/>
                <w:color w:val="000000"/>
                <w:kern w:val="0"/>
                <w:sz w:val="20"/>
                <w:szCs w:val="20"/>
              </w:rPr>
            </w:pPr>
          </w:p>
        </w:tc>
        <w:tc>
          <w:tcPr>
            <w:tcW w:w="609" w:type="pct"/>
            <w:vMerge w:val="continue"/>
            <w:tcBorders>
              <w:left w:val="single" w:color="auto" w:sz="4" w:space="0"/>
              <w:bottom w:val="single" w:color="auto" w:sz="4" w:space="0"/>
              <w:right w:val="single" w:color="auto" w:sz="4" w:space="0"/>
            </w:tcBorders>
            <w:noWrap w:val="0"/>
            <w:vAlign w:val="center"/>
          </w:tcPr>
          <w:p w14:paraId="18E69877">
            <w:pPr>
              <w:widowControl/>
              <w:jc w:val="center"/>
              <w:rPr>
                <w:rFonts w:hint="eastAsia" w:ascii="Times New Roman" w:hAnsi="Times New Roman" w:eastAsia="宋体" w:cs="宋体"/>
                <w:color w:val="000000"/>
                <w:kern w:val="0"/>
                <w:sz w:val="20"/>
                <w:szCs w:val="20"/>
              </w:rPr>
            </w:pPr>
          </w:p>
        </w:tc>
        <w:tc>
          <w:tcPr>
            <w:tcW w:w="1131"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5DEB0033">
            <w:pPr>
              <w:widowControl/>
              <w:jc w:val="center"/>
              <w:rPr>
                <w:rFonts w:hint="eastAsia" w:ascii="Times New Roman" w:hAnsi="Times New Roman" w:eastAsia="宋体" w:cs="宋体"/>
                <w:color w:val="000000"/>
                <w:kern w:val="0"/>
                <w:sz w:val="20"/>
                <w:szCs w:val="20"/>
                <w:lang w:val="en-US" w:eastAsia="zh-CN" w:bidi="ar-SA"/>
              </w:rPr>
            </w:pPr>
            <w:r>
              <w:rPr>
                <w:rFonts w:hint="eastAsia" w:ascii="Times New Roman" w:hAnsi="Times New Roman" w:eastAsia="宋体" w:cs="宋体"/>
                <w:color w:val="000000"/>
                <w:kern w:val="0"/>
                <w:sz w:val="20"/>
                <w:szCs w:val="20"/>
                <w:lang w:val="en-US" w:eastAsia="zh-CN"/>
              </w:rPr>
              <w:t>维护首都文化市场健康有序、安全稳定</w:t>
            </w:r>
          </w:p>
        </w:tc>
        <w:tc>
          <w:tcPr>
            <w:tcW w:w="1635" w:type="pct"/>
            <w:vMerge w:val="restart"/>
            <w:tcBorders>
              <w:top w:val="single" w:color="auto" w:sz="4" w:space="0"/>
              <w:left w:val="single" w:color="auto" w:sz="4" w:space="0"/>
              <w:bottom w:val="single" w:color="auto" w:sz="4" w:space="0"/>
              <w:right w:val="single" w:color="auto" w:sz="4" w:space="0"/>
            </w:tcBorders>
            <w:noWrap w:val="0"/>
            <w:vAlign w:val="center"/>
          </w:tcPr>
          <w:p w14:paraId="432E2FE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left"/>
              <w:textAlignment w:val="auto"/>
              <w:rPr>
                <w:rFonts w:hint="eastAsia" w:ascii="Times New Roman" w:hAnsi="Times New Roman" w:eastAsia="宋体" w:cs="宋体"/>
                <w:b w:val="0"/>
                <w:bCs w:val="0"/>
                <w:color w:val="000000"/>
                <w:kern w:val="0"/>
                <w:sz w:val="20"/>
                <w:szCs w:val="20"/>
                <w:lang w:val="en-US" w:eastAsia="zh-CN" w:bidi="ar-SA"/>
              </w:rPr>
            </w:pPr>
            <w:r>
              <w:rPr>
                <w:rFonts w:hint="eastAsia" w:ascii="Times New Roman" w:hAnsi="Times New Roman" w:eastAsia="宋体" w:cs="宋体"/>
                <w:b w:val="0"/>
                <w:bCs w:val="0"/>
                <w:color w:val="000000"/>
                <w:kern w:val="0"/>
                <w:sz w:val="20"/>
                <w:szCs w:val="20"/>
                <w:lang w:val="en-US" w:eastAsia="zh-CN" w:bidi="ar-SA"/>
              </w:rPr>
              <w:t>一是强化文旅市场专项整治，严厉打击“黑导游”“不合理低价游”“虚假宣传”等乱象，保护合法经营者权益，维护市场秩序，保障公平竞争。打击强制购物、价格欺诈等行为，查处“黑车”“非法一日游”等行为，保护消费者权益，降低旅游安全事故率，增强旅游体验，推动综合治理体系不断健全。</w:t>
            </w:r>
          </w:p>
          <w:p w14:paraId="53DF6068">
            <w:pPr>
              <w:pStyle w:val="2"/>
              <w:keepNext w:val="0"/>
              <w:keepLines w:val="0"/>
              <w:pageBreakBefore w:val="0"/>
              <w:widowControl w:val="0"/>
              <w:kinsoku/>
              <w:wordWrap/>
              <w:overflowPunct/>
              <w:topLinePunct w:val="0"/>
              <w:autoSpaceDE/>
              <w:autoSpaceDN/>
              <w:bidi w:val="0"/>
              <w:adjustRightInd/>
              <w:snapToGrid/>
              <w:spacing w:before="0" w:after="0" w:line="240" w:lineRule="auto"/>
              <w:ind w:right="0"/>
              <w:textAlignment w:val="auto"/>
              <w:rPr>
                <w:rFonts w:hint="eastAsia" w:ascii="Times New Roman" w:hAnsi="Times New Roman" w:eastAsia="宋体" w:cs="宋体"/>
                <w:b w:val="0"/>
                <w:bCs w:val="0"/>
                <w:color w:val="000000"/>
                <w:kern w:val="0"/>
                <w:sz w:val="20"/>
                <w:szCs w:val="20"/>
                <w:lang w:val="en-US" w:eastAsia="zh-CN" w:bidi="ar-SA"/>
              </w:rPr>
            </w:pPr>
            <w:r>
              <w:rPr>
                <w:rFonts w:hint="eastAsia" w:ascii="Times New Roman" w:hAnsi="Times New Roman" w:eastAsia="宋体" w:cs="宋体"/>
                <w:b w:val="0"/>
                <w:bCs w:val="0"/>
                <w:color w:val="000000"/>
                <w:kern w:val="0"/>
                <w:sz w:val="20"/>
                <w:szCs w:val="20"/>
                <w:lang w:val="en-US" w:eastAsia="zh-CN" w:bidi="ar-SA"/>
              </w:rPr>
              <w:t>二是聚力营造法治化营商环境，构建“守信激励”生态。</w:t>
            </w:r>
          </w:p>
          <w:p w14:paraId="62770B63">
            <w:pPr>
              <w:pStyle w:val="2"/>
              <w:keepNext w:val="0"/>
              <w:keepLines w:val="0"/>
              <w:pageBreakBefore w:val="0"/>
              <w:widowControl w:val="0"/>
              <w:kinsoku/>
              <w:wordWrap/>
              <w:overflowPunct/>
              <w:topLinePunct w:val="0"/>
              <w:autoSpaceDE/>
              <w:autoSpaceDN/>
              <w:bidi w:val="0"/>
              <w:adjustRightInd/>
              <w:snapToGrid/>
              <w:spacing w:before="0" w:after="0" w:line="240" w:lineRule="auto"/>
              <w:ind w:right="0"/>
              <w:textAlignment w:val="auto"/>
              <w:rPr>
                <w:rFonts w:hint="eastAsia" w:ascii="Times New Roman" w:hAnsi="Times New Roman" w:eastAsia="宋体" w:cs="宋体"/>
                <w:color w:val="000000"/>
                <w:kern w:val="0"/>
                <w:sz w:val="20"/>
                <w:szCs w:val="20"/>
              </w:rPr>
            </w:pPr>
            <w:r>
              <w:rPr>
                <w:rFonts w:hint="eastAsia" w:cs="宋体"/>
                <w:b w:val="0"/>
                <w:bCs w:val="0"/>
                <w:color w:val="000000"/>
                <w:kern w:val="0"/>
                <w:sz w:val="20"/>
                <w:szCs w:val="20"/>
                <w:lang w:val="en-US" w:eastAsia="zh-CN" w:bidi="ar-SA"/>
              </w:rPr>
              <w:t>三</w:t>
            </w:r>
            <w:r>
              <w:rPr>
                <w:rFonts w:hint="eastAsia" w:ascii="Times New Roman" w:hAnsi="Times New Roman" w:eastAsia="宋体" w:cs="宋体"/>
                <w:b w:val="0"/>
                <w:bCs w:val="0"/>
                <w:color w:val="000000"/>
                <w:kern w:val="0"/>
                <w:sz w:val="20"/>
                <w:szCs w:val="20"/>
                <w:lang w:val="en-US" w:eastAsia="zh-CN" w:bidi="ar-SA"/>
              </w:rPr>
              <w:t>是深入推进执法监管协同联动。通过联合执法专项行动，有效遏制了非法出版物的跨区域流通，维护了三地文化市场秩序。跨区域联合执法强化了文化遗产保护，防止破坏性开发，助力京津冀文旅一体化发展。</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7BB4DDE3">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8.00</w:t>
            </w:r>
          </w:p>
        </w:tc>
        <w:tc>
          <w:tcPr>
            <w:tcW w:w="310" w:type="pct"/>
            <w:tcBorders>
              <w:top w:val="single" w:color="auto" w:sz="4" w:space="0"/>
              <w:left w:val="single" w:color="auto" w:sz="4" w:space="0"/>
              <w:bottom w:val="single" w:color="auto" w:sz="4" w:space="0"/>
              <w:right w:val="single" w:color="auto" w:sz="4" w:space="0"/>
            </w:tcBorders>
            <w:noWrap/>
            <w:vAlign w:val="center"/>
          </w:tcPr>
          <w:p w14:paraId="11FC09AF">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8.00</w:t>
            </w:r>
          </w:p>
        </w:tc>
      </w:tr>
      <w:tr w14:paraId="406C5C58">
        <w:tblPrEx>
          <w:tblCellMar>
            <w:top w:w="0" w:type="dxa"/>
            <w:left w:w="108" w:type="dxa"/>
            <w:bottom w:w="0" w:type="dxa"/>
            <w:right w:w="108" w:type="dxa"/>
          </w:tblCellMar>
        </w:tblPrEx>
        <w:trPr>
          <w:cantSplit/>
          <w:trHeight w:val="5117" w:hRule="atLeast"/>
        </w:trPr>
        <w:tc>
          <w:tcPr>
            <w:tcW w:w="492" w:type="pct"/>
            <w:tcBorders>
              <w:top w:val="single" w:color="auto" w:sz="4" w:space="0"/>
              <w:left w:val="single" w:color="auto" w:sz="4" w:space="0"/>
              <w:right w:val="single" w:color="auto" w:sz="4" w:space="0"/>
            </w:tcBorders>
            <w:noWrap w:val="0"/>
            <w:vAlign w:val="center"/>
          </w:tcPr>
          <w:p w14:paraId="711D049E">
            <w:pPr>
              <w:widowControl/>
              <w:jc w:val="center"/>
              <w:rPr>
                <w:rFonts w:hint="eastAsia" w:ascii="Times New Roman" w:hAnsi="Times New Roman" w:cs="宋体"/>
                <w:color w:val="000000"/>
                <w:kern w:val="0"/>
                <w:sz w:val="20"/>
                <w:szCs w:val="20"/>
                <w:lang w:val="en-US" w:eastAsia="zh-CN"/>
              </w:rPr>
            </w:pPr>
          </w:p>
          <w:p w14:paraId="13AA889E">
            <w:pPr>
              <w:widowControl/>
              <w:jc w:val="center"/>
              <w:rPr>
                <w:rFonts w:hint="eastAsia" w:ascii="Times New Roman" w:hAnsi="Times New Roman" w:cs="宋体"/>
                <w:color w:val="000000"/>
                <w:kern w:val="0"/>
                <w:sz w:val="20"/>
                <w:szCs w:val="20"/>
                <w:lang w:val="en-US" w:eastAsia="zh-CN"/>
              </w:rPr>
            </w:pPr>
          </w:p>
          <w:p w14:paraId="0F400EE1">
            <w:pPr>
              <w:widowControl/>
              <w:jc w:val="center"/>
              <w:rPr>
                <w:rFonts w:hint="eastAsia" w:ascii="Times New Roman" w:hAnsi="Times New Roman" w:cs="宋体"/>
                <w:color w:val="000000"/>
                <w:kern w:val="0"/>
                <w:sz w:val="20"/>
                <w:szCs w:val="20"/>
                <w:lang w:val="en-US" w:eastAsia="zh-CN"/>
              </w:rPr>
            </w:pPr>
          </w:p>
          <w:p w14:paraId="1EA73A7D">
            <w:pPr>
              <w:widowControl/>
              <w:jc w:val="center"/>
              <w:rPr>
                <w:rFonts w:hint="eastAsia" w:ascii="Times New Roman" w:hAnsi="Times New Roman" w:cs="宋体"/>
                <w:color w:val="000000"/>
                <w:kern w:val="0"/>
                <w:sz w:val="20"/>
                <w:szCs w:val="20"/>
                <w:lang w:val="en-US" w:eastAsia="zh-CN"/>
              </w:rPr>
            </w:pPr>
          </w:p>
          <w:p w14:paraId="222904EE">
            <w:pPr>
              <w:widowControl/>
              <w:jc w:val="center"/>
              <w:rPr>
                <w:rFonts w:hint="eastAsia" w:ascii="Times New Roman" w:hAnsi="Times New Roman" w:cs="宋体"/>
                <w:color w:val="000000"/>
                <w:kern w:val="0"/>
                <w:sz w:val="20"/>
                <w:szCs w:val="20"/>
                <w:lang w:val="en-US" w:eastAsia="zh-CN"/>
              </w:rPr>
            </w:pPr>
          </w:p>
          <w:p w14:paraId="5DB2F486">
            <w:pPr>
              <w:widowControl/>
              <w:jc w:val="center"/>
              <w:rPr>
                <w:rFonts w:hint="eastAsia" w:ascii="Times New Roman" w:hAnsi="Times New Roman" w:cs="宋体"/>
                <w:color w:val="000000"/>
                <w:kern w:val="0"/>
                <w:sz w:val="20"/>
                <w:szCs w:val="20"/>
                <w:lang w:val="en-US" w:eastAsia="zh-CN"/>
              </w:rPr>
            </w:pPr>
          </w:p>
          <w:p w14:paraId="1B058FE1">
            <w:pPr>
              <w:widowControl/>
              <w:jc w:val="center"/>
              <w:rPr>
                <w:rFonts w:hint="eastAsia" w:ascii="Times New Roman" w:hAnsi="Times New Roman" w:cs="宋体"/>
                <w:color w:val="000000"/>
                <w:kern w:val="0"/>
                <w:sz w:val="20"/>
                <w:szCs w:val="20"/>
                <w:lang w:val="en-US" w:eastAsia="zh-CN"/>
              </w:rPr>
            </w:pPr>
          </w:p>
          <w:p w14:paraId="44DA5B5D">
            <w:pPr>
              <w:widowControl/>
              <w:jc w:val="center"/>
              <w:rPr>
                <w:rFonts w:hint="eastAsia" w:ascii="Times New Roman" w:hAnsi="Times New Roman" w:cs="宋体"/>
                <w:color w:val="000000"/>
                <w:kern w:val="0"/>
                <w:sz w:val="20"/>
                <w:szCs w:val="20"/>
                <w:lang w:val="en-US" w:eastAsia="zh-CN"/>
              </w:rPr>
            </w:pPr>
          </w:p>
          <w:p w14:paraId="07F5A670">
            <w:pPr>
              <w:widowControl/>
              <w:jc w:val="center"/>
              <w:rPr>
                <w:rFonts w:hint="eastAsia" w:ascii="Times New Roman" w:hAnsi="Times New Roman" w:cs="宋体"/>
                <w:color w:val="000000"/>
                <w:kern w:val="0"/>
                <w:sz w:val="20"/>
                <w:szCs w:val="20"/>
                <w:lang w:val="en-US" w:eastAsia="zh-CN"/>
              </w:rPr>
            </w:pPr>
          </w:p>
          <w:p w14:paraId="71628A56">
            <w:pPr>
              <w:widowControl/>
              <w:jc w:val="center"/>
              <w:rPr>
                <w:rFonts w:hint="eastAsia" w:ascii="Times New Roman" w:hAnsi="Times New Roman" w:cs="宋体"/>
                <w:color w:val="000000"/>
                <w:kern w:val="0"/>
                <w:sz w:val="20"/>
                <w:szCs w:val="20"/>
                <w:lang w:val="en-US" w:eastAsia="zh-CN"/>
              </w:rPr>
            </w:pPr>
          </w:p>
          <w:p w14:paraId="230ADD6A">
            <w:pPr>
              <w:widowControl/>
              <w:jc w:val="center"/>
              <w:rPr>
                <w:rFonts w:hint="eastAsia" w:ascii="Times New Roman" w:hAnsi="Times New Roman" w:cs="宋体"/>
                <w:color w:val="000000"/>
                <w:kern w:val="0"/>
                <w:sz w:val="20"/>
                <w:szCs w:val="20"/>
                <w:lang w:val="en-US" w:eastAsia="zh-CN"/>
              </w:rPr>
            </w:pPr>
          </w:p>
          <w:p w14:paraId="1C8D4533">
            <w:pPr>
              <w:widowControl/>
              <w:jc w:val="center"/>
              <w:rPr>
                <w:rFonts w:hint="eastAsia" w:ascii="Times New Roman" w:hAnsi="Times New Roman" w:cs="宋体"/>
                <w:color w:val="000000"/>
                <w:kern w:val="0"/>
                <w:sz w:val="20"/>
                <w:szCs w:val="20"/>
                <w:lang w:val="en-US" w:eastAsia="zh-CN"/>
              </w:rPr>
            </w:pPr>
          </w:p>
          <w:p w14:paraId="6DB55B28">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续上页</w:t>
            </w:r>
          </w:p>
        </w:tc>
        <w:tc>
          <w:tcPr>
            <w:tcW w:w="561" w:type="pct"/>
            <w:tcBorders>
              <w:top w:val="single" w:color="auto" w:sz="4" w:space="0"/>
              <w:left w:val="single" w:color="auto" w:sz="4" w:space="0"/>
              <w:right w:val="single" w:color="auto" w:sz="4" w:space="0"/>
            </w:tcBorders>
            <w:noWrap w:val="0"/>
            <w:vAlign w:val="center"/>
          </w:tcPr>
          <w:p w14:paraId="7482F63C">
            <w:pPr>
              <w:widowControl/>
              <w:jc w:val="center"/>
              <w:rPr>
                <w:rFonts w:hint="eastAsia" w:ascii="Times New Roman" w:hAnsi="Times New Roman" w:cs="宋体"/>
                <w:color w:val="000000"/>
                <w:kern w:val="0"/>
                <w:sz w:val="20"/>
                <w:szCs w:val="20"/>
                <w:lang w:val="en-US" w:eastAsia="zh-CN"/>
              </w:rPr>
            </w:pPr>
          </w:p>
          <w:p w14:paraId="1ABADB7E">
            <w:pPr>
              <w:widowControl/>
              <w:jc w:val="center"/>
              <w:rPr>
                <w:rFonts w:hint="eastAsia" w:ascii="Times New Roman" w:hAnsi="Times New Roman" w:cs="宋体"/>
                <w:color w:val="000000"/>
                <w:kern w:val="0"/>
                <w:sz w:val="20"/>
                <w:szCs w:val="20"/>
                <w:lang w:val="en-US" w:eastAsia="zh-CN"/>
              </w:rPr>
            </w:pPr>
          </w:p>
          <w:p w14:paraId="18541F88">
            <w:pPr>
              <w:widowControl/>
              <w:jc w:val="center"/>
              <w:rPr>
                <w:rFonts w:hint="eastAsia" w:ascii="Times New Roman" w:hAnsi="Times New Roman" w:cs="宋体"/>
                <w:color w:val="000000"/>
                <w:kern w:val="0"/>
                <w:sz w:val="20"/>
                <w:szCs w:val="20"/>
                <w:lang w:val="en-US" w:eastAsia="zh-CN"/>
              </w:rPr>
            </w:pPr>
          </w:p>
          <w:p w14:paraId="63C2443A">
            <w:pPr>
              <w:widowControl/>
              <w:jc w:val="center"/>
              <w:rPr>
                <w:rFonts w:hint="eastAsia" w:ascii="Times New Roman" w:hAnsi="Times New Roman" w:cs="宋体"/>
                <w:color w:val="000000"/>
                <w:kern w:val="0"/>
                <w:sz w:val="20"/>
                <w:szCs w:val="20"/>
                <w:lang w:val="en-US" w:eastAsia="zh-CN"/>
              </w:rPr>
            </w:pPr>
          </w:p>
          <w:p w14:paraId="4E0C0235">
            <w:pPr>
              <w:widowControl/>
              <w:jc w:val="center"/>
              <w:rPr>
                <w:rFonts w:hint="eastAsia" w:ascii="Times New Roman" w:hAnsi="Times New Roman" w:cs="宋体"/>
                <w:color w:val="000000"/>
                <w:kern w:val="0"/>
                <w:sz w:val="20"/>
                <w:szCs w:val="20"/>
                <w:lang w:val="en-US" w:eastAsia="zh-CN"/>
              </w:rPr>
            </w:pPr>
          </w:p>
          <w:p w14:paraId="2395C54C">
            <w:pPr>
              <w:widowControl/>
              <w:jc w:val="center"/>
              <w:rPr>
                <w:rFonts w:hint="eastAsia" w:ascii="Times New Roman" w:hAnsi="Times New Roman" w:cs="宋体"/>
                <w:color w:val="000000"/>
                <w:kern w:val="0"/>
                <w:sz w:val="20"/>
                <w:szCs w:val="20"/>
                <w:lang w:val="en-US" w:eastAsia="zh-CN"/>
              </w:rPr>
            </w:pPr>
          </w:p>
          <w:p w14:paraId="260C4D28">
            <w:pPr>
              <w:widowControl/>
              <w:jc w:val="center"/>
              <w:rPr>
                <w:rFonts w:hint="eastAsia" w:ascii="Times New Roman" w:hAnsi="Times New Roman" w:cs="宋体"/>
                <w:color w:val="000000"/>
                <w:kern w:val="0"/>
                <w:sz w:val="20"/>
                <w:szCs w:val="20"/>
                <w:lang w:val="en-US" w:eastAsia="zh-CN"/>
              </w:rPr>
            </w:pPr>
          </w:p>
          <w:p w14:paraId="1D37930F">
            <w:pPr>
              <w:widowControl/>
              <w:jc w:val="center"/>
              <w:rPr>
                <w:rFonts w:hint="eastAsia" w:ascii="Times New Roman" w:hAnsi="Times New Roman" w:cs="宋体"/>
                <w:color w:val="000000"/>
                <w:kern w:val="0"/>
                <w:sz w:val="20"/>
                <w:szCs w:val="20"/>
                <w:lang w:val="en-US" w:eastAsia="zh-CN"/>
              </w:rPr>
            </w:pPr>
          </w:p>
          <w:p w14:paraId="4EE19609">
            <w:pPr>
              <w:widowControl/>
              <w:jc w:val="center"/>
              <w:rPr>
                <w:rFonts w:hint="eastAsia" w:ascii="Times New Roman" w:hAnsi="Times New Roman" w:cs="宋体"/>
                <w:color w:val="000000"/>
                <w:kern w:val="0"/>
                <w:sz w:val="20"/>
                <w:szCs w:val="20"/>
                <w:lang w:val="en-US" w:eastAsia="zh-CN"/>
              </w:rPr>
            </w:pPr>
          </w:p>
          <w:p w14:paraId="3994E5BD">
            <w:pPr>
              <w:widowControl/>
              <w:jc w:val="center"/>
              <w:rPr>
                <w:rFonts w:hint="eastAsia" w:ascii="Times New Roman" w:hAnsi="Times New Roman" w:cs="宋体"/>
                <w:color w:val="000000"/>
                <w:kern w:val="0"/>
                <w:sz w:val="20"/>
                <w:szCs w:val="20"/>
                <w:lang w:val="en-US" w:eastAsia="zh-CN"/>
              </w:rPr>
            </w:pPr>
          </w:p>
          <w:p w14:paraId="6745803B">
            <w:pPr>
              <w:widowControl/>
              <w:jc w:val="center"/>
              <w:rPr>
                <w:rFonts w:hint="eastAsia" w:ascii="Times New Roman" w:hAnsi="Times New Roman" w:cs="宋体"/>
                <w:color w:val="000000"/>
                <w:kern w:val="0"/>
                <w:sz w:val="20"/>
                <w:szCs w:val="20"/>
                <w:lang w:val="en-US" w:eastAsia="zh-CN"/>
              </w:rPr>
            </w:pPr>
          </w:p>
          <w:p w14:paraId="4071377D">
            <w:pPr>
              <w:widowControl/>
              <w:jc w:val="center"/>
              <w:rPr>
                <w:rFonts w:hint="eastAsia" w:ascii="Times New Roman" w:hAnsi="Times New Roman" w:cs="宋体"/>
                <w:color w:val="000000"/>
                <w:kern w:val="0"/>
                <w:sz w:val="20"/>
                <w:szCs w:val="20"/>
                <w:lang w:val="en-US" w:eastAsia="zh-CN"/>
              </w:rPr>
            </w:pPr>
          </w:p>
          <w:p w14:paraId="4AEF9743">
            <w:pPr>
              <w:widowControl/>
              <w:jc w:val="center"/>
              <w:rPr>
                <w:rFonts w:hint="eastAsia" w:ascii="Times New Roman" w:hAnsi="Times New Roman" w:cs="宋体"/>
                <w:color w:val="000000"/>
                <w:kern w:val="0"/>
                <w:sz w:val="20"/>
                <w:szCs w:val="20"/>
                <w:lang w:val="en-US" w:eastAsia="zh-CN"/>
              </w:rPr>
            </w:pPr>
            <w:r>
              <w:rPr>
                <w:rFonts w:hint="eastAsia" w:ascii="Times New Roman" w:hAnsi="Times New Roman" w:cs="宋体"/>
                <w:color w:val="000000"/>
                <w:kern w:val="0"/>
                <w:sz w:val="20"/>
                <w:szCs w:val="20"/>
                <w:lang w:val="en-US" w:eastAsia="zh-CN"/>
              </w:rPr>
              <w:t>续上页</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17E3B8D0">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续上页</w:t>
            </w:r>
          </w:p>
        </w:tc>
        <w:tc>
          <w:tcPr>
            <w:tcW w:w="1131"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38AF2B73">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续上页</w:t>
            </w:r>
          </w:p>
        </w:tc>
        <w:tc>
          <w:tcPr>
            <w:tcW w:w="1635" w:type="pct"/>
            <w:vMerge w:val="continue"/>
            <w:tcBorders>
              <w:top w:val="single" w:color="auto" w:sz="4" w:space="0"/>
              <w:left w:val="single" w:color="auto" w:sz="4" w:space="0"/>
              <w:bottom w:val="single" w:color="auto" w:sz="4" w:space="0"/>
              <w:right w:val="single" w:color="auto" w:sz="4" w:space="0"/>
            </w:tcBorders>
            <w:noWrap w:val="0"/>
            <w:vAlign w:val="center"/>
          </w:tcPr>
          <w:p w14:paraId="047121AF">
            <w:pPr>
              <w:widowControl/>
              <w:jc w:val="center"/>
              <w:rPr>
                <w:rFonts w:hint="eastAsia" w:ascii="Times New Roman" w:hAnsi="Times New Roman" w:eastAsia="宋体" w:cs="宋体"/>
                <w:color w:val="000000"/>
                <w:kern w:val="0"/>
                <w:sz w:val="20"/>
                <w:szCs w:val="20"/>
                <w:lang w:val="en-US" w:eastAsia="zh-CN"/>
              </w:rPr>
            </w:pPr>
          </w:p>
        </w:tc>
        <w:tc>
          <w:tcPr>
            <w:tcW w:w="258" w:type="pct"/>
            <w:tcBorders>
              <w:top w:val="single" w:color="auto" w:sz="4" w:space="0"/>
              <w:left w:val="single" w:color="auto" w:sz="4" w:space="0"/>
              <w:bottom w:val="single" w:color="auto" w:sz="4" w:space="0"/>
              <w:right w:val="single" w:color="auto" w:sz="4" w:space="0"/>
            </w:tcBorders>
            <w:noWrap w:val="0"/>
            <w:vAlign w:val="center"/>
          </w:tcPr>
          <w:p w14:paraId="01F9EF28">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续上页</w:t>
            </w:r>
          </w:p>
        </w:tc>
        <w:tc>
          <w:tcPr>
            <w:tcW w:w="310" w:type="pct"/>
            <w:tcBorders>
              <w:top w:val="single" w:color="auto" w:sz="4" w:space="0"/>
              <w:left w:val="single" w:color="auto" w:sz="4" w:space="0"/>
              <w:bottom w:val="single" w:color="auto" w:sz="4" w:space="0"/>
              <w:right w:val="single" w:color="auto" w:sz="4" w:space="0"/>
            </w:tcBorders>
            <w:noWrap/>
            <w:vAlign w:val="center"/>
          </w:tcPr>
          <w:p w14:paraId="6EA911CB">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续上页</w:t>
            </w:r>
          </w:p>
        </w:tc>
      </w:tr>
      <w:tr w14:paraId="7275377B">
        <w:tblPrEx>
          <w:tblCellMar>
            <w:top w:w="0" w:type="dxa"/>
            <w:left w:w="108" w:type="dxa"/>
            <w:bottom w:w="0" w:type="dxa"/>
            <w:right w:w="108" w:type="dxa"/>
          </w:tblCellMar>
        </w:tblPrEx>
        <w:trPr>
          <w:cantSplit/>
          <w:trHeight w:val="4047" w:hRule="atLeast"/>
        </w:trPr>
        <w:tc>
          <w:tcPr>
            <w:tcW w:w="492" w:type="pct"/>
            <w:tcBorders>
              <w:left w:val="single" w:color="auto" w:sz="4" w:space="0"/>
              <w:bottom w:val="single" w:color="auto" w:sz="4" w:space="0"/>
              <w:right w:val="single" w:color="auto" w:sz="4" w:space="0"/>
            </w:tcBorders>
            <w:noWrap w:val="0"/>
            <w:vAlign w:val="center"/>
          </w:tcPr>
          <w:p w14:paraId="03E96CAA">
            <w:pPr>
              <w:widowControl/>
              <w:jc w:val="left"/>
              <w:rPr>
                <w:rFonts w:hint="eastAsia" w:ascii="Times New Roman" w:hAnsi="Times New Roman" w:eastAsia="宋体" w:cs="宋体"/>
                <w:color w:val="000000"/>
                <w:kern w:val="0"/>
                <w:sz w:val="20"/>
                <w:szCs w:val="20"/>
              </w:rPr>
            </w:pPr>
          </w:p>
        </w:tc>
        <w:tc>
          <w:tcPr>
            <w:tcW w:w="561" w:type="pct"/>
            <w:tcBorders>
              <w:left w:val="single" w:color="auto" w:sz="4" w:space="0"/>
              <w:bottom w:val="single" w:color="auto" w:sz="4" w:space="0"/>
              <w:right w:val="single" w:color="auto" w:sz="4" w:space="0"/>
            </w:tcBorders>
            <w:noWrap w:val="0"/>
            <w:vAlign w:val="center"/>
          </w:tcPr>
          <w:p w14:paraId="305D2DC8">
            <w:pPr>
              <w:widowControl/>
              <w:jc w:val="left"/>
              <w:rPr>
                <w:rFonts w:hint="eastAsia" w:ascii="Times New Roman" w:hAnsi="Times New Roman" w:eastAsia="宋体" w:cs="宋体"/>
                <w:color w:val="000000"/>
                <w:kern w:val="0"/>
                <w:sz w:val="20"/>
                <w:szCs w:val="20"/>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59B4F408">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服务对象满意度</w:t>
            </w:r>
          </w:p>
          <w:p w14:paraId="46CA480B">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（6分）</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1E67E7E0">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rPr>
              <w:t>各项任务综合满意度≥90</w:t>
            </w:r>
            <w:r>
              <w:rPr>
                <w:rFonts w:hint="eastAsia" w:ascii="Times New Roman" w:hAnsi="Times New Roman" w:eastAsia="宋体" w:cs="宋体"/>
                <w:color w:val="000000"/>
                <w:kern w:val="0"/>
                <w:sz w:val="20"/>
                <w:szCs w:val="20"/>
                <w:lang w:val="en-US" w:eastAsia="zh-CN"/>
              </w:rPr>
              <w:t>%</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5CEB8617">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Times New Roman" w:hAnsi="Times New Roman" w:eastAsia="宋体" w:cs="宋体"/>
                <w:b w:val="0"/>
                <w:bCs w:val="0"/>
                <w:color w:val="000000"/>
                <w:kern w:val="0"/>
                <w:sz w:val="20"/>
                <w:szCs w:val="20"/>
                <w:lang w:val="en-US" w:eastAsia="zh-CN" w:bidi="ar-SA"/>
              </w:rPr>
            </w:pPr>
            <w:r>
              <w:rPr>
                <w:rFonts w:hint="eastAsia" w:ascii="Times New Roman" w:hAnsi="Times New Roman" w:eastAsia="宋体" w:cs="宋体"/>
                <w:b w:val="0"/>
                <w:bCs w:val="0"/>
                <w:color w:val="000000"/>
                <w:kern w:val="0"/>
                <w:sz w:val="20"/>
                <w:szCs w:val="20"/>
                <w:lang w:val="en-US" w:eastAsia="zh-CN" w:bidi="ar-SA"/>
              </w:rPr>
              <w:t>一是成立了绩效评价工作组，邀请人大代表参与自评工作，进一步提高绩效自评工作的公开性和透明性。</w:t>
            </w:r>
          </w:p>
          <w:p w14:paraId="3F669424">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Times New Roman" w:hAnsi="Times New Roman" w:eastAsia="宋体" w:cs="宋体"/>
                <w:b w:val="0"/>
                <w:bCs w:val="0"/>
                <w:color w:val="000000"/>
                <w:kern w:val="0"/>
                <w:sz w:val="20"/>
                <w:szCs w:val="20"/>
                <w:lang w:val="en-US" w:eastAsia="zh-CN" w:bidi="ar-SA"/>
              </w:rPr>
            </w:pPr>
            <w:r>
              <w:rPr>
                <w:rFonts w:hint="eastAsia" w:ascii="Times New Roman" w:hAnsi="Times New Roman" w:eastAsia="宋体" w:cs="宋体"/>
                <w:b w:val="0"/>
                <w:bCs w:val="0"/>
                <w:color w:val="000000"/>
                <w:kern w:val="0"/>
                <w:sz w:val="20"/>
                <w:szCs w:val="20"/>
                <w:lang w:val="en-US" w:eastAsia="zh-CN" w:bidi="ar-SA"/>
              </w:rPr>
              <w:t>二是执法办案工作获得有关领导和部门肯定。8起案件被文旅部评为全国文化执法重大案件，连续两年排名全国第一；“接诉即办”工作取得年度考核排名市级部门并列第一。</w:t>
            </w:r>
          </w:p>
          <w:p w14:paraId="117BAC2E">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Times New Roman" w:hAnsi="Times New Roman" w:eastAsia="宋体" w:cs="宋体"/>
                <w:color w:val="000000"/>
                <w:kern w:val="0"/>
                <w:sz w:val="20"/>
                <w:szCs w:val="20"/>
              </w:rPr>
            </w:pPr>
            <w:r>
              <w:rPr>
                <w:rFonts w:hint="eastAsia" w:ascii="Times New Roman" w:hAnsi="Times New Roman" w:eastAsia="宋体" w:cs="宋体"/>
                <w:b w:val="0"/>
                <w:bCs w:val="0"/>
                <w:color w:val="000000"/>
                <w:kern w:val="0"/>
                <w:sz w:val="20"/>
                <w:szCs w:val="20"/>
                <w:lang w:val="en-US" w:eastAsia="zh-CN" w:bidi="ar-SA"/>
              </w:rPr>
              <w:t>三是根据单位自评结果，各业务处室针对项目受益对象开展了满意度调查，满意度</w:t>
            </w:r>
            <w:r>
              <w:rPr>
                <w:rFonts w:hint="eastAsia" w:ascii="Times New Roman" w:hAnsi="Times New Roman" w:cs="宋体"/>
                <w:b w:val="0"/>
                <w:bCs w:val="0"/>
                <w:color w:val="000000"/>
                <w:kern w:val="0"/>
                <w:sz w:val="20"/>
                <w:szCs w:val="20"/>
                <w:lang w:val="en-US" w:eastAsia="zh-CN" w:bidi="ar-SA"/>
              </w:rPr>
              <w:t>均高于95%</w:t>
            </w:r>
            <w:r>
              <w:rPr>
                <w:rFonts w:hint="eastAsia" w:ascii="Times New Roman" w:hAnsi="Times New Roman" w:eastAsia="宋体" w:cs="宋体"/>
                <w:b w:val="0"/>
                <w:bCs w:val="0"/>
                <w:color w:val="000000"/>
                <w:kern w:val="0"/>
                <w:sz w:val="20"/>
                <w:szCs w:val="20"/>
                <w:lang w:val="en-US" w:eastAsia="zh-CN" w:bidi="ar-SA"/>
              </w:rPr>
              <w:t>，但业务科室满意度调查基本采取纸质问卷形式，</w:t>
            </w:r>
            <w:r>
              <w:rPr>
                <w:rFonts w:hint="eastAsia" w:ascii="Times New Roman" w:hAnsi="Times New Roman" w:cs="宋体"/>
                <w:b w:val="0"/>
                <w:bCs w:val="0"/>
                <w:color w:val="000000"/>
                <w:kern w:val="0"/>
                <w:sz w:val="20"/>
                <w:szCs w:val="20"/>
                <w:lang w:val="en-US" w:eastAsia="zh-CN" w:bidi="ar-SA"/>
              </w:rPr>
              <w:t>缺少深度</w:t>
            </w:r>
            <w:r>
              <w:rPr>
                <w:rFonts w:hint="eastAsia" w:ascii="Times New Roman" w:hAnsi="Times New Roman" w:eastAsia="宋体" w:cs="宋体"/>
                <w:b w:val="0"/>
                <w:bCs w:val="0"/>
                <w:color w:val="000000"/>
                <w:kern w:val="0"/>
                <w:sz w:val="20"/>
                <w:szCs w:val="20"/>
                <w:lang w:val="en-US" w:eastAsia="zh-CN" w:bidi="ar-SA"/>
              </w:rPr>
              <w:t>满意度调查统计分析，且业务科室反馈参与调查人员填写问卷意愿不强，影响了问卷调查的准确性。　</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1FAD56EE">
            <w:pPr>
              <w:widowControl/>
              <w:jc w:val="left"/>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6.00</w:t>
            </w:r>
          </w:p>
        </w:tc>
        <w:tc>
          <w:tcPr>
            <w:tcW w:w="310" w:type="pct"/>
            <w:tcBorders>
              <w:top w:val="single" w:color="auto" w:sz="4" w:space="0"/>
              <w:left w:val="single" w:color="auto" w:sz="4" w:space="0"/>
              <w:bottom w:val="single" w:color="auto" w:sz="4" w:space="0"/>
              <w:right w:val="single" w:color="auto" w:sz="4" w:space="0"/>
            </w:tcBorders>
            <w:noWrap/>
            <w:vAlign w:val="center"/>
          </w:tcPr>
          <w:p w14:paraId="1E955368">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5.00</w:t>
            </w:r>
            <w:r>
              <w:rPr>
                <w:rFonts w:hint="eastAsia" w:ascii="Times New Roman" w:hAnsi="Times New Roman" w:eastAsia="宋体" w:cs="宋体"/>
                <w:color w:val="000000"/>
                <w:kern w:val="0"/>
                <w:sz w:val="20"/>
                <w:szCs w:val="20"/>
              </w:rPr>
              <w:t>　</w:t>
            </w:r>
          </w:p>
        </w:tc>
      </w:tr>
      <w:tr w14:paraId="1A973C9D">
        <w:tblPrEx>
          <w:tblCellMar>
            <w:top w:w="0" w:type="dxa"/>
            <w:left w:w="108" w:type="dxa"/>
            <w:bottom w:w="0" w:type="dxa"/>
            <w:right w:w="108" w:type="dxa"/>
          </w:tblCellMar>
        </w:tblPrEx>
        <w:trPr>
          <w:cantSplit/>
          <w:trHeight w:val="574" w:hRule="atLeast"/>
        </w:trPr>
        <w:tc>
          <w:tcPr>
            <w:tcW w:w="5000" w:type="pct"/>
            <w:gridSpan w:val="7"/>
            <w:tcBorders>
              <w:top w:val="single" w:color="auto" w:sz="4" w:space="0"/>
              <w:left w:val="single" w:color="auto" w:sz="4" w:space="0"/>
              <w:bottom w:val="single" w:color="auto" w:sz="4" w:space="0"/>
              <w:right w:val="single" w:color="auto" w:sz="4" w:space="0"/>
            </w:tcBorders>
            <w:noWrap w:val="0"/>
            <w:vAlign w:val="center"/>
          </w:tcPr>
          <w:p w14:paraId="61450240">
            <w:pPr>
              <w:widowControl/>
              <w:jc w:val="left"/>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三、预算管理情况（20分）</w:t>
            </w:r>
          </w:p>
        </w:tc>
      </w:tr>
      <w:tr w14:paraId="733CC548">
        <w:tblPrEx>
          <w:tblCellMar>
            <w:top w:w="0" w:type="dxa"/>
            <w:left w:w="108" w:type="dxa"/>
            <w:bottom w:w="0" w:type="dxa"/>
            <w:right w:w="108" w:type="dxa"/>
          </w:tblCellMar>
        </w:tblPrEx>
        <w:trPr>
          <w:cantSplit/>
          <w:trHeight w:val="671" w:hRule="atLeast"/>
        </w:trPr>
        <w:tc>
          <w:tcPr>
            <w:tcW w:w="492" w:type="pct"/>
            <w:tcBorders>
              <w:top w:val="single" w:color="auto" w:sz="4" w:space="0"/>
              <w:left w:val="single" w:color="auto" w:sz="4" w:space="0"/>
              <w:bottom w:val="single" w:color="auto" w:sz="4" w:space="0"/>
              <w:right w:val="single" w:color="auto" w:sz="4" w:space="0"/>
            </w:tcBorders>
            <w:noWrap w:val="0"/>
            <w:vAlign w:val="center"/>
          </w:tcPr>
          <w:p w14:paraId="205FF5BC">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一级指标</w:t>
            </w:r>
          </w:p>
        </w:tc>
        <w:tc>
          <w:tcPr>
            <w:tcW w:w="561" w:type="pct"/>
            <w:tcBorders>
              <w:top w:val="single" w:color="auto" w:sz="4" w:space="0"/>
              <w:left w:val="single" w:color="auto" w:sz="4" w:space="0"/>
              <w:bottom w:val="single" w:color="auto" w:sz="4" w:space="0"/>
              <w:right w:val="single" w:color="auto" w:sz="4" w:space="0"/>
            </w:tcBorders>
            <w:noWrap w:val="0"/>
            <w:vAlign w:val="center"/>
          </w:tcPr>
          <w:p w14:paraId="12A978DC">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二级指标</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0DC6BECD">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三级指标</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7DFD812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指标值</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5433BAF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完成值</w:t>
            </w:r>
          </w:p>
        </w:tc>
        <w:tc>
          <w:tcPr>
            <w:tcW w:w="258" w:type="pct"/>
            <w:tcBorders>
              <w:top w:val="single" w:color="auto" w:sz="4" w:space="0"/>
              <w:left w:val="single" w:color="auto" w:sz="4" w:space="0"/>
              <w:bottom w:val="single" w:color="auto" w:sz="4" w:space="0"/>
              <w:right w:val="single" w:color="auto" w:sz="4" w:space="0"/>
            </w:tcBorders>
            <w:noWrap/>
            <w:vAlign w:val="center"/>
          </w:tcPr>
          <w:p w14:paraId="34BD30FE">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分值</w:t>
            </w:r>
          </w:p>
        </w:tc>
        <w:tc>
          <w:tcPr>
            <w:tcW w:w="310" w:type="pct"/>
            <w:tcBorders>
              <w:top w:val="single" w:color="auto" w:sz="4" w:space="0"/>
              <w:left w:val="single" w:color="auto" w:sz="4" w:space="0"/>
              <w:bottom w:val="single" w:color="auto" w:sz="4" w:space="0"/>
              <w:right w:val="single" w:color="auto" w:sz="4" w:space="0"/>
            </w:tcBorders>
            <w:noWrap/>
            <w:vAlign w:val="center"/>
          </w:tcPr>
          <w:p w14:paraId="41EDC44C">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得分</w:t>
            </w:r>
          </w:p>
        </w:tc>
      </w:tr>
      <w:tr w14:paraId="65A4D5E8">
        <w:tblPrEx>
          <w:tblCellMar>
            <w:top w:w="0" w:type="dxa"/>
            <w:left w:w="108" w:type="dxa"/>
            <w:bottom w:w="0" w:type="dxa"/>
            <w:right w:w="108" w:type="dxa"/>
          </w:tblCellMar>
        </w:tblPrEx>
        <w:trPr>
          <w:cantSplit/>
          <w:trHeight w:val="701" w:hRule="atLeast"/>
        </w:trPr>
        <w:tc>
          <w:tcPr>
            <w:tcW w:w="492" w:type="pct"/>
            <w:vMerge w:val="restart"/>
            <w:tcBorders>
              <w:top w:val="single" w:color="auto" w:sz="4" w:space="0"/>
              <w:left w:val="single" w:color="auto" w:sz="4" w:space="0"/>
              <w:bottom w:val="single" w:color="auto" w:sz="4" w:space="0"/>
              <w:right w:val="single" w:color="auto" w:sz="4" w:space="0"/>
            </w:tcBorders>
            <w:noWrap w:val="0"/>
            <w:vAlign w:val="center"/>
          </w:tcPr>
          <w:p w14:paraId="6640ABBA">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预算管理情况（20）</w:t>
            </w:r>
          </w:p>
        </w:tc>
        <w:tc>
          <w:tcPr>
            <w:tcW w:w="561" w:type="pct"/>
            <w:vMerge w:val="restart"/>
            <w:tcBorders>
              <w:top w:val="single" w:color="auto" w:sz="4" w:space="0"/>
              <w:left w:val="single" w:color="auto" w:sz="4" w:space="0"/>
              <w:bottom w:val="single" w:color="auto" w:sz="4" w:space="0"/>
              <w:right w:val="single" w:color="auto" w:sz="4" w:space="0"/>
            </w:tcBorders>
            <w:noWrap w:val="0"/>
            <w:vAlign w:val="center"/>
          </w:tcPr>
          <w:p w14:paraId="11CB6F05">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财务管理（4）</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1BC2D0F4">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财务管理制度健全性</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5DF62B06">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健全、完整、合理</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29CAB2AC">
            <w:pPr>
              <w:widowControl/>
              <w:jc w:val="center"/>
              <w:rPr>
                <w:rFonts w:hint="eastAsia" w:ascii="Times New Roman" w:hAnsi="Times New Roman" w:eastAsia="宋体" w:cs="宋体"/>
                <w:color w:val="000000"/>
                <w:kern w:val="0"/>
                <w:sz w:val="20"/>
                <w:szCs w:val="20"/>
                <w:lang w:eastAsia="zh-CN"/>
              </w:rPr>
            </w:pPr>
            <w:r>
              <w:rPr>
                <w:rFonts w:hint="eastAsia" w:ascii="Times New Roman" w:hAnsi="Times New Roman" w:eastAsia="宋体" w:cs="宋体"/>
                <w:color w:val="000000"/>
                <w:kern w:val="0"/>
                <w:sz w:val="20"/>
                <w:szCs w:val="20"/>
                <w:lang w:val="en-US" w:eastAsia="zh-CN"/>
              </w:rPr>
              <w:t>部门财务管理制度健全、完整、合理</w:t>
            </w:r>
            <w:r>
              <w:rPr>
                <w:rFonts w:hint="eastAsia" w:ascii="Times New Roman" w:hAnsi="Times New Roman" w:cs="宋体"/>
                <w:color w:val="000000"/>
                <w:kern w:val="0"/>
                <w:sz w:val="20"/>
                <w:szCs w:val="20"/>
                <w:lang w:eastAsia="zh-CN"/>
              </w:rPr>
              <w:t>。</w:t>
            </w:r>
          </w:p>
        </w:tc>
        <w:tc>
          <w:tcPr>
            <w:tcW w:w="258" w:type="pct"/>
            <w:tcBorders>
              <w:top w:val="single" w:color="auto" w:sz="4" w:space="0"/>
              <w:left w:val="single" w:color="auto" w:sz="4" w:space="0"/>
              <w:bottom w:val="single" w:color="auto" w:sz="4" w:space="0"/>
              <w:right w:val="single" w:color="auto" w:sz="4" w:space="0"/>
            </w:tcBorders>
            <w:noWrap/>
            <w:vAlign w:val="center"/>
          </w:tcPr>
          <w:p w14:paraId="3D0B8882">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1.00</w:t>
            </w:r>
          </w:p>
        </w:tc>
        <w:tc>
          <w:tcPr>
            <w:tcW w:w="310" w:type="pct"/>
            <w:tcBorders>
              <w:top w:val="single" w:color="auto" w:sz="4" w:space="0"/>
              <w:left w:val="single" w:color="auto" w:sz="4" w:space="0"/>
              <w:bottom w:val="single" w:color="auto" w:sz="4" w:space="0"/>
              <w:right w:val="single" w:color="auto" w:sz="4" w:space="0"/>
            </w:tcBorders>
            <w:noWrap/>
            <w:vAlign w:val="center"/>
          </w:tcPr>
          <w:p w14:paraId="22200DE0">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1.00</w:t>
            </w:r>
          </w:p>
        </w:tc>
      </w:tr>
      <w:tr w14:paraId="6A446CE7">
        <w:tblPrEx>
          <w:tblCellMar>
            <w:top w:w="0" w:type="dxa"/>
            <w:left w:w="108" w:type="dxa"/>
            <w:bottom w:w="0" w:type="dxa"/>
            <w:right w:w="108" w:type="dxa"/>
          </w:tblCellMar>
        </w:tblPrEx>
        <w:trPr>
          <w:cantSplit/>
          <w:trHeight w:val="855" w:hRule="atLeast"/>
        </w:trPr>
        <w:tc>
          <w:tcPr>
            <w:tcW w:w="492" w:type="pct"/>
            <w:vMerge w:val="continue"/>
            <w:tcBorders>
              <w:top w:val="single" w:color="auto" w:sz="4" w:space="0"/>
              <w:left w:val="single" w:color="auto" w:sz="4" w:space="0"/>
              <w:bottom w:val="single" w:color="auto" w:sz="4" w:space="0"/>
              <w:right w:val="single" w:color="auto" w:sz="4" w:space="0"/>
            </w:tcBorders>
            <w:noWrap w:val="0"/>
            <w:vAlign w:val="center"/>
          </w:tcPr>
          <w:p w14:paraId="6A4977E8">
            <w:pPr>
              <w:widowControl/>
              <w:jc w:val="left"/>
              <w:rPr>
                <w:rFonts w:hint="eastAsia" w:ascii="Times New Roman" w:hAnsi="Times New Roman" w:eastAsia="宋体" w:cs="宋体"/>
                <w:color w:val="000000"/>
                <w:kern w:val="0"/>
                <w:sz w:val="20"/>
                <w:szCs w:val="20"/>
              </w:rPr>
            </w:pPr>
          </w:p>
        </w:tc>
        <w:tc>
          <w:tcPr>
            <w:tcW w:w="561" w:type="pct"/>
            <w:vMerge w:val="continue"/>
            <w:tcBorders>
              <w:top w:val="single" w:color="auto" w:sz="4" w:space="0"/>
              <w:left w:val="single" w:color="auto" w:sz="4" w:space="0"/>
              <w:bottom w:val="single" w:color="auto" w:sz="4" w:space="0"/>
              <w:right w:val="single" w:color="auto" w:sz="4" w:space="0"/>
            </w:tcBorders>
            <w:noWrap w:val="0"/>
            <w:vAlign w:val="center"/>
          </w:tcPr>
          <w:p w14:paraId="1849A0D8">
            <w:pPr>
              <w:widowControl/>
              <w:jc w:val="left"/>
              <w:rPr>
                <w:rFonts w:hint="eastAsia" w:ascii="Times New Roman" w:hAnsi="Times New Roman" w:eastAsia="宋体" w:cs="宋体"/>
                <w:color w:val="000000"/>
                <w:kern w:val="0"/>
                <w:sz w:val="20"/>
                <w:szCs w:val="20"/>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4F56F611">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资金使用合规性和安全性</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5327DD87">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合规、安全</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00407739">
            <w:pPr>
              <w:widowControl/>
              <w:jc w:val="center"/>
              <w:rPr>
                <w:rFonts w:hint="eastAsia" w:ascii="Times New Roman" w:hAnsi="Times New Roman" w:eastAsia="宋体" w:cs="宋体"/>
                <w:color w:val="000000"/>
                <w:kern w:val="0"/>
                <w:sz w:val="20"/>
                <w:szCs w:val="20"/>
                <w:lang w:eastAsia="zh-CN"/>
              </w:rPr>
            </w:pPr>
            <w:r>
              <w:rPr>
                <w:rFonts w:hint="eastAsia" w:ascii="Times New Roman" w:hAnsi="Times New Roman" w:eastAsia="宋体" w:cs="宋体"/>
                <w:i w:val="0"/>
                <w:iCs w:val="0"/>
                <w:color w:val="000000"/>
                <w:kern w:val="0"/>
                <w:sz w:val="20"/>
                <w:szCs w:val="20"/>
                <w:u w:val="none"/>
                <w:lang w:val="en-US" w:eastAsia="zh-CN" w:bidi="ar"/>
              </w:rPr>
              <w:t>单位资金使用合法合规，不存在截留、挤占、挪用情况</w:t>
            </w:r>
            <w:r>
              <w:rPr>
                <w:rFonts w:hint="eastAsia" w:ascii="Times New Roman" w:hAnsi="Times New Roman" w:cs="宋体"/>
                <w:color w:val="000000"/>
                <w:kern w:val="0"/>
                <w:sz w:val="20"/>
                <w:szCs w:val="20"/>
                <w:lang w:eastAsia="zh-CN"/>
              </w:rPr>
              <w:t>。</w:t>
            </w:r>
          </w:p>
        </w:tc>
        <w:tc>
          <w:tcPr>
            <w:tcW w:w="258" w:type="pct"/>
            <w:tcBorders>
              <w:top w:val="single" w:color="auto" w:sz="4" w:space="0"/>
              <w:left w:val="single" w:color="auto" w:sz="4" w:space="0"/>
              <w:bottom w:val="single" w:color="auto" w:sz="4" w:space="0"/>
              <w:right w:val="single" w:color="auto" w:sz="4" w:space="0"/>
            </w:tcBorders>
            <w:noWrap/>
            <w:vAlign w:val="center"/>
          </w:tcPr>
          <w:p w14:paraId="71FF9AE3">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2.00</w:t>
            </w:r>
          </w:p>
        </w:tc>
        <w:tc>
          <w:tcPr>
            <w:tcW w:w="310" w:type="pct"/>
            <w:tcBorders>
              <w:top w:val="single" w:color="auto" w:sz="4" w:space="0"/>
              <w:left w:val="single" w:color="auto" w:sz="4" w:space="0"/>
              <w:bottom w:val="single" w:color="auto" w:sz="4" w:space="0"/>
              <w:right w:val="single" w:color="auto" w:sz="4" w:space="0"/>
            </w:tcBorders>
            <w:noWrap/>
            <w:vAlign w:val="center"/>
          </w:tcPr>
          <w:p w14:paraId="0A3D7F0A">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2.00</w:t>
            </w:r>
          </w:p>
        </w:tc>
      </w:tr>
      <w:tr w14:paraId="4474206B">
        <w:tblPrEx>
          <w:tblCellMar>
            <w:top w:w="0" w:type="dxa"/>
            <w:left w:w="108" w:type="dxa"/>
            <w:bottom w:w="0" w:type="dxa"/>
            <w:right w:w="108" w:type="dxa"/>
          </w:tblCellMar>
        </w:tblPrEx>
        <w:trPr>
          <w:cantSplit/>
          <w:trHeight w:val="890" w:hRule="atLeast"/>
        </w:trPr>
        <w:tc>
          <w:tcPr>
            <w:tcW w:w="492" w:type="pct"/>
            <w:vMerge w:val="continue"/>
            <w:tcBorders>
              <w:top w:val="single" w:color="auto" w:sz="4" w:space="0"/>
              <w:left w:val="single" w:color="auto" w:sz="4" w:space="0"/>
              <w:bottom w:val="single" w:color="auto" w:sz="4" w:space="0"/>
              <w:right w:val="single" w:color="auto" w:sz="4" w:space="0"/>
            </w:tcBorders>
            <w:noWrap w:val="0"/>
            <w:vAlign w:val="center"/>
          </w:tcPr>
          <w:p w14:paraId="6942CF98">
            <w:pPr>
              <w:widowControl/>
              <w:jc w:val="left"/>
              <w:rPr>
                <w:rFonts w:hint="eastAsia" w:ascii="Times New Roman" w:hAnsi="Times New Roman" w:eastAsia="宋体" w:cs="宋体"/>
                <w:color w:val="000000"/>
                <w:kern w:val="0"/>
                <w:sz w:val="20"/>
                <w:szCs w:val="20"/>
              </w:rPr>
            </w:pPr>
          </w:p>
        </w:tc>
        <w:tc>
          <w:tcPr>
            <w:tcW w:w="561" w:type="pct"/>
            <w:vMerge w:val="continue"/>
            <w:tcBorders>
              <w:top w:val="single" w:color="auto" w:sz="4" w:space="0"/>
              <w:left w:val="single" w:color="auto" w:sz="4" w:space="0"/>
              <w:bottom w:val="single" w:color="auto" w:sz="4" w:space="0"/>
              <w:right w:val="single" w:color="auto" w:sz="4" w:space="0"/>
            </w:tcBorders>
            <w:noWrap w:val="0"/>
            <w:vAlign w:val="center"/>
          </w:tcPr>
          <w:p w14:paraId="4727B6B7">
            <w:pPr>
              <w:widowControl/>
              <w:jc w:val="left"/>
              <w:rPr>
                <w:rFonts w:hint="eastAsia" w:ascii="Times New Roman" w:hAnsi="Times New Roman" w:eastAsia="宋体" w:cs="宋体"/>
                <w:color w:val="000000"/>
                <w:kern w:val="0"/>
                <w:sz w:val="20"/>
                <w:szCs w:val="20"/>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1F1E55E0">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会计基础信息完善性</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19037BB9">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真实、完整、准确</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13D5FAEF">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基础数据信息和会计信息</w:t>
            </w:r>
            <w:r>
              <w:rPr>
                <w:rFonts w:hint="eastAsia" w:ascii="Times New Roman" w:hAnsi="Times New Roman" w:eastAsia="宋体" w:cs="宋体"/>
                <w:color w:val="000000"/>
                <w:kern w:val="0"/>
                <w:sz w:val="20"/>
                <w:szCs w:val="20"/>
                <w:lang w:val="en-US" w:eastAsia="zh-CN"/>
              </w:rPr>
              <w:t>真实、完整、准确</w:t>
            </w:r>
            <w:r>
              <w:rPr>
                <w:rFonts w:hint="eastAsia" w:ascii="Times New Roman" w:hAnsi="Times New Roman" w:cs="宋体"/>
                <w:color w:val="000000"/>
                <w:kern w:val="0"/>
                <w:sz w:val="20"/>
                <w:szCs w:val="20"/>
                <w:lang w:val="en-US" w:eastAsia="zh-CN"/>
              </w:rPr>
              <w:t>。</w:t>
            </w:r>
          </w:p>
        </w:tc>
        <w:tc>
          <w:tcPr>
            <w:tcW w:w="258" w:type="pct"/>
            <w:tcBorders>
              <w:top w:val="single" w:color="auto" w:sz="4" w:space="0"/>
              <w:left w:val="single" w:color="auto" w:sz="4" w:space="0"/>
              <w:bottom w:val="single" w:color="auto" w:sz="4" w:space="0"/>
              <w:right w:val="single" w:color="auto" w:sz="4" w:space="0"/>
            </w:tcBorders>
            <w:noWrap/>
            <w:vAlign w:val="center"/>
          </w:tcPr>
          <w:p w14:paraId="54C85ACA">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1.00</w:t>
            </w:r>
          </w:p>
        </w:tc>
        <w:tc>
          <w:tcPr>
            <w:tcW w:w="310" w:type="pct"/>
            <w:tcBorders>
              <w:top w:val="single" w:color="auto" w:sz="4" w:space="0"/>
              <w:left w:val="single" w:color="auto" w:sz="4" w:space="0"/>
              <w:bottom w:val="single" w:color="auto" w:sz="4" w:space="0"/>
              <w:right w:val="single" w:color="auto" w:sz="4" w:space="0"/>
            </w:tcBorders>
            <w:noWrap/>
            <w:vAlign w:val="center"/>
          </w:tcPr>
          <w:p w14:paraId="33B0102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1.00</w:t>
            </w:r>
          </w:p>
        </w:tc>
      </w:tr>
      <w:tr w14:paraId="0D179378">
        <w:tblPrEx>
          <w:tblCellMar>
            <w:top w:w="0" w:type="dxa"/>
            <w:left w:w="108" w:type="dxa"/>
            <w:bottom w:w="0" w:type="dxa"/>
            <w:right w:w="108" w:type="dxa"/>
          </w:tblCellMar>
        </w:tblPrEx>
        <w:trPr>
          <w:cantSplit/>
          <w:trHeight w:val="749" w:hRule="atLeast"/>
        </w:trPr>
        <w:tc>
          <w:tcPr>
            <w:tcW w:w="492" w:type="pct"/>
            <w:vMerge w:val="continue"/>
            <w:tcBorders>
              <w:top w:val="single" w:color="auto" w:sz="4" w:space="0"/>
              <w:left w:val="single" w:color="auto" w:sz="4" w:space="0"/>
              <w:bottom w:val="single" w:color="auto" w:sz="4" w:space="0"/>
              <w:right w:val="single" w:color="auto" w:sz="4" w:space="0"/>
            </w:tcBorders>
            <w:noWrap w:val="0"/>
            <w:vAlign w:val="center"/>
          </w:tcPr>
          <w:p w14:paraId="5DC0C44E">
            <w:pPr>
              <w:widowControl/>
              <w:jc w:val="left"/>
              <w:rPr>
                <w:rFonts w:hint="eastAsia" w:ascii="Times New Roman" w:hAnsi="Times New Roman" w:eastAsia="宋体" w:cs="宋体"/>
                <w:color w:val="000000"/>
                <w:kern w:val="0"/>
                <w:sz w:val="20"/>
                <w:szCs w:val="20"/>
              </w:rPr>
            </w:pPr>
          </w:p>
        </w:tc>
        <w:tc>
          <w:tcPr>
            <w:tcW w:w="561" w:type="pct"/>
            <w:tcBorders>
              <w:top w:val="single" w:color="auto" w:sz="4" w:space="0"/>
              <w:left w:val="single" w:color="auto" w:sz="4" w:space="0"/>
              <w:bottom w:val="single" w:color="auto" w:sz="4" w:space="0"/>
              <w:right w:val="single" w:color="auto" w:sz="4" w:space="0"/>
            </w:tcBorders>
            <w:noWrap w:val="0"/>
            <w:vAlign w:val="center"/>
          </w:tcPr>
          <w:p w14:paraId="035281C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资产管理（4）</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1BB71008">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资产管理规范性</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0C8EA4CD">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规范</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51CDD349">
            <w:pPr>
              <w:widowControl/>
              <w:jc w:val="left"/>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　</w:t>
            </w:r>
            <w:r>
              <w:rPr>
                <w:rFonts w:hint="eastAsia" w:ascii="Times New Roman" w:hAnsi="Times New Roman" w:eastAsia="宋体" w:cs="宋体"/>
                <w:i w:val="0"/>
                <w:iCs w:val="0"/>
                <w:color w:val="000000"/>
                <w:kern w:val="0"/>
                <w:sz w:val="20"/>
                <w:szCs w:val="20"/>
                <w:u w:val="none"/>
                <w:lang w:val="en-US" w:eastAsia="zh-CN" w:bidi="ar"/>
              </w:rPr>
              <w:t>单位资产管理制度健全，管理流程规范</w:t>
            </w:r>
            <w:r>
              <w:rPr>
                <w:rFonts w:hint="eastAsia" w:ascii="Times New Roman" w:hAnsi="Times New Roman" w:cs="宋体"/>
                <w:i w:val="0"/>
                <w:iCs w:val="0"/>
                <w:color w:val="000000"/>
                <w:kern w:val="0"/>
                <w:sz w:val="20"/>
                <w:szCs w:val="20"/>
                <w:u w:val="none"/>
                <w:lang w:val="en-US" w:eastAsia="zh-CN" w:bidi="ar"/>
              </w:rPr>
              <w:t>。</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1E9D554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4</w:t>
            </w:r>
            <w:r>
              <w:rPr>
                <w:rFonts w:hint="eastAsia" w:ascii="Times New Roman" w:hAnsi="Times New Roman" w:eastAsia="宋体" w:cs="宋体"/>
                <w:color w:val="000000"/>
                <w:kern w:val="0"/>
                <w:sz w:val="20"/>
                <w:szCs w:val="20"/>
                <w:lang w:val="en-US" w:eastAsia="zh-CN"/>
              </w:rPr>
              <w:t>.00</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5B5F31D9">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4</w:t>
            </w:r>
            <w:r>
              <w:rPr>
                <w:rFonts w:hint="eastAsia" w:ascii="Times New Roman" w:hAnsi="Times New Roman" w:eastAsia="宋体" w:cs="宋体"/>
                <w:color w:val="000000"/>
                <w:kern w:val="0"/>
                <w:sz w:val="20"/>
                <w:szCs w:val="20"/>
                <w:lang w:val="en-US" w:eastAsia="zh-CN"/>
              </w:rPr>
              <w:t>.00</w:t>
            </w:r>
          </w:p>
        </w:tc>
      </w:tr>
      <w:tr w14:paraId="222C0087">
        <w:tblPrEx>
          <w:tblCellMar>
            <w:top w:w="0" w:type="dxa"/>
            <w:left w:w="108" w:type="dxa"/>
            <w:bottom w:w="0" w:type="dxa"/>
            <w:right w:w="108" w:type="dxa"/>
          </w:tblCellMar>
        </w:tblPrEx>
        <w:trPr>
          <w:cantSplit/>
          <w:trHeight w:val="927" w:hRule="atLeast"/>
        </w:trPr>
        <w:tc>
          <w:tcPr>
            <w:tcW w:w="492" w:type="pct"/>
            <w:vMerge w:val="continue"/>
            <w:tcBorders>
              <w:top w:val="single" w:color="auto" w:sz="4" w:space="0"/>
              <w:left w:val="single" w:color="auto" w:sz="4" w:space="0"/>
              <w:bottom w:val="single" w:color="auto" w:sz="4" w:space="0"/>
              <w:right w:val="single" w:color="auto" w:sz="4" w:space="0"/>
            </w:tcBorders>
            <w:noWrap w:val="0"/>
            <w:vAlign w:val="center"/>
          </w:tcPr>
          <w:p w14:paraId="7DAEC8F3">
            <w:pPr>
              <w:widowControl/>
              <w:jc w:val="left"/>
              <w:rPr>
                <w:rFonts w:hint="eastAsia" w:ascii="Times New Roman" w:hAnsi="Times New Roman" w:eastAsia="宋体" w:cs="宋体"/>
                <w:color w:val="000000"/>
                <w:kern w:val="0"/>
                <w:sz w:val="20"/>
                <w:szCs w:val="20"/>
              </w:rPr>
            </w:pPr>
          </w:p>
        </w:tc>
        <w:tc>
          <w:tcPr>
            <w:tcW w:w="561" w:type="pct"/>
            <w:tcBorders>
              <w:top w:val="single" w:color="auto" w:sz="4" w:space="0"/>
              <w:left w:val="single" w:color="auto" w:sz="4" w:space="0"/>
              <w:bottom w:val="single" w:color="auto" w:sz="4" w:space="0"/>
              <w:right w:val="single" w:color="auto" w:sz="4" w:space="0"/>
            </w:tcBorders>
            <w:noWrap w:val="0"/>
            <w:vAlign w:val="center"/>
          </w:tcPr>
          <w:p w14:paraId="2B3544C9">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绩效管理（4）</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0A6CD42E">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绩效管理情况</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4B4C2F08">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rPr>
              <w:t>　绩效信息汇总</w:t>
            </w:r>
            <w:r>
              <w:rPr>
                <w:rFonts w:hint="eastAsia" w:ascii="Times New Roman" w:hAnsi="Times New Roman" w:eastAsia="宋体" w:cs="宋体"/>
                <w:color w:val="000000"/>
                <w:kern w:val="0"/>
                <w:sz w:val="20"/>
                <w:szCs w:val="20"/>
                <w:lang w:val="en-US" w:eastAsia="zh-CN"/>
              </w:rPr>
              <w:t>及时、管理措施有效</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6FCF7290">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　</w:t>
            </w:r>
            <w:r>
              <w:rPr>
                <w:rFonts w:hint="eastAsia" w:ascii="Times New Roman" w:hAnsi="Times New Roman" w:eastAsia="宋体" w:cs="宋体"/>
                <w:color w:val="000000"/>
                <w:kern w:val="0"/>
                <w:sz w:val="20"/>
                <w:szCs w:val="20"/>
                <w:lang w:val="en-US" w:eastAsia="zh-CN"/>
              </w:rPr>
              <w:t>单位开展全过程绩效管理，对绩效目标偏离情况及时矫正，保证年终项目绩效顺利达成</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7A1EE49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4</w:t>
            </w:r>
            <w:r>
              <w:rPr>
                <w:rFonts w:hint="eastAsia" w:ascii="Times New Roman" w:hAnsi="Times New Roman" w:eastAsia="宋体" w:cs="宋体"/>
                <w:color w:val="000000"/>
                <w:kern w:val="0"/>
                <w:sz w:val="20"/>
                <w:szCs w:val="20"/>
                <w:lang w:val="en-US" w:eastAsia="zh-CN"/>
              </w:rPr>
              <w:t>.00</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08CAD902">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4</w:t>
            </w:r>
            <w:r>
              <w:rPr>
                <w:rFonts w:hint="eastAsia" w:ascii="Times New Roman" w:hAnsi="Times New Roman" w:eastAsia="宋体" w:cs="宋体"/>
                <w:color w:val="000000"/>
                <w:kern w:val="0"/>
                <w:sz w:val="20"/>
                <w:szCs w:val="20"/>
                <w:lang w:val="en-US" w:eastAsia="zh-CN"/>
              </w:rPr>
              <w:t>.00</w:t>
            </w:r>
          </w:p>
        </w:tc>
      </w:tr>
      <w:tr w14:paraId="45FE9D79">
        <w:tblPrEx>
          <w:tblCellMar>
            <w:top w:w="0" w:type="dxa"/>
            <w:left w:w="108" w:type="dxa"/>
            <w:bottom w:w="0" w:type="dxa"/>
            <w:right w:w="108" w:type="dxa"/>
          </w:tblCellMar>
        </w:tblPrEx>
        <w:trPr>
          <w:cantSplit/>
          <w:trHeight w:val="575" w:hRule="atLeast"/>
        </w:trPr>
        <w:tc>
          <w:tcPr>
            <w:tcW w:w="492" w:type="pct"/>
            <w:vMerge w:val="continue"/>
            <w:tcBorders>
              <w:top w:val="single" w:color="auto" w:sz="4" w:space="0"/>
              <w:left w:val="single" w:color="auto" w:sz="4" w:space="0"/>
              <w:bottom w:val="single" w:color="auto" w:sz="4" w:space="0"/>
              <w:right w:val="single" w:color="auto" w:sz="4" w:space="0"/>
            </w:tcBorders>
            <w:noWrap w:val="0"/>
            <w:vAlign w:val="center"/>
          </w:tcPr>
          <w:p w14:paraId="15F5FE14">
            <w:pPr>
              <w:widowControl/>
              <w:jc w:val="left"/>
              <w:rPr>
                <w:rFonts w:hint="eastAsia" w:ascii="Times New Roman" w:hAnsi="Times New Roman" w:eastAsia="宋体" w:cs="宋体"/>
                <w:color w:val="000000"/>
                <w:kern w:val="0"/>
                <w:sz w:val="20"/>
                <w:szCs w:val="20"/>
              </w:rPr>
            </w:pPr>
          </w:p>
        </w:tc>
        <w:tc>
          <w:tcPr>
            <w:tcW w:w="561" w:type="pct"/>
            <w:tcBorders>
              <w:top w:val="single" w:color="auto" w:sz="4" w:space="0"/>
              <w:left w:val="single" w:color="auto" w:sz="4" w:space="0"/>
              <w:bottom w:val="single" w:color="auto" w:sz="4" w:space="0"/>
              <w:right w:val="single" w:color="auto" w:sz="4" w:space="0"/>
            </w:tcBorders>
            <w:noWrap w:val="0"/>
            <w:vAlign w:val="center"/>
          </w:tcPr>
          <w:p w14:paraId="68DAC8B6">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指标　</w:t>
            </w:r>
          </w:p>
        </w:tc>
        <w:tc>
          <w:tcPr>
            <w:tcW w:w="1741" w:type="pct"/>
            <w:gridSpan w:val="2"/>
            <w:tcBorders>
              <w:top w:val="single" w:color="auto" w:sz="4" w:space="0"/>
              <w:left w:val="single" w:color="auto" w:sz="4" w:space="0"/>
              <w:bottom w:val="single" w:color="auto" w:sz="4" w:space="0"/>
              <w:right w:val="single" w:color="auto" w:sz="4" w:space="0"/>
            </w:tcBorders>
            <w:noWrap w:val="0"/>
            <w:vAlign w:val="center"/>
          </w:tcPr>
          <w:p w14:paraId="2473C2F1">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20</w:t>
            </w:r>
            <w:r>
              <w:rPr>
                <w:rFonts w:hint="eastAsia" w:ascii="Times New Roman" w:hAnsi="Times New Roman" w:eastAsia="宋体" w:cs="宋体"/>
                <w:color w:val="000000"/>
                <w:kern w:val="0"/>
                <w:sz w:val="20"/>
                <w:szCs w:val="20"/>
                <w:lang w:val="en-US" w:eastAsia="zh-CN"/>
              </w:rPr>
              <w:t>23</w:t>
            </w:r>
            <w:r>
              <w:rPr>
                <w:rFonts w:hint="eastAsia" w:ascii="Times New Roman" w:hAnsi="Times New Roman" w:eastAsia="宋体" w:cs="宋体"/>
                <w:color w:val="000000"/>
                <w:kern w:val="0"/>
                <w:sz w:val="20"/>
                <w:szCs w:val="20"/>
              </w:rPr>
              <w:t>年</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185369EF">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202</w:t>
            </w:r>
            <w:r>
              <w:rPr>
                <w:rFonts w:hint="eastAsia" w:ascii="Times New Roman" w:hAnsi="Times New Roman" w:eastAsia="宋体" w:cs="宋体"/>
                <w:color w:val="000000"/>
                <w:kern w:val="0"/>
                <w:sz w:val="20"/>
                <w:szCs w:val="20"/>
                <w:lang w:val="en-US" w:eastAsia="zh-CN"/>
              </w:rPr>
              <w:t>4</w:t>
            </w:r>
            <w:r>
              <w:rPr>
                <w:rFonts w:hint="eastAsia" w:ascii="Times New Roman" w:hAnsi="Times New Roman" w:eastAsia="宋体" w:cs="宋体"/>
                <w:color w:val="000000"/>
                <w:kern w:val="0"/>
                <w:sz w:val="20"/>
                <w:szCs w:val="20"/>
              </w:rPr>
              <w:t>年</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19FD7434">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分值</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76122B4D">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得分</w:t>
            </w:r>
          </w:p>
        </w:tc>
      </w:tr>
      <w:tr w14:paraId="35B36856">
        <w:tblPrEx>
          <w:tblCellMar>
            <w:top w:w="0" w:type="dxa"/>
            <w:left w:w="108" w:type="dxa"/>
            <w:bottom w:w="0" w:type="dxa"/>
            <w:right w:w="108" w:type="dxa"/>
          </w:tblCellMar>
        </w:tblPrEx>
        <w:trPr>
          <w:cantSplit/>
          <w:trHeight w:val="793" w:hRule="atLeast"/>
        </w:trPr>
        <w:tc>
          <w:tcPr>
            <w:tcW w:w="492" w:type="pct"/>
            <w:vMerge w:val="continue"/>
            <w:tcBorders>
              <w:top w:val="single" w:color="auto" w:sz="4" w:space="0"/>
              <w:left w:val="single" w:color="auto" w:sz="4" w:space="0"/>
              <w:bottom w:val="single" w:color="auto" w:sz="4" w:space="0"/>
              <w:right w:val="single" w:color="auto" w:sz="4" w:space="0"/>
            </w:tcBorders>
            <w:noWrap w:val="0"/>
            <w:vAlign w:val="center"/>
          </w:tcPr>
          <w:p w14:paraId="10AA0772">
            <w:pPr>
              <w:widowControl/>
              <w:jc w:val="left"/>
              <w:rPr>
                <w:rFonts w:hint="eastAsia" w:ascii="Times New Roman" w:hAnsi="Times New Roman" w:eastAsia="宋体" w:cs="宋体"/>
                <w:color w:val="000000"/>
                <w:kern w:val="0"/>
                <w:sz w:val="20"/>
                <w:szCs w:val="20"/>
              </w:rPr>
            </w:pPr>
          </w:p>
        </w:tc>
        <w:tc>
          <w:tcPr>
            <w:tcW w:w="561" w:type="pct"/>
            <w:tcBorders>
              <w:top w:val="single" w:color="auto" w:sz="4" w:space="0"/>
              <w:left w:val="single" w:color="auto" w:sz="4" w:space="0"/>
              <w:bottom w:val="single" w:color="auto" w:sz="4" w:space="0"/>
              <w:right w:val="single" w:color="auto" w:sz="4" w:space="0"/>
            </w:tcBorders>
            <w:noWrap w:val="0"/>
            <w:vAlign w:val="center"/>
          </w:tcPr>
          <w:p w14:paraId="3AA32F70">
            <w:pPr>
              <w:widowControl/>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结转结余率（4）</w:t>
            </w:r>
          </w:p>
        </w:tc>
        <w:tc>
          <w:tcPr>
            <w:tcW w:w="1741" w:type="pct"/>
            <w:gridSpan w:val="2"/>
            <w:tcBorders>
              <w:top w:val="single" w:color="auto" w:sz="4" w:space="0"/>
              <w:left w:val="single" w:color="auto" w:sz="4" w:space="0"/>
              <w:bottom w:val="single" w:color="auto" w:sz="4" w:space="0"/>
              <w:right w:val="single" w:color="auto" w:sz="4" w:space="0"/>
            </w:tcBorders>
            <w:noWrap w:val="0"/>
            <w:vAlign w:val="center"/>
          </w:tcPr>
          <w:p w14:paraId="6E927F88">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rPr>
              <w:t>　</w:t>
            </w:r>
            <w:r>
              <w:rPr>
                <w:rFonts w:hint="eastAsia" w:ascii="Times New Roman" w:hAnsi="Times New Roman" w:eastAsia="宋体" w:cs="宋体"/>
                <w:color w:val="000000"/>
                <w:kern w:val="0"/>
                <w:sz w:val="20"/>
                <w:szCs w:val="20"/>
                <w:lang w:val="en-US" w:eastAsia="zh-CN"/>
              </w:rPr>
              <w:t>6.04%</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071D2707">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6.64%</w:t>
            </w:r>
            <w:r>
              <w:rPr>
                <w:rFonts w:hint="eastAsia" w:ascii="Times New Roman" w:hAnsi="Times New Roman" w:eastAsia="宋体" w:cs="宋体"/>
                <w:color w:val="000000"/>
                <w:kern w:val="0"/>
                <w:sz w:val="20"/>
                <w:szCs w:val="20"/>
              </w:rPr>
              <w:t>　</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0DFBDD2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4</w:t>
            </w:r>
            <w:r>
              <w:rPr>
                <w:rFonts w:hint="eastAsia" w:ascii="Times New Roman" w:hAnsi="Times New Roman" w:eastAsia="宋体" w:cs="宋体"/>
                <w:color w:val="000000"/>
                <w:kern w:val="0"/>
                <w:sz w:val="20"/>
                <w:szCs w:val="20"/>
                <w:lang w:val="en-US" w:eastAsia="zh-CN"/>
              </w:rPr>
              <w:t>.00</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2C4483F4">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3.76</w:t>
            </w:r>
          </w:p>
        </w:tc>
      </w:tr>
      <w:tr w14:paraId="1B097117">
        <w:tblPrEx>
          <w:tblCellMar>
            <w:top w:w="0" w:type="dxa"/>
            <w:left w:w="108" w:type="dxa"/>
            <w:bottom w:w="0" w:type="dxa"/>
            <w:right w:w="108" w:type="dxa"/>
          </w:tblCellMar>
        </w:tblPrEx>
        <w:trPr>
          <w:cantSplit/>
          <w:trHeight w:val="930" w:hRule="atLeast"/>
        </w:trPr>
        <w:tc>
          <w:tcPr>
            <w:tcW w:w="492" w:type="pct"/>
            <w:vMerge w:val="continue"/>
            <w:tcBorders>
              <w:top w:val="single" w:color="auto" w:sz="4" w:space="0"/>
              <w:left w:val="single" w:color="auto" w:sz="4" w:space="0"/>
              <w:bottom w:val="single" w:color="auto" w:sz="4" w:space="0"/>
              <w:right w:val="single" w:color="auto" w:sz="4" w:space="0"/>
            </w:tcBorders>
            <w:noWrap w:val="0"/>
            <w:vAlign w:val="center"/>
          </w:tcPr>
          <w:p w14:paraId="39FB71B1">
            <w:pPr>
              <w:widowControl/>
              <w:jc w:val="left"/>
              <w:rPr>
                <w:rFonts w:hint="eastAsia" w:ascii="Times New Roman" w:hAnsi="Times New Roman" w:eastAsia="宋体" w:cs="宋体"/>
                <w:color w:val="000000"/>
                <w:kern w:val="0"/>
                <w:sz w:val="20"/>
                <w:szCs w:val="20"/>
              </w:rPr>
            </w:pPr>
          </w:p>
        </w:tc>
        <w:tc>
          <w:tcPr>
            <w:tcW w:w="561" w:type="pct"/>
            <w:tcBorders>
              <w:top w:val="single" w:color="auto" w:sz="4" w:space="0"/>
              <w:left w:val="single" w:color="auto" w:sz="4" w:space="0"/>
              <w:bottom w:val="single" w:color="auto" w:sz="4" w:space="0"/>
              <w:right w:val="single" w:color="auto" w:sz="4" w:space="0"/>
            </w:tcBorders>
            <w:noWrap w:val="0"/>
            <w:vAlign w:val="center"/>
          </w:tcPr>
          <w:p w14:paraId="10E5E157">
            <w:pPr>
              <w:widowControl/>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部门预决算差异率（4）</w:t>
            </w:r>
          </w:p>
        </w:tc>
        <w:tc>
          <w:tcPr>
            <w:tcW w:w="1741" w:type="pct"/>
            <w:gridSpan w:val="2"/>
            <w:tcBorders>
              <w:top w:val="single" w:color="auto" w:sz="4" w:space="0"/>
              <w:left w:val="single" w:color="auto" w:sz="4" w:space="0"/>
              <w:bottom w:val="single" w:color="auto" w:sz="4" w:space="0"/>
              <w:right w:val="single" w:color="auto" w:sz="4" w:space="0"/>
            </w:tcBorders>
            <w:noWrap w:val="0"/>
            <w:vAlign w:val="center"/>
          </w:tcPr>
          <w:p w14:paraId="4D2CCA38">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1.04%</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1BA979E8">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2.77%</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02A0F67A">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rPr>
              <w:t>4</w:t>
            </w:r>
            <w:r>
              <w:rPr>
                <w:rFonts w:hint="eastAsia" w:ascii="Times New Roman" w:hAnsi="Times New Roman" w:eastAsia="宋体" w:cs="宋体"/>
                <w:color w:val="000000"/>
                <w:kern w:val="0"/>
                <w:sz w:val="20"/>
                <w:szCs w:val="20"/>
                <w:lang w:val="en-US" w:eastAsia="zh-CN"/>
              </w:rPr>
              <w:t>.00</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02295425">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3.31</w:t>
            </w:r>
          </w:p>
        </w:tc>
      </w:tr>
      <w:tr w14:paraId="0B9D226C">
        <w:tblPrEx>
          <w:tblCellMar>
            <w:top w:w="0" w:type="dxa"/>
            <w:left w:w="108" w:type="dxa"/>
            <w:bottom w:w="0" w:type="dxa"/>
            <w:right w:w="108" w:type="dxa"/>
          </w:tblCellMar>
        </w:tblPrEx>
        <w:trPr>
          <w:cantSplit/>
          <w:trHeight w:val="643" w:hRule="atLeast"/>
        </w:trPr>
        <w:tc>
          <w:tcPr>
            <w:tcW w:w="4430" w:type="pct"/>
            <w:gridSpan w:val="5"/>
            <w:tcBorders>
              <w:top w:val="single" w:color="auto" w:sz="4" w:space="0"/>
              <w:left w:val="single" w:color="auto" w:sz="4" w:space="0"/>
              <w:bottom w:val="single" w:color="auto" w:sz="4" w:space="0"/>
              <w:right w:val="single" w:color="auto" w:sz="4" w:space="0"/>
            </w:tcBorders>
            <w:noWrap w:val="0"/>
            <w:vAlign w:val="center"/>
          </w:tcPr>
          <w:p w14:paraId="4CC5BB5F">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合计</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5AC8B7EF">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100</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20DCAFF0">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95.74</w:t>
            </w:r>
          </w:p>
        </w:tc>
      </w:tr>
    </w:tbl>
    <w:p w14:paraId="3F32470C">
      <w:pPr>
        <w:jc w:val="center"/>
        <w:rPr>
          <w:rFonts w:hint="eastAsia" w:ascii="Times New Roman" w:hAnsi="Times New Roman" w:eastAsia="方正小标宋简体"/>
          <w:sz w:val="36"/>
          <w:szCs w:val="36"/>
        </w:rPr>
      </w:pPr>
    </w:p>
    <w:sectPr>
      <w:pgSz w:w="11906" w:h="16838"/>
      <w:pgMar w:top="720" w:right="720" w:bottom="720" w:left="72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Times New Roman Regular">
    <w:altName w:val="Times New Roman"/>
    <w:panose1 w:val="02020503050405090304"/>
    <w:charset w:val="00"/>
    <w:family w:val="auto"/>
    <w:pitch w:val="default"/>
    <w:sig w:usb0="00000000" w:usb1="00000000" w:usb2="00000001" w:usb3="00000000" w:csb0="400001BF" w:csb1="DFF70000"/>
  </w:font>
  <w:font w:name="CESI仿宋-GB2312">
    <w:altName w:val="仿宋"/>
    <w:panose1 w:val="02000500000000000000"/>
    <w:charset w:val="86"/>
    <w:family w:val="auto"/>
    <w:pitch w:val="default"/>
    <w:sig w:usb0="00000000" w:usb1="00000000" w:usb2="00000010"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FC559C">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004E23">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08D342">
    <w:pPr>
      <w:pStyle w:val="1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27241">
    <w:pPr>
      <w:pStyle w:val="1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A8ABA7">
                          <w:pPr>
                            <w:pStyle w:val="12"/>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7A8ABA7">
                    <w:pPr>
                      <w:pStyle w:val="12"/>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582FC48B">
      <w:pPr>
        <w:pStyle w:val="15"/>
        <w:snapToGrid w:val="0"/>
        <w:rPr>
          <w:rFonts w:hint="eastAsia" w:ascii="宋体" w:hAnsi="宋体" w:eastAsia="宋体" w:cs="宋体"/>
          <w:sz w:val="21"/>
          <w:szCs w:val="21"/>
          <w:lang w:eastAsia="zh-CN"/>
        </w:rPr>
      </w:pPr>
      <w:r>
        <w:rPr>
          <w:rStyle w:val="24"/>
        </w:rPr>
        <w:footnoteRef/>
      </w:r>
      <w:r>
        <w:t xml:space="preserve"> </w:t>
      </w:r>
      <w:r>
        <w:rPr>
          <w:rFonts w:hint="eastAsia" w:ascii="宋体" w:hAnsi="宋体" w:eastAsia="宋体" w:cs="宋体"/>
          <w:sz w:val="21"/>
          <w:szCs w:val="21"/>
          <w:lang w:val="en-US" w:eastAsia="zh-CN"/>
        </w:rPr>
        <w:t>“一刊、一站、三平台”具体指《首都文化执法》内刊，北京</w:t>
      </w:r>
      <w:r>
        <w:rPr>
          <w:rFonts w:hint="eastAsia" w:ascii="宋体" w:hAnsi="宋体" w:eastAsia="宋体" w:cs="宋体"/>
          <w:sz w:val="21"/>
          <w:szCs w:val="21"/>
        </w:rPr>
        <w:t>文化综合执法官方网站，北京文化综合执法公众号、头条号、百家号新媒体平台</w:t>
      </w:r>
      <w:r>
        <w:rPr>
          <w:rFonts w:hint="eastAsia" w:ascii="宋体" w:hAnsi="宋体" w:cs="宋体"/>
          <w:sz w:val="21"/>
          <w:szCs w:val="21"/>
          <w:lang w:eastAsia="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602802">
    <w:pPr>
      <w:pStyle w:val="1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D88102">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37E625">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8AAED6"/>
    <w:multiLevelType w:val="singleLevel"/>
    <w:tmpl w:val="888AAED6"/>
    <w:lvl w:ilvl="0" w:tentative="0">
      <w:start w:val="2"/>
      <w:numFmt w:val="decimal"/>
      <w:suff w:val="nothing"/>
      <w:lvlText w:val="（%1）"/>
      <w:lvlJc w:val="left"/>
    </w:lvl>
  </w:abstractNum>
  <w:abstractNum w:abstractNumId="1">
    <w:nsid w:val="9F17E352"/>
    <w:multiLevelType w:val="singleLevel"/>
    <w:tmpl w:val="9F17E352"/>
    <w:lvl w:ilvl="0" w:tentative="0">
      <w:start w:val="1"/>
      <w:numFmt w:val="decimal"/>
      <w:suff w:val="nothing"/>
      <w:lvlText w:val="（%1）"/>
      <w:lvlJc w:val="left"/>
    </w:lvl>
  </w:abstractNum>
  <w:abstractNum w:abstractNumId="2">
    <w:nsid w:val="ACA325DC"/>
    <w:multiLevelType w:val="singleLevel"/>
    <w:tmpl w:val="ACA325DC"/>
    <w:lvl w:ilvl="0" w:tentative="0">
      <w:start w:val="2"/>
      <w:numFmt w:val="decimal"/>
      <w:suff w:val="nothing"/>
      <w:lvlText w:val="（%1）"/>
      <w:lvlJc w:val="left"/>
    </w:lvl>
  </w:abstractNum>
  <w:abstractNum w:abstractNumId="3">
    <w:nsid w:val="057364C4"/>
    <w:multiLevelType w:val="singleLevel"/>
    <w:tmpl w:val="057364C4"/>
    <w:lvl w:ilvl="0" w:tentative="0">
      <w:start w:val="2"/>
      <w:numFmt w:val="decimal"/>
      <w:lvlText w:val="%1."/>
      <w:lvlJc w:val="left"/>
      <w:pPr>
        <w:tabs>
          <w:tab w:val="left" w:pos="312"/>
        </w:tabs>
      </w:pPr>
    </w:lvl>
  </w:abstractNum>
  <w:abstractNum w:abstractNumId="4">
    <w:nsid w:val="0E076187"/>
    <w:multiLevelType w:val="singleLevel"/>
    <w:tmpl w:val="0E076187"/>
    <w:lvl w:ilvl="0" w:tentative="0">
      <w:start w:val="1"/>
      <w:numFmt w:val="decimal"/>
      <w:suff w:val="nothing"/>
      <w:lvlText w:val="（%1）"/>
      <w:lvlJc w:val="left"/>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footnotePr>
    <w:footnote w:id="2"/>
    <w:footnote w:id="3"/>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kxZTNkYTE4MzcwZjBiNTE3ZTU5YTYxZWM3NjgzODMifQ=="/>
    <w:docVar w:name="KSO_WPS_MARK_KEY" w:val="04248fc1-3dcc-4a71-9af7-f1fceb7873c7"/>
  </w:docVars>
  <w:rsids>
    <w:rsidRoot w:val="F77F09F4"/>
    <w:rsid w:val="00006BE4"/>
    <w:rsid w:val="00012E23"/>
    <w:rsid w:val="00034CCE"/>
    <w:rsid w:val="00064F11"/>
    <w:rsid w:val="000A06EC"/>
    <w:rsid w:val="000A68EB"/>
    <w:rsid w:val="000B7C86"/>
    <w:rsid w:val="000D6C89"/>
    <w:rsid w:val="000E7E31"/>
    <w:rsid w:val="000F6AC8"/>
    <w:rsid w:val="00120C8E"/>
    <w:rsid w:val="001366AD"/>
    <w:rsid w:val="001413D1"/>
    <w:rsid w:val="00183C2E"/>
    <w:rsid w:val="00185894"/>
    <w:rsid w:val="00192C5A"/>
    <w:rsid w:val="001C5826"/>
    <w:rsid w:val="001D0E9C"/>
    <w:rsid w:val="001E0316"/>
    <w:rsid w:val="001E43E3"/>
    <w:rsid w:val="001E734C"/>
    <w:rsid w:val="001F1CE4"/>
    <w:rsid w:val="00227B7C"/>
    <w:rsid w:val="002339E5"/>
    <w:rsid w:val="00252731"/>
    <w:rsid w:val="00272D18"/>
    <w:rsid w:val="00285847"/>
    <w:rsid w:val="0029374C"/>
    <w:rsid w:val="002A7181"/>
    <w:rsid w:val="003040A3"/>
    <w:rsid w:val="003455CA"/>
    <w:rsid w:val="00354418"/>
    <w:rsid w:val="00362143"/>
    <w:rsid w:val="0036497D"/>
    <w:rsid w:val="00373FF1"/>
    <w:rsid w:val="00381482"/>
    <w:rsid w:val="00392803"/>
    <w:rsid w:val="00396DCF"/>
    <w:rsid w:val="003D1009"/>
    <w:rsid w:val="00402C28"/>
    <w:rsid w:val="004077F1"/>
    <w:rsid w:val="00451CCB"/>
    <w:rsid w:val="00470F1A"/>
    <w:rsid w:val="00484836"/>
    <w:rsid w:val="005004BA"/>
    <w:rsid w:val="005820D0"/>
    <w:rsid w:val="00595D63"/>
    <w:rsid w:val="005A338E"/>
    <w:rsid w:val="005B64E4"/>
    <w:rsid w:val="005D7F77"/>
    <w:rsid w:val="005F679D"/>
    <w:rsid w:val="00600939"/>
    <w:rsid w:val="00607794"/>
    <w:rsid w:val="00622FA5"/>
    <w:rsid w:val="00645C0F"/>
    <w:rsid w:val="006538BF"/>
    <w:rsid w:val="00685AF3"/>
    <w:rsid w:val="00692422"/>
    <w:rsid w:val="006D1352"/>
    <w:rsid w:val="006E70C4"/>
    <w:rsid w:val="006F23C1"/>
    <w:rsid w:val="006F26B5"/>
    <w:rsid w:val="006F3F67"/>
    <w:rsid w:val="00704859"/>
    <w:rsid w:val="007258B7"/>
    <w:rsid w:val="00742F7B"/>
    <w:rsid w:val="00743929"/>
    <w:rsid w:val="00766CAA"/>
    <w:rsid w:val="007B0891"/>
    <w:rsid w:val="007B528D"/>
    <w:rsid w:val="007D1F33"/>
    <w:rsid w:val="007D2DEF"/>
    <w:rsid w:val="007F30DF"/>
    <w:rsid w:val="00813585"/>
    <w:rsid w:val="00826A17"/>
    <w:rsid w:val="00844A5C"/>
    <w:rsid w:val="00847BC3"/>
    <w:rsid w:val="00850237"/>
    <w:rsid w:val="00850FD0"/>
    <w:rsid w:val="008600C6"/>
    <w:rsid w:val="008D353B"/>
    <w:rsid w:val="008E0F89"/>
    <w:rsid w:val="008F7808"/>
    <w:rsid w:val="00940370"/>
    <w:rsid w:val="0096472F"/>
    <w:rsid w:val="00967498"/>
    <w:rsid w:val="00993D40"/>
    <w:rsid w:val="009A1783"/>
    <w:rsid w:val="009B6973"/>
    <w:rsid w:val="009E2A00"/>
    <w:rsid w:val="009F2FF6"/>
    <w:rsid w:val="00A174DD"/>
    <w:rsid w:val="00A305A9"/>
    <w:rsid w:val="00A6020D"/>
    <w:rsid w:val="00A73EB1"/>
    <w:rsid w:val="00A83D36"/>
    <w:rsid w:val="00A86328"/>
    <w:rsid w:val="00AA5FED"/>
    <w:rsid w:val="00AB5341"/>
    <w:rsid w:val="00AD32CF"/>
    <w:rsid w:val="00AD3905"/>
    <w:rsid w:val="00AE46B3"/>
    <w:rsid w:val="00B35243"/>
    <w:rsid w:val="00B37F12"/>
    <w:rsid w:val="00B41D95"/>
    <w:rsid w:val="00B567DB"/>
    <w:rsid w:val="00B57E35"/>
    <w:rsid w:val="00B62F3F"/>
    <w:rsid w:val="00B8645A"/>
    <w:rsid w:val="00B92DB8"/>
    <w:rsid w:val="00B96C8A"/>
    <w:rsid w:val="00BE73AA"/>
    <w:rsid w:val="00C16F38"/>
    <w:rsid w:val="00C36450"/>
    <w:rsid w:val="00C40694"/>
    <w:rsid w:val="00C6019C"/>
    <w:rsid w:val="00C906D3"/>
    <w:rsid w:val="00CA5BE2"/>
    <w:rsid w:val="00CD25BC"/>
    <w:rsid w:val="00CF15C2"/>
    <w:rsid w:val="00CF32B2"/>
    <w:rsid w:val="00D11BCC"/>
    <w:rsid w:val="00D20E04"/>
    <w:rsid w:val="00D444E6"/>
    <w:rsid w:val="00D46C53"/>
    <w:rsid w:val="00D62EB7"/>
    <w:rsid w:val="00D65753"/>
    <w:rsid w:val="00D84ACE"/>
    <w:rsid w:val="00D9180C"/>
    <w:rsid w:val="00DB3267"/>
    <w:rsid w:val="00DD2C71"/>
    <w:rsid w:val="00E01208"/>
    <w:rsid w:val="00E61E49"/>
    <w:rsid w:val="00E61F8D"/>
    <w:rsid w:val="00E6283E"/>
    <w:rsid w:val="00E66439"/>
    <w:rsid w:val="00E67C3A"/>
    <w:rsid w:val="00E67E7A"/>
    <w:rsid w:val="00E70EC1"/>
    <w:rsid w:val="00E815CD"/>
    <w:rsid w:val="00E91795"/>
    <w:rsid w:val="00F155C7"/>
    <w:rsid w:val="00F477DB"/>
    <w:rsid w:val="00F5588A"/>
    <w:rsid w:val="00F66C4D"/>
    <w:rsid w:val="00F82872"/>
    <w:rsid w:val="00F82B2D"/>
    <w:rsid w:val="00FA6052"/>
    <w:rsid w:val="00FC4FDD"/>
    <w:rsid w:val="00FC571B"/>
    <w:rsid w:val="00FE185D"/>
    <w:rsid w:val="00FE57FA"/>
    <w:rsid w:val="01111E3C"/>
    <w:rsid w:val="024520DA"/>
    <w:rsid w:val="03344F16"/>
    <w:rsid w:val="03541CED"/>
    <w:rsid w:val="0513198A"/>
    <w:rsid w:val="09E321F9"/>
    <w:rsid w:val="0BA92DDC"/>
    <w:rsid w:val="1102547E"/>
    <w:rsid w:val="14AF1479"/>
    <w:rsid w:val="14DD091B"/>
    <w:rsid w:val="17591795"/>
    <w:rsid w:val="175F53D8"/>
    <w:rsid w:val="19756D44"/>
    <w:rsid w:val="19F3005A"/>
    <w:rsid w:val="1ABF6B79"/>
    <w:rsid w:val="1B912F85"/>
    <w:rsid w:val="1C003724"/>
    <w:rsid w:val="1C47643B"/>
    <w:rsid w:val="1E427806"/>
    <w:rsid w:val="20B147CB"/>
    <w:rsid w:val="22731F70"/>
    <w:rsid w:val="22934188"/>
    <w:rsid w:val="245F117A"/>
    <w:rsid w:val="249F1276"/>
    <w:rsid w:val="24B338AB"/>
    <w:rsid w:val="264F6618"/>
    <w:rsid w:val="26B26BA7"/>
    <w:rsid w:val="297F2C77"/>
    <w:rsid w:val="2AA31251"/>
    <w:rsid w:val="2AB7276F"/>
    <w:rsid w:val="2B872CF7"/>
    <w:rsid w:val="2E4F1465"/>
    <w:rsid w:val="2F8932F6"/>
    <w:rsid w:val="341344B2"/>
    <w:rsid w:val="34825E0A"/>
    <w:rsid w:val="37173543"/>
    <w:rsid w:val="3748158D"/>
    <w:rsid w:val="37FF3F09"/>
    <w:rsid w:val="3A6F6951"/>
    <w:rsid w:val="3A824DB6"/>
    <w:rsid w:val="3AA832CC"/>
    <w:rsid w:val="3AAF26A3"/>
    <w:rsid w:val="3C2B4FD9"/>
    <w:rsid w:val="3C3772B6"/>
    <w:rsid w:val="3D21040C"/>
    <w:rsid w:val="3DAD610B"/>
    <w:rsid w:val="3ED71449"/>
    <w:rsid w:val="3FDBA076"/>
    <w:rsid w:val="3FDFB3F0"/>
    <w:rsid w:val="3FDFC9A6"/>
    <w:rsid w:val="3FF76880"/>
    <w:rsid w:val="40834A82"/>
    <w:rsid w:val="42221820"/>
    <w:rsid w:val="42417305"/>
    <w:rsid w:val="426F37FD"/>
    <w:rsid w:val="43831936"/>
    <w:rsid w:val="44613C8E"/>
    <w:rsid w:val="44937BC0"/>
    <w:rsid w:val="46923C9B"/>
    <w:rsid w:val="48261F52"/>
    <w:rsid w:val="4B8F7333"/>
    <w:rsid w:val="4BC93EC7"/>
    <w:rsid w:val="4E264ACB"/>
    <w:rsid w:val="4E345F70"/>
    <w:rsid w:val="4EF17524"/>
    <w:rsid w:val="51C8534D"/>
    <w:rsid w:val="521D394A"/>
    <w:rsid w:val="53D97BFD"/>
    <w:rsid w:val="54660E4D"/>
    <w:rsid w:val="562020EF"/>
    <w:rsid w:val="57DBBC9E"/>
    <w:rsid w:val="58396BC1"/>
    <w:rsid w:val="586A1AA2"/>
    <w:rsid w:val="5AFE1C82"/>
    <w:rsid w:val="5B4201CE"/>
    <w:rsid w:val="5BFD4AC2"/>
    <w:rsid w:val="60D83870"/>
    <w:rsid w:val="617D2584"/>
    <w:rsid w:val="65B80FD8"/>
    <w:rsid w:val="66565FB4"/>
    <w:rsid w:val="67759716"/>
    <w:rsid w:val="68F66048"/>
    <w:rsid w:val="69FF0C59"/>
    <w:rsid w:val="6AFF543F"/>
    <w:rsid w:val="6C486A31"/>
    <w:rsid w:val="6F636A4F"/>
    <w:rsid w:val="6F7ED27B"/>
    <w:rsid w:val="7017210D"/>
    <w:rsid w:val="70717342"/>
    <w:rsid w:val="715A3FC9"/>
    <w:rsid w:val="75B17A7C"/>
    <w:rsid w:val="75CE1F56"/>
    <w:rsid w:val="7702635B"/>
    <w:rsid w:val="7775267B"/>
    <w:rsid w:val="79E42241"/>
    <w:rsid w:val="7AB7FF50"/>
    <w:rsid w:val="7AEAF641"/>
    <w:rsid w:val="7B2E3BC3"/>
    <w:rsid w:val="7BAD2729"/>
    <w:rsid w:val="7BFEB0DB"/>
    <w:rsid w:val="7E6EB110"/>
    <w:rsid w:val="7F0B2F24"/>
    <w:rsid w:val="7F3FC388"/>
    <w:rsid w:val="7F4D0390"/>
    <w:rsid w:val="7FFF4E81"/>
    <w:rsid w:val="7FFFD0D3"/>
    <w:rsid w:val="8716660E"/>
    <w:rsid w:val="A3AA735E"/>
    <w:rsid w:val="A75D4892"/>
    <w:rsid w:val="AFFFCE02"/>
    <w:rsid w:val="CEFD3F3D"/>
    <w:rsid w:val="D6B22E60"/>
    <w:rsid w:val="EA3F77F2"/>
    <w:rsid w:val="EEFE5989"/>
    <w:rsid w:val="EFCF3EAE"/>
    <w:rsid w:val="F4FDEB06"/>
    <w:rsid w:val="F5B764A2"/>
    <w:rsid w:val="F77F09F4"/>
    <w:rsid w:val="FBFF6E65"/>
    <w:rsid w:val="FEEF6AA0"/>
    <w:rsid w:val="FFB792B8"/>
    <w:rsid w:val="FFD7BFFC"/>
    <w:rsid w:val="FFFA6B0F"/>
    <w:rsid w:val="FFFFB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6">
    <w:name w:val="heading 4"/>
    <w:basedOn w:val="1"/>
    <w:next w:val="1"/>
    <w:unhideWhenUsed/>
    <w:qFormat/>
    <w:uiPriority w:val="0"/>
    <w:pPr>
      <w:keepNext/>
      <w:keepLines/>
      <w:spacing w:before="280" w:after="290" w:line="376" w:lineRule="auto"/>
      <w:outlineLvl w:val="3"/>
    </w:pPr>
    <w:rPr>
      <w:rFonts w:ascii="Cambria" w:hAnsi="Cambria"/>
      <w:sz w:val="28"/>
      <w:szCs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40" w:line="276" w:lineRule="auto"/>
    </w:pPr>
  </w:style>
  <w:style w:type="paragraph" w:styleId="7">
    <w:name w:val="Normal Indent"/>
    <w:basedOn w:val="1"/>
    <w:next w:val="1"/>
    <w:qFormat/>
    <w:uiPriority w:val="0"/>
    <w:pPr>
      <w:ind w:firstLine="200" w:firstLineChars="200"/>
    </w:pPr>
  </w:style>
  <w:style w:type="paragraph" w:styleId="8">
    <w:name w:val="caption"/>
    <w:basedOn w:val="1"/>
    <w:next w:val="1"/>
    <w:semiHidden/>
    <w:unhideWhenUsed/>
    <w:qFormat/>
    <w:uiPriority w:val="0"/>
    <w:rPr>
      <w:rFonts w:ascii="Arial" w:hAnsi="Arial" w:eastAsia="黑体"/>
      <w:sz w:val="20"/>
    </w:rPr>
  </w:style>
  <w:style w:type="paragraph" w:styleId="9">
    <w:name w:val="annotation text"/>
    <w:basedOn w:val="1"/>
    <w:qFormat/>
    <w:uiPriority w:val="0"/>
    <w:pPr>
      <w:jc w:val="left"/>
    </w:pPr>
  </w:style>
  <w:style w:type="paragraph" w:styleId="10">
    <w:name w:val="Plain Text"/>
    <w:basedOn w:val="1"/>
    <w:unhideWhenUsed/>
    <w:qFormat/>
    <w:uiPriority w:val="99"/>
    <w:rPr>
      <w:rFonts w:ascii="宋体" w:hAnsi="Courier New" w:eastAsia="宋体" w:cs="Courier New"/>
    </w:rPr>
  </w:style>
  <w:style w:type="paragraph" w:styleId="11">
    <w:name w:val="Balloon Text"/>
    <w:basedOn w:val="1"/>
    <w:link w:val="30"/>
    <w:qFormat/>
    <w:uiPriority w:val="0"/>
    <w:rPr>
      <w:sz w:val="18"/>
      <w:szCs w:val="18"/>
    </w:rPr>
  </w:style>
  <w:style w:type="paragraph" w:styleId="12">
    <w:name w:val="footer"/>
    <w:basedOn w:val="1"/>
    <w:qFormat/>
    <w:uiPriority w:val="99"/>
    <w:pPr>
      <w:tabs>
        <w:tab w:val="center" w:pos="4153"/>
        <w:tab w:val="right" w:pos="8306"/>
      </w:tabs>
      <w:snapToGrid w:val="0"/>
      <w:jc w:val="right"/>
    </w:pPr>
    <w:rPr>
      <w:sz w:val="18"/>
      <w:szCs w:val="20"/>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39"/>
  </w:style>
  <w:style w:type="paragraph" w:styleId="15">
    <w:name w:val="footnote text"/>
    <w:basedOn w:val="1"/>
    <w:link w:val="26"/>
    <w:qFormat/>
    <w:uiPriority w:val="0"/>
    <w:pPr>
      <w:snapToGrid w:val="0"/>
      <w:jc w:val="left"/>
    </w:pPr>
    <w:rPr>
      <w:sz w:val="18"/>
      <w:szCs w:val="18"/>
    </w:rPr>
  </w:style>
  <w:style w:type="paragraph" w:styleId="16">
    <w:name w:val="toc 2"/>
    <w:basedOn w:val="1"/>
    <w:next w:val="1"/>
    <w:qFormat/>
    <w:uiPriority w:val="39"/>
    <w:pPr>
      <w:ind w:left="420" w:leftChars="200"/>
    </w:pPr>
  </w:style>
  <w:style w:type="paragraph" w:styleId="17">
    <w:name w:val="Normal (Web)"/>
    <w:basedOn w:val="1"/>
    <w:autoRedefine/>
    <w:qFormat/>
    <w:uiPriority w:val="0"/>
    <w:pPr>
      <w:widowControl/>
      <w:jc w:val="left"/>
    </w:pPr>
    <w:rPr>
      <w:rFonts w:ascii="宋体" w:hAnsi="宋体" w:cs="宋体"/>
      <w:kern w:val="0"/>
      <w:sz w:val="24"/>
    </w:rPr>
  </w:style>
  <w:style w:type="table" w:styleId="19">
    <w:name w:val="Table Grid"/>
    <w:basedOn w:val="1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rPr>
  </w:style>
  <w:style w:type="character" w:styleId="22">
    <w:name w:val="Emphasis"/>
    <w:basedOn w:val="20"/>
    <w:qFormat/>
    <w:uiPriority w:val="0"/>
    <w:rPr>
      <w:i/>
    </w:rPr>
  </w:style>
  <w:style w:type="character" w:styleId="23">
    <w:name w:val="Hyperlink"/>
    <w:basedOn w:val="20"/>
    <w:unhideWhenUsed/>
    <w:qFormat/>
    <w:uiPriority w:val="99"/>
    <w:rPr>
      <w:color w:val="0563C1" w:themeColor="hyperlink"/>
      <w:u w:val="single"/>
      <w14:textFill>
        <w14:solidFill>
          <w14:schemeClr w14:val="hlink"/>
        </w14:solidFill>
      </w14:textFill>
    </w:rPr>
  </w:style>
  <w:style w:type="character" w:styleId="24">
    <w:name w:val="footnote reference"/>
    <w:basedOn w:val="20"/>
    <w:qFormat/>
    <w:uiPriority w:val="0"/>
    <w:rPr>
      <w:vertAlign w:val="superscript"/>
    </w:rPr>
  </w:style>
  <w:style w:type="paragraph" w:customStyle="1" w:styleId="25">
    <w:name w:val="列出段落1"/>
    <w:basedOn w:val="1"/>
    <w:qFormat/>
    <w:uiPriority w:val="34"/>
    <w:pPr>
      <w:ind w:firstLine="420" w:firstLineChars="200"/>
    </w:pPr>
    <w:rPr>
      <w:rFonts w:ascii="Calibri" w:hAnsi="Calibri" w:cs="黑体"/>
      <w:szCs w:val="22"/>
    </w:rPr>
  </w:style>
  <w:style w:type="character" w:customStyle="1" w:styleId="26">
    <w:name w:val="脚注文本 字符"/>
    <w:basedOn w:val="20"/>
    <w:link w:val="15"/>
    <w:qFormat/>
    <w:uiPriority w:val="0"/>
    <w:rPr>
      <w:rFonts w:ascii="Times New Roman" w:hAnsi="Times New Roman" w:eastAsia="宋体" w:cs="Times New Roman"/>
      <w:kern w:val="2"/>
      <w:sz w:val="18"/>
      <w:szCs w:val="18"/>
    </w:rPr>
  </w:style>
  <w:style w:type="paragraph" w:customStyle="1" w:styleId="27">
    <w:name w:val="WPSOffice手动目录 1"/>
    <w:qFormat/>
    <w:uiPriority w:val="0"/>
    <w:rPr>
      <w:rFonts w:ascii="Times New Roman" w:hAnsi="Times New Roman" w:eastAsia="宋体" w:cs="Times New Roman"/>
      <w:lang w:val="en-US" w:eastAsia="zh-CN" w:bidi="ar-SA"/>
    </w:rPr>
  </w:style>
  <w:style w:type="paragraph" w:customStyle="1" w:styleId="28">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29">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30">
    <w:name w:val="批注框文本 字符"/>
    <w:basedOn w:val="20"/>
    <w:link w:val="11"/>
    <w:qFormat/>
    <w:uiPriority w:val="0"/>
    <w:rPr>
      <w:rFonts w:ascii="Times New Roman" w:hAnsi="Times New Roman" w:eastAsia="宋体" w:cs="Times New Roman"/>
      <w:kern w:val="2"/>
      <w:sz w:val="18"/>
      <w:szCs w:val="18"/>
    </w:rPr>
  </w:style>
  <w:style w:type="paragraph" w:customStyle="1" w:styleId="31">
    <w:name w:val="toc 11"/>
    <w:next w:val="1"/>
    <w:qFormat/>
    <w:uiPriority w:val="0"/>
    <w:pPr>
      <w:wordWrap w:val="0"/>
      <w:jc w:val="both"/>
    </w:pPr>
    <w:rPr>
      <w:rFonts w:ascii="Times New Roman" w:hAnsi="Times New Roman" w:eastAsia="宋体" w:cs="Times New Roman"/>
      <w:sz w:val="21"/>
      <w:szCs w:val="22"/>
      <w:lang w:val="en-US" w:eastAsia="zh-CN" w:bidi="ar-SA"/>
    </w:rPr>
  </w:style>
  <w:style w:type="character" w:customStyle="1" w:styleId="32">
    <w:name w:val="NormalCharacter"/>
    <w:semiHidden/>
    <w:qFormat/>
    <w:uiPriority w:val="0"/>
    <w:rPr>
      <w:rFonts w:ascii="Times New Roman" w:hAnsi="Times New Roman" w:eastAsia="仿宋"/>
      <w:sz w:val="32"/>
      <w:vertAlign w:val="baseline"/>
    </w:rPr>
  </w:style>
  <w:style w:type="paragraph" w:customStyle="1" w:styleId="33">
    <w:name w:val="1201-大标题"/>
    <w:qFormat/>
    <w:uiPriority w:val="0"/>
    <w:pPr>
      <w:spacing w:line="700" w:lineRule="exact"/>
      <w:jc w:val="center"/>
    </w:pPr>
    <w:rPr>
      <w:rFonts w:ascii="黑体" w:hAnsi="黑体" w:eastAsia="方正小标宋简体" w:cs="Times New Roman"/>
      <w:kern w:val="0"/>
      <w:sz w:val="36"/>
      <w:szCs w:val="36"/>
      <w:lang w:val="en-US" w:eastAsia="zh-CN" w:bidi="ar-SA"/>
    </w:rPr>
  </w:style>
  <w:style w:type="paragraph" w:customStyle="1" w:styleId="34">
    <w:name w:val="1201正文"/>
    <w:basedOn w:val="1"/>
    <w:qFormat/>
    <w:uiPriority w:val="0"/>
    <w:pPr>
      <w:spacing w:line="520" w:lineRule="exact"/>
      <w:ind w:firstLine="200" w:firstLineChars="200"/>
    </w:pPr>
    <w:rPr>
      <w:rFonts w:ascii="仿宋_GB2312" w:eastAsia="仿宋_GB2312" w:cs="仿宋_GB2312"/>
      <w:sz w:val="28"/>
      <w:szCs w:val="32"/>
    </w:rPr>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footnotes" Target="footnote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footer" Target="footer4.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numbering" Target="numbering.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27</Pages>
  <Words>13814</Words>
  <Characters>14630</Characters>
  <Lines>77</Lines>
  <Paragraphs>21</Paragraphs>
  <TotalTime>65</TotalTime>
  <ScaleCrop>false</ScaleCrop>
  <LinksUpToDate>false</LinksUpToDate>
  <CharactersWithSpaces>14721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2024-05-17T08:37:00Z</dcterms:created>
  <dc:creator>user</dc:creator>
  <cp:lastModifiedBy>qgxq</cp:lastModifiedBy>
  <cp:lastPrinted>2025-08-21T07:49:00Z</cp:lastPrinted>
  <dcterms:modified xsi:type="dcterms:W3CDTF">2025-08-29T06:42:22Z</dcterms:modified>
  <cp:revision>6</cp:revision>
</cp:coreProperties>
</file>

<file path=docProps/custom.xml><?xml version="1.0" encoding="utf-8"?>
<Properties xmlns:mce="http://schemas.openxmlformats.org/markup-compatibility/2006" xmlns:vt="http://schemas.openxmlformats.org/officeDocument/2006/docPropsVTypes" xmlns="http://schemas.openxmlformats.org/officeDocument/2006/custom-properties">
  <property pid="3" name="KSOProductBuildVer" fmtid="{D5CDD505-2E9C-101B-9397-08002B2CF9AE}">
    <vt:lpwstr>2052-12.1.0.22529</vt:lpwstr>
  </property>
  <property pid="4" name="ICV" fmtid="{D5CDD505-2E9C-101B-9397-08002B2CF9AE}">
    <vt:lpwstr>55439D51013A401A96CB302725066B39_13</vt:lpwstr>
  </property>
  <property pid="5" name="KSOTemplateDocerSaveRecord" fmtid="{D5CDD505-2E9C-101B-9397-08002B2CF9AE}">
    <vt:lpwstr>eyJoZGlkIjoiMmFjN2ViODU5MzI1MGQ1MzQ1OGIyOWY0YjY3ZTFlZTAiLCJ1c2VySWQiOiIxNTE3NTI1NTU2In0=</vt:lpwstr>
  </property>
  <property pid="6" name="skgMailInfo000" fmtid="{D5CDD505-2E9C-101B-9397-08002B2CF9AE}">
    <vt:lpwstr>eyAibWFpbEZyb20iOiAiemZ4eGdrQGp4ai5iZWlqaW5nLmdvdi5jbiIsICJyY3B0VG8iOiAieGllbWVuZ3FpQGdtdy5jbiIsICJuYW1lIjogIuS4gOOAgemDqOmXqOaVtOS9k+e7qeaViOivhOS7t+aKpeWRii5kb2N4IiwgImRhdGUiOiAiMjAyNS0wOC0yOVQxNDo1MDozMi41NDczMTQrMDgwMCIsICJtZDUiOiAiOThmMzZjY2E0YzZjZWM1ZGJmMmQ4Y2MwYmNjOWNlYjQiLCAidmVyc2lvbiI6ICIwLjEiIH0=</vt:lpwstr>
  </property>
  <property pid="7" name="skgMailId" fmtid="{D5CDD505-2E9C-101B-9397-08002B2CF9AE}">
    <vt:lpwstr>1</vt:lpwstr>
  </property>
</Properties>
</file>