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F4CBBF">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华文中宋" w:hAnsi="华文中宋" w:eastAsia="华文中宋" w:cs="华文中宋"/>
          <w:bCs/>
          <w:sz w:val="36"/>
          <w:szCs w:val="36"/>
        </w:rPr>
      </w:pPr>
      <w:r>
        <w:rPr>
          <w:rFonts w:hint="eastAsia" w:ascii="华文中宋" w:hAnsi="华文中宋" w:eastAsia="华文中宋" w:cs="华文中宋"/>
          <w:bCs/>
          <w:sz w:val="36"/>
          <w:szCs w:val="36"/>
        </w:rPr>
        <w:t>汽车制造业减污降碳关键技术集成与应用研究</w:t>
      </w:r>
    </w:p>
    <w:p w14:paraId="08431D7B">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华文中宋" w:hAnsi="华文中宋" w:eastAsia="华文中宋" w:cs="华文中宋"/>
          <w:bCs/>
          <w:sz w:val="36"/>
          <w:szCs w:val="36"/>
        </w:rPr>
      </w:pPr>
      <w:r>
        <w:rPr>
          <w:rFonts w:hint="eastAsia" w:ascii="华文中宋" w:hAnsi="华文中宋" w:eastAsia="华文中宋" w:cs="华文中宋"/>
          <w:bCs/>
          <w:sz w:val="36"/>
          <w:szCs w:val="36"/>
        </w:rPr>
        <w:t>项目</w:t>
      </w:r>
      <w:r>
        <w:rPr>
          <w:rFonts w:hint="eastAsia" w:ascii="华文中宋" w:hAnsi="华文中宋" w:eastAsia="华文中宋" w:cs="华文中宋"/>
          <w:bCs/>
          <w:sz w:val="36"/>
          <w:szCs w:val="36"/>
          <w:lang w:val="en-US" w:eastAsia="zh-CN"/>
        </w:rPr>
        <w:t>支出</w:t>
      </w:r>
      <w:r>
        <w:rPr>
          <w:rFonts w:hint="eastAsia" w:ascii="华文中宋" w:hAnsi="华文中宋" w:eastAsia="华文中宋" w:cs="华文中宋"/>
          <w:bCs/>
          <w:sz w:val="36"/>
          <w:szCs w:val="36"/>
        </w:rPr>
        <w:t>绩效评价报告</w:t>
      </w:r>
    </w:p>
    <w:p w14:paraId="150D6528">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center"/>
        <w:textAlignment w:val="auto"/>
        <w:rPr>
          <w:rFonts w:hint="eastAsia" w:ascii="仿宋_GB2312"/>
          <w:szCs w:val="32"/>
        </w:rPr>
      </w:pPr>
    </w:p>
    <w:p w14:paraId="0C514B6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sz w:val="32"/>
          <w:szCs w:val="32"/>
        </w:rPr>
      </w:pPr>
      <w:bookmarkStart w:id="0" w:name="_Toc35588393"/>
      <w:bookmarkStart w:id="1" w:name="_Toc167040546"/>
      <w:r>
        <w:rPr>
          <w:rFonts w:hint="eastAsia" w:ascii="黑体" w:hAnsi="黑体" w:eastAsia="黑体" w:cs="微软雅黑"/>
          <w:sz w:val="32"/>
          <w:szCs w:val="32"/>
        </w:rPr>
        <w:t>一、基本情况</w:t>
      </w:r>
      <w:bookmarkEnd w:id="0"/>
      <w:bookmarkEnd w:id="1"/>
    </w:p>
    <w:p w14:paraId="7386B12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ascii="楷体_GB2312" w:eastAsia="楷体_GB2312"/>
          <w:sz w:val="32"/>
          <w:szCs w:val="32"/>
        </w:rPr>
      </w:pPr>
      <w:bookmarkStart w:id="2" w:name="_Toc35588394"/>
      <w:bookmarkStart w:id="3" w:name="_Toc167040547"/>
      <w:r>
        <w:rPr>
          <w:rFonts w:hint="eastAsia" w:ascii="楷体_GB2312" w:eastAsia="楷体_GB2312"/>
          <w:sz w:val="32"/>
          <w:szCs w:val="32"/>
        </w:rPr>
        <w:t>（一）项目概况</w:t>
      </w:r>
      <w:bookmarkEnd w:id="2"/>
      <w:bookmarkEnd w:id="3"/>
      <w:bookmarkStart w:id="4" w:name="_Toc35588395"/>
    </w:p>
    <w:bookmarkEnd w:id="4"/>
    <w:p w14:paraId="224BD93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宋体" w:cs="宋体"/>
          <w:kern w:val="0"/>
          <w:sz w:val="32"/>
          <w:szCs w:val="32"/>
        </w:rPr>
      </w:pPr>
      <w:r>
        <w:rPr>
          <w:rFonts w:hint="eastAsia" w:ascii="仿宋_GB2312" w:hAnsi="宋体" w:cs="宋体"/>
          <w:kern w:val="0"/>
          <w:sz w:val="32"/>
          <w:szCs w:val="32"/>
        </w:rPr>
        <w:t>1.项目背景</w:t>
      </w:r>
    </w:p>
    <w:p w14:paraId="2F49F68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cs="宋体"/>
          <w:kern w:val="0"/>
          <w:sz w:val="32"/>
          <w:szCs w:val="32"/>
        </w:rPr>
      </w:pPr>
      <w:r>
        <w:rPr>
          <w:rFonts w:hint="eastAsia" w:ascii="仿宋_GB2312" w:hAnsi="宋体" w:cs="宋体"/>
          <w:kern w:val="0"/>
          <w:sz w:val="32"/>
          <w:szCs w:val="32"/>
        </w:rPr>
        <w:t>汽车制造业是我国污染防治、节能减碳重点控制行业，汽车产业减污降碳对我国生态环境持续改善至关重要。2019年生态环境部《重点行业挥发性有机物综合治理方案》中指出“加大汽车、家具、集装箱、电子产品、工程机械等行业VOCs治理力度”。2021年工业和信息化部《“十四五”工业绿色发展规划》也多次强调了汽车行业绿色制造的重要性。2022年国务院办公厅在《新污染物治理行动方案》明确了新污染物筛查、评估、管控全流程要求。在减污降碳、加强环境治理的常态化要求下，汽车制造企业必须立足实际，遵循减污降碳内在规律，强化源头治理、系统治理、综合治理，优化治理路径，推动减污降碳协同增效。在源头治理方面，探索汽车制造行业车间污染状况的植物监测技术，对于形成作业环境特定污染物的便捷和系统监测具有重要意义。</w:t>
      </w:r>
    </w:p>
    <w:p w14:paraId="7C444D2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cs="宋体"/>
          <w:kern w:val="0"/>
          <w:sz w:val="32"/>
          <w:szCs w:val="32"/>
        </w:rPr>
      </w:pPr>
      <w:r>
        <w:rPr>
          <w:rFonts w:hint="eastAsia" w:ascii="仿宋_GB2312" w:hAnsi="宋体" w:cs="宋体"/>
          <w:kern w:val="0"/>
          <w:sz w:val="32"/>
          <w:szCs w:val="32"/>
        </w:rPr>
        <w:t>为贯彻落实国家相关文件要求，提高汽车制造业绿色低碳水平，推动行业高质量发展，2024年，北京市科学技术研究院（以下简称“市科研院”）继续申请实施“汽车制造业减污降碳关键技术研究”项目，围绕汽车制造行业排放的废水、废气、固体废弃物中特征污染物及新污染物识别及定量检测方法开发、水资源高效利用、挥发性有机物治理、土壤风险管控等重点难点问题，开展减污降碳关键技术研究，旨在为全面促进汽车制造业减污降碳提供技术支撑。</w:t>
      </w:r>
    </w:p>
    <w:p w14:paraId="00CDA07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宋体" w:cs="宋体"/>
          <w:kern w:val="0"/>
          <w:sz w:val="32"/>
          <w:szCs w:val="32"/>
        </w:rPr>
      </w:pPr>
      <w:bookmarkStart w:id="5" w:name="_Toc35588396"/>
      <w:r>
        <w:rPr>
          <w:rFonts w:hint="eastAsia" w:ascii="仿宋_GB2312" w:hAnsi="宋体" w:cs="宋体"/>
          <w:kern w:val="0"/>
          <w:sz w:val="32"/>
          <w:szCs w:val="32"/>
        </w:rPr>
        <w:t>2.项目主要内容</w:t>
      </w:r>
      <w:bookmarkEnd w:id="5"/>
      <w:bookmarkStart w:id="6" w:name="_Toc35588397"/>
    </w:p>
    <w:p w14:paraId="0DF0D2D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cs="宋体"/>
          <w:kern w:val="0"/>
          <w:sz w:val="32"/>
          <w:szCs w:val="32"/>
        </w:rPr>
      </w:pPr>
      <w:r>
        <w:rPr>
          <w:rFonts w:hint="eastAsia" w:ascii="仿宋_GB2312" w:hAnsi="宋体" w:cs="宋体"/>
          <w:kern w:val="0"/>
          <w:sz w:val="32"/>
          <w:szCs w:val="32"/>
        </w:rPr>
        <w:t>该项目包含汽车制造特征污染物定量检测及其迁移研究、汽车制造废水资源化利用关键技术集成与应用研究、汽车制造业挥发性有机物治理关键技术与应用研究、汽车制造场地地下水污染高效低碳阻控技术及应用研究等4个研究课题，由资源环境研究所（以下简称“资环所”）牵头，联合分析测试研究所（以下简称“分析测试所”）共同实施开展项目研究。各研究课题主要研究内容详见表1。</w:t>
      </w:r>
    </w:p>
    <w:p w14:paraId="05316BE3">
      <w:pPr>
        <w:adjustRightInd w:val="0"/>
        <w:snapToGrid w:val="0"/>
        <w:spacing w:line="360" w:lineRule="auto"/>
        <w:jc w:val="center"/>
        <w:rPr>
          <w:rFonts w:hint="eastAsia" w:ascii="仿宋_GB2312" w:hAnsi="宋体" w:eastAsia="黑体" w:cs="宋体"/>
          <w:kern w:val="0"/>
          <w:sz w:val="32"/>
          <w:szCs w:val="32"/>
        </w:rPr>
      </w:pPr>
      <w:r>
        <w:rPr>
          <w:rFonts w:hint="eastAsia" w:ascii="黑体" w:hAnsi="黑体" w:eastAsia="黑体"/>
          <w:sz w:val="28"/>
          <w:szCs w:val="28"/>
        </w:rPr>
        <w:t>表</w:t>
      </w:r>
      <w:r>
        <w:rPr>
          <w:rFonts w:ascii="黑体" w:hAnsi="黑体" w:eastAsia="黑体"/>
          <w:sz w:val="28"/>
          <w:szCs w:val="28"/>
        </w:rPr>
        <w:t>1</w:t>
      </w:r>
      <w:r>
        <w:rPr>
          <w:rFonts w:hint="eastAsia" w:ascii="黑体" w:hAnsi="黑体" w:eastAsia="黑体"/>
          <w:sz w:val="28"/>
          <w:szCs w:val="28"/>
        </w:rPr>
        <w:t>：各课题主要研究内容列表</w:t>
      </w:r>
    </w:p>
    <w:tbl>
      <w:tblPr>
        <w:tblStyle w:val="37"/>
        <w:tblW w:w="902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1624"/>
        <w:gridCol w:w="1397"/>
        <w:gridCol w:w="5321"/>
      </w:tblGrid>
      <w:tr w14:paraId="28EA5A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blHeader/>
          <w:jc w:val="center"/>
        </w:trPr>
        <w:tc>
          <w:tcPr>
            <w:tcW w:w="684" w:type="dxa"/>
            <w:tcBorders>
              <w:right w:val="single" w:color="auto" w:sz="4" w:space="0"/>
            </w:tcBorders>
            <w:noWrap w:val="0"/>
            <w:vAlign w:val="center"/>
          </w:tcPr>
          <w:p w14:paraId="4345D496">
            <w:pPr>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序号</w:t>
            </w:r>
          </w:p>
        </w:tc>
        <w:tc>
          <w:tcPr>
            <w:tcW w:w="1624" w:type="dxa"/>
            <w:tcBorders>
              <w:right w:val="single" w:color="auto" w:sz="4" w:space="0"/>
            </w:tcBorders>
            <w:noWrap w:val="0"/>
            <w:vAlign w:val="center"/>
          </w:tcPr>
          <w:p w14:paraId="1CD26FC2">
            <w:pPr>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课题名称</w:t>
            </w:r>
          </w:p>
        </w:tc>
        <w:tc>
          <w:tcPr>
            <w:tcW w:w="1397" w:type="dxa"/>
            <w:tcBorders>
              <w:right w:val="single" w:color="auto" w:sz="4" w:space="0"/>
            </w:tcBorders>
            <w:noWrap w:val="0"/>
            <w:vAlign w:val="center"/>
          </w:tcPr>
          <w:p w14:paraId="1E0FA638">
            <w:pPr>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承担单位</w:t>
            </w:r>
          </w:p>
        </w:tc>
        <w:tc>
          <w:tcPr>
            <w:tcW w:w="5321" w:type="dxa"/>
            <w:tcBorders>
              <w:right w:val="single" w:color="auto" w:sz="4" w:space="0"/>
            </w:tcBorders>
            <w:noWrap w:val="0"/>
            <w:vAlign w:val="center"/>
          </w:tcPr>
          <w:p w14:paraId="15F4384F">
            <w:pPr>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主要研究内容</w:t>
            </w:r>
          </w:p>
        </w:tc>
      </w:tr>
      <w:tr w14:paraId="1BB83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20" w:hRule="atLeast"/>
          <w:jc w:val="center"/>
        </w:trPr>
        <w:tc>
          <w:tcPr>
            <w:tcW w:w="684" w:type="dxa"/>
            <w:tcBorders>
              <w:right w:val="single" w:color="auto" w:sz="4" w:space="0"/>
            </w:tcBorders>
            <w:noWrap w:val="0"/>
            <w:vAlign w:val="center"/>
          </w:tcPr>
          <w:p w14:paraId="21B590C5">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c>
          <w:tcPr>
            <w:tcW w:w="1624" w:type="dxa"/>
            <w:tcBorders>
              <w:right w:val="single" w:color="auto" w:sz="4" w:space="0"/>
            </w:tcBorders>
            <w:noWrap w:val="0"/>
            <w:vAlign w:val="center"/>
          </w:tcPr>
          <w:p w14:paraId="59243CFA">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汽车制造特征污染物定量检测及其迁移研究</w:t>
            </w:r>
          </w:p>
        </w:tc>
        <w:tc>
          <w:tcPr>
            <w:tcW w:w="1397" w:type="dxa"/>
            <w:tcBorders>
              <w:right w:val="single" w:color="auto" w:sz="4" w:space="0"/>
            </w:tcBorders>
            <w:noWrap w:val="0"/>
            <w:vAlign w:val="center"/>
          </w:tcPr>
          <w:p w14:paraId="6C2B9437">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分析测试所</w:t>
            </w:r>
          </w:p>
        </w:tc>
        <w:tc>
          <w:tcPr>
            <w:tcW w:w="5321" w:type="dxa"/>
            <w:tcBorders>
              <w:right w:val="single" w:color="auto" w:sz="4" w:space="0"/>
            </w:tcBorders>
            <w:noWrap w:val="0"/>
            <w:vAlign w:val="center"/>
          </w:tcPr>
          <w:p w14:paraId="66EE922E">
            <w:pPr>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1.建立汽车制造行业排放的废水、废气和固体废弃物中特征污染物及新污染的识别及其定量检测方法，形成20种以上特征污染物及新污染的检测标准操作规程3套。</w:t>
            </w:r>
          </w:p>
          <w:p w14:paraId="5C4465D3">
            <w:pPr>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2.建立汽车制造车间环境空气中特定污染物污染状况的植物指示方法1套。</w:t>
            </w:r>
          </w:p>
          <w:p w14:paraId="4422F0FE">
            <w:pPr>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3.揭示特征污染物在各处理环节的分布特征及其迁移规律，形成特征污染物清单1份。</w:t>
            </w:r>
          </w:p>
          <w:p w14:paraId="3471C54C">
            <w:pPr>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4.建立汽车制造各工艺环节的VOCs化学成分谱库，初步构建溯源方法，提交不少于65种VOCs化学成分谱库1套。</w:t>
            </w:r>
          </w:p>
        </w:tc>
      </w:tr>
      <w:tr w14:paraId="7B722D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1" w:hRule="atLeast"/>
          <w:jc w:val="center"/>
        </w:trPr>
        <w:tc>
          <w:tcPr>
            <w:tcW w:w="684" w:type="dxa"/>
            <w:tcBorders>
              <w:right w:val="single" w:color="auto" w:sz="4" w:space="0"/>
            </w:tcBorders>
            <w:noWrap w:val="0"/>
            <w:vAlign w:val="center"/>
          </w:tcPr>
          <w:p w14:paraId="5DBCF7BE">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2</w:t>
            </w:r>
          </w:p>
        </w:tc>
        <w:tc>
          <w:tcPr>
            <w:tcW w:w="1624" w:type="dxa"/>
            <w:tcBorders>
              <w:right w:val="single" w:color="auto" w:sz="4" w:space="0"/>
            </w:tcBorders>
            <w:noWrap w:val="0"/>
            <w:vAlign w:val="center"/>
          </w:tcPr>
          <w:p w14:paraId="76FC0D56">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汽车制造废水资源化利用关键技术集成与应用研究</w:t>
            </w:r>
          </w:p>
        </w:tc>
        <w:tc>
          <w:tcPr>
            <w:tcW w:w="1397" w:type="dxa"/>
            <w:tcBorders>
              <w:right w:val="single" w:color="auto" w:sz="4" w:space="0"/>
            </w:tcBorders>
            <w:noWrap w:val="0"/>
            <w:vAlign w:val="center"/>
          </w:tcPr>
          <w:p w14:paraId="33729E18">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资环所</w:t>
            </w:r>
          </w:p>
        </w:tc>
        <w:tc>
          <w:tcPr>
            <w:tcW w:w="5321" w:type="dxa"/>
            <w:tcBorders>
              <w:right w:val="single" w:color="auto" w:sz="4" w:space="0"/>
            </w:tcBorders>
            <w:noWrap w:val="0"/>
            <w:vAlign w:val="center"/>
          </w:tcPr>
          <w:p w14:paraId="179AE28D">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1.</w:t>
            </w:r>
            <w:r>
              <w:rPr>
                <w:rFonts w:ascii="宋体" w:hAnsi="宋体" w:eastAsia="宋体" w:cs="宋体"/>
                <w:kern w:val="0"/>
                <w:sz w:val="20"/>
                <w:szCs w:val="20"/>
              </w:rPr>
              <w:t>形成磷化废水有价资源回收成套技术及有价资源利用方案，其中磷酸盐、锌、镍、锰等有价资源回收率达到90%</w:t>
            </w:r>
            <w:r>
              <w:rPr>
                <w:rFonts w:hint="eastAsia" w:ascii="宋体" w:hAnsi="宋体" w:eastAsia="宋体" w:cs="宋体"/>
                <w:kern w:val="0"/>
                <w:sz w:val="20"/>
                <w:szCs w:val="20"/>
              </w:rPr>
              <w:t>。</w:t>
            </w:r>
          </w:p>
          <w:p w14:paraId="70603BFE">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2.</w:t>
            </w:r>
            <w:r>
              <w:rPr>
                <w:rFonts w:ascii="宋体" w:hAnsi="宋体" w:eastAsia="宋体" w:cs="宋体"/>
                <w:kern w:val="0"/>
                <w:sz w:val="20"/>
                <w:szCs w:val="20"/>
              </w:rPr>
              <w:t>形成脱脂废水电化学法预处理成套技术，COD去除率不低于50%，污泥产生量比现有混凝沉淀工艺减少10%以上</w:t>
            </w:r>
            <w:r>
              <w:rPr>
                <w:rFonts w:hint="eastAsia" w:ascii="宋体" w:hAnsi="宋体" w:eastAsia="宋体" w:cs="宋体"/>
                <w:kern w:val="0"/>
                <w:sz w:val="20"/>
                <w:szCs w:val="20"/>
              </w:rPr>
              <w:t>。</w:t>
            </w:r>
          </w:p>
          <w:p w14:paraId="0C8AFAF1">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3.</w:t>
            </w:r>
            <w:r>
              <w:rPr>
                <w:rFonts w:ascii="宋体" w:hAnsi="宋体" w:eastAsia="宋体" w:cs="宋体"/>
                <w:kern w:val="0"/>
                <w:sz w:val="20"/>
                <w:szCs w:val="20"/>
              </w:rPr>
              <w:t>形成电泳废水电化学法预处理成套技术，COD去除率达到60%以上，污泥产生量比现有混凝沉淀工艺减少50%以上</w:t>
            </w:r>
            <w:r>
              <w:rPr>
                <w:rFonts w:hint="eastAsia" w:ascii="宋体" w:hAnsi="宋体" w:eastAsia="宋体" w:cs="宋体"/>
                <w:kern w:val="0"/>
                <w:sz w:val="20"/>
                <w:szCs w:val="20"/>
              </w:rPr>
              <w:t>。</w:t>
            </w:r>
          </w:p>
        </w:tc>
      </w:tr>
      <w:tr w14:paraId="0445E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8" w:hRule="atLeast"/>
          <w:jc w:val="center"/>
        </w:trPr>
        <w:tc>
          <w:tcPr>
            <w:tcW w:w="684" w:type="dxa"/>
            <w:tcBorders>
              <w:right w:val="single" w:color="auto" w:sz="4" w:space="0"/>
            </w:tcBorders>
            <w:noWrap w:val="0"/>
            <w:vAlign w:val="center"/>
          </w:tcPr>
          <w:p w14:paraId="0ED3A4C2">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3</w:t>
            </w:r>
          </w:p>
        </w:tc>
        <w:tc>
          <w:tcPr>
            <w:tcW w:w="1624" w:type="dxa"/>
            <w:tcBorders>
              <w:right w:val="single" w:color="auto" w:sz="4" w:space="0"/>
            </w:tcBorders>
            <w:noWrap w:val="0"/>
            <w:vAlign w:val="center"/>
          </w:tcPr>
          <w:p w14:paraId="3DF111D0">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汽车制造业挥发性有机物治理关键技术与应用研究</w:t>
            </w:r>
          </w:p>
        </w:tc>
        <w:tc>
          <w:tcPr>
            <w:tcW w:w="1397" w:type="dxa"/>
            <w:tcBorders>
              <w:right w:val="single" w:color="auto" w:sz="4" w:space="0"/>
            </w:tcBorders>
            <w:noWrap w:val="0"/>
            <w:vAlign w:val="center"/>
          </w:tcPr>
          <w:p w14:paraId="67F5E3ED">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资环所</w:t>
            </w:r>
          </w:p>
        </w:tc>
        <w:tc>
          <w:tcPr>
            <w:tcW w:w="5321" w:type="dxa"/>
            <w:tcBorders>
              <w:right w:val="single" w:color="auto" w:sz="4" w:space="0"/>
            </w:tcBorders>
            <w:noWrap w:val="0"/>
            <w:vAlign w:val="center"/>
          </w:tcPr>
          <w:p w14:paraId="19E73865">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1.建立多空间、多区域协同供风、排风技术，非干式喷漆场景下循环风比例达到30%。</w:t>
            </w:r>
          </w:p>
          <w:p w14:paraId="3B026C85">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2.制备一种抗湿高效锰氧化物负载型催化材料，对湿度为30%-50%的低浓度VOCs的去除率达到70%以上。</w:t>
            </w:r>
          </w:p>
          <w:p w14:paraId="13C220C4">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3.形成电泳废气高级氧化法成套处理技术及装置，VOCs去除率达到60%以上。</w:t>
            </w:r>
          </w:p>
        </w:tc>
      </w:tr>
      <w:tr w14:paraId="2F001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25" w:hRule="atLeast"/>
          <w:jc w:val="center"/>
        </w:trPr>
        <w:tc>
          <w:tcPr>
            <w:tcW w:w="684" w:type="dxa"/>
            <w:tcBorders>
              <w:right w:val="single" w:color="auto" w:sz="4" w:space="0"/>
            </w:tcBorders>
            <w:noWrap w:val="0"/>
            <w:vAlign w:val="center"/>
          </w:tcPr>
          <w:p w14:paraId="0596518C">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4</w:t>
            </w:r>
          </w:p>
        </w:tc>
        <w:tc>
          <w:tcPr>
            <w:tcW w:w="1624" w:type="dxa"/>
            <w:tcBorders>
              <w:right w:val="single" w:color="auto" w:sz="4" w:space="0"/>
            </w:tcBorders>
            <w:noWrap w:val="0"/>
            <w:vAlign w:val="center"/>
          </w:tcPr>
          <w:p w14:paraId="58AE671F">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汽车制造场地地下水污染高效低碳阻控技术及应用研究</w:t>
            </w:r>
          </w:p>
        </w:tc>
        <w:tc>
          <w:tcPr>
            <w:tcW w:w="1397" w:type="dxa"/>
            <w:tcBorders>
              <w:right w:val="single" w:color="auto" w:sz="4" w:space="0"/>
            </w:tcBorders>
            <w:noWrap w:val="0"/>
            <w:vAlign w:val="center"/>
          </w:tcPr>
          <w:p w14:paraId="7CBAE109">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资环所</w:t>
            </w:r>
          </w:p>
        </w:tc>
        <w:tc>
          <w:tcPr>
            <w:tcW w:w="5321" w:type="dxa"/>
            <w:tcBorders>
              <w:right w:val="single" w:color="auto" w:sz="4" w:space="0"/>
            </w:tcBorders>
            <w:noWrap w:val="0"/>
            <w:vAlign w:val="center"/>
          </w:tcPr>
          <w:p w14:paraId="4A5C8349">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1.开发地下水绿色阻控材料不少于2种，实现典型污染物的阻控率达到95%以上。</w:t>
            </w:r>
          </w:p>
          <w:p w14:paraId="0DCE3D9A">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2.建立地下水污染监测方法1套，识别风险管控关键制约因素。</w:t>
            </w:r>
          </w:p>
          <w:p w14:paraId="3DEC72D6">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3.明晰可在线测试关键理化参数与典型汽车场地特征污染物的协同变化规律，构建高效绿色风险管控技术体系。</w:t>
            </w:r>
          </w:p>
        </w:tc>
      </w:tr>
    </w:tbl>
    <w:p w14:paraId="0BF26A3C">
      <w:pPr>
        <w:adjustRightInd w:val="0"/>
        <w:snapToGrid w:val="0"/>
        <w:spacing w:line="360" w:lineRule="auto"/>
        <w:ind w:firstLine="640" w:firstLineChars="200"/>
        <w:rPr>
          <w:rFonts w:hint="eastAsia" w:ascii="仿宋_GB2312" w:hAnsi="宋体" w:cs="宋体"/>
          <w:kern w:val="0"/>
          <w:sz w:val="32"/>
          <w:szCs w:val="32"/>
        </w:rPr>
      </w:pPr>
    </w:p>
    <w:p w14:paraId="69474BA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宋体" w:cs="宋体"/>
          <w:kern w:val="0"/>
          <w:sz w:val="32"/>
          <w:szCs w:val="32"/>
        </w:rPr>
      </w:pPr>
      <w:r>
        <w:rPr>
          <w:rFonts w:hint="eastAsia" w:ascii="仿宋_GB2312" w:hAnsi="宋体" w:cs="宋体"/>
          <w:kern w:val="0"/>
          <w:sz w:val="32"/>
          <w:szCs w:val="32"/>
        </w:rPr>
        <w:t>3.项目资金投入</w:t>
      </w:r>
      <w:bookmarkEnd w:id="6"/>
      <w:r>
        <w:rPr>
          <w:rFonts w:hint="eastAsia" w:ascii="仿宋_GB2312" w:hAnsi="宋体" w:cs="宋体"/>
          <w:kern w:val="0"/>
          <w:sz w:val="32"/>
          <w:szCs w:val="32"/>
        </w:rPr>
        <w:t>及使用情况</w:t>
      </w:r>
    </w:p>
    <w:p w14:paraId="557146F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cs="仿宋_GB2312"/>
          <w:kern w:val="0"/>
          <w:sz w:val="32"/>
          <w:szCs w:val="32"/>
        </w:rPr>
      </w:pPr>
      <w:r>
        <w:rPr>
          <w:rFonts w:hint="eastAsia" w:ascii="仿宋_GB2312" w:hAnsi="宋体" w:cs="宋体"/>
          <w:iCs/>
          <w:kern w:val="0"/>
          <w:sz w:val="32"/>
          <w:szCs w:val="32"/>
        </w:rPr>
        <w:t>2024年，项目预算资金总额为360.72万元，全部为财政资金</w:t>
      </w:r>
      <w:bookmarkStart w:id="7" w:name="_Toc35588398"/>
      <w:r>
        <w:rPr>
          <w:rFonts w:hint="eastAsia" w:ascii="仿宋_GB2312" w:hAnsi="仿宋_GB2312" w:cs="仿宋_GB2312"/>
          <w:kern w:val="0"/>
          <w:sz w:val="32"/>
          <w:szCs w:val="32"/>
          <w:highlight w:val="none"/>
        </w:rPr>
        <w:t>。</w:t>
      </w:r>
      <w:r>
        <w:rPr>
          <w:rFonts w:hint="eastAsia" w:ascii="仿宋_GB2312" w:hAnsi="仿宋_GB2312" w:cs="仿宋_GB2312"/>
          <w:kern w:val="0"/>
          <w:sz w:val="32"/>
          <w:szCs w:val="32"/>
        </w:rPr>
        <w:t>截至2024年12月31日，项目实际支出353.92万元，预算执行率为98.11</w:t>
      </w:r>
      <w:r>
        <w:rPr>
          <w:rFonts w:ascii="仿宋_GB2312" w:hAnsi="仿宋_GB2312" w:cs="仿宋_GB2312"/>
          <w:kern w:val="0"/>
          <w:sz w:val="32"/>
          <w:szCs w:val="32"/>
        </w:rPr>
        <w:t>%</w:t>
      </w:r>
      <w:r>
        <w:rPr>
          <w:rFonts w:hint="eastAsia" w:ascii="仿宋_GB2312" w:hAnsi="仿宋_GB2312" w:cs="仿宋_GB2312"/>
          <w:kern w:val="0"/>
          <w:sz w:val="32"/>
          <w:szCs w:val="32"/>
        </w:rPr>
        <w:t>。</w:t>
      </w:r>
    </w:p>
    <w:p w14:paraId="2C42901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eastAsia="楷体_GB2312"/>
          <w:sz w:val="32"/>
          <w:szCs w:val="32"/>
        </w:rPr>
      </w:pPr>
      <w:bookmarkStart w:id="8" w:name="_Toc167040548"/>
      <w:r>
        <w:rPr>
          <w:rFonts w:hint="eastAsia" w:ascii="楷体_GB2312" w:eastAsia="楷体_GB2312"/>
          <w:sz w:val="32"/>
          <w:szCs w:val="32"/>
        </w:rPr>
        <w:t>（二）项目绩效目标</w:t>
      </w:r>
      <w:bookmarkEnd w:id="7"/>
      <w:bookmarkEnd w:id="8"/>
    </w:p>
    <w:p w14:paraId="43A0596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sz w:val="32"/>
          <w:szCs w:val="32"/>
        </w:rPr>
      </w:pPr>
      <w:r>
        <w:rPr>
          <w:rFonts w:hint="eastAsia" w:ascii="仿宋_GB2312"/>
          <w:sz w:val="32"/>
          <w:szCs w:val="32"/>
        </w:rPr>
        <w:t>1</w:t>
      </w:r>
      <w:r>
        <w:rPr>
          <w:rFonts w:ascii="仿宋_GB2312"/>
          <w:sz w:val="32"/>
          <w:szCs w:val="32"/>
        </w:rPr>
        <w:t>.</w:t>
      </w:r>
      <w:r>
        <w:rPr>
          <w:rFonts w:hint="eastAsia" w:ascii="仿宋_GB2312"/>
          <w:sz w:val="32"/>
          <w:szCs w:val="32"/>
        </w:rPr>
        <w:t>项目年度绩效目标</w:t>
      </w:r>
    </w:p>
    <w:p w14:paraId="5F22158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sz w:val="32"/>
          <w:szCs w:val="32"/>
        </w:rPr>
      </w:pPr>
      <w:bookmarkStart w:id="9" w:name="_Toc35588400"/>
      <w:r>
        <w:rPr>
          <w:rFonts w:hint="eastAsia" w:ascii="仿宋_GB2312"/>
          <w:sz w:val="32"/>
          <w:szCs w:val="32"/>
        </w:rPr>
        <w:t>本项目围绕汽车制造过程中的废水、废气、废渣、土壤等环境污染及资源能源利用问题，建立汽车制造行业废气、废水和固体废弃物中特征污染物检测标准操作规程；编制汽车制造行业废气、废水及固体废弃物中特征污染物控制建议报告、汽车制造行业车间空气污染状况的植物监测技术报告；建立挥发性有机物化学成分谱库；建立难降解有机污染物高级氧化处理、磷及重金属纳滤法回收、脱脂废水与电泳废水电化学法有机物高效处理、清洗溶剂废水处理等关键技术；制备抗湿高效锰氧化物负载型催化材料；开发高级氧化处理电泳废气技术；探究空间、多区域协同供风、排风技术；研究绿色风险管控材料对典型污染物的阻控率。该项目为全面促进汽车制造业减污降碳提供技术支撑。</w:t>
      </w:r>
    </w:p>
    <w:p w14:paraId="5246EBA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sz w:val="32"/>
          <w:szCs w:val="32"/>
        </w:rPr>
      </w:pPr>
      <w:r>
        <w:rPr>
          <w:rFonts w:hint="eastAsia" w:ascii="仿宋_GB2312"/>
          <w:sz w:val="32"/>
          <w:szCs w:val="32"/>
        </w:rPr>
        <w:t>2</w:t>
      </w:r>
      <w:r>
        <w:rPr>
          <w:rFonts w:ascii="仿宋_GB2312"/>
          <w:sz w:val="32"/>
          <w:szCs w:val="32"/>
        </w:rPr>
        <w:t>.</w:t>
      </w:r>
      <w:r>
        <w:rPr>
          <w:rFonts w:hint="eastAsia" w:ascii="仿宋_GB2312"/>
          <w:sz w:val="32"/>
          <w:szCs w:val="32"/>
        </w:rPr>
        <w:t>项目年度绩效指标</w:t>
      </w:r>
    </w:p>
    <w:p w14:paraId="7A52768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sz w:val="32"/>
          <w:szCs w:val="32"/>
        </w:rPr>
      </w:pPr>
      <w:r>
        <w:rPr>
          <w:rFonts w:hint="eastAsia" w:ascii="仿宋_GB2312"/>
          <w:sz w:val="32"/>
          <w:szCs w:val="32"/>
        </w:rPr>
        <w:t>为考核绩效目标实现情况，市科研院设置了项目绩效指标，详见表2。</w:t>
      </w:r>
    </w:p>
    <w:bookmarkEnd w:id="9"/>
    <w:p w14:paraId="68C930CF">
      <w:pPr>
        <w:adjustRightInd w:val="0"/>
        <w:snapToGrid w:val="0"/>
        <w:spacing w:line="360" w:lineRule="auto"/>
        <w:jc w:val="center"/>
        <w:rPr>
          <w:rFonts w:ascii="黑体" w:hAnsi="黑体" w:eastAsia="黑体"/>
          <w:sz w:val="28"/>
          <w:szCs w:val="28"/>
        </w:rPr>
      </w:pPr>
      <w:r>
        <w:rPr>
          <w:rFonts w:hint="eastAsia" w:ascii="黑体" w:hAnsi="黑体" w:eastAsia="黑体"/>
          <w:sz w:val="28"/>
          <w:szCs w:val="28"/>
        </w:rPr>
        <w:t>表2：项目绩效指标表</w:t>
      </w:r>
    </w:p>
    <w:tbl>
      <w:tblPr>
        <w:tblStyle w:val="37"/>
        <w:tblW w:w="919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10"/>
        <w:gridCol w:w="1276"/>
        <w:gridCol w:w="4677"/>
        <w:gridCol w:w="2127"/>
      </w:tblGrid>
      <w:tr w14:paraId="583FF1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21" w:hRule="atLeast"/>
          <w:tblHeader/>
          <w:jc w:val="center"/>
        </w:trPr>
        <w:tc>
          <w:tcPr>
            <w:tcW w:w="1110" w:type="dxa"/>
            <w:noWrap/>
            <w:vAlign w:val="center"/>
          </w:tcPr>
          <w:p w14:paraId="06973229">
            <w:pPr>
              <w:widowControl/>
              <w:adjustRightInd w:val="0"/>
              <w:snapToGrid w:val="0"/>
              <w:jc w:val="center"/>
              <w:rPr>
                <w:rFonts w:hint="eastAsia" w:ascii="宋体" w:hAnsi="宋体" w:eastAsia="宋体" w:cs="宋体"/>
                <w:b/>
                <w:bCs/>
                <w:color w:val="000000"/>
                <w:sz w:val="20"/>
                <w:szCs w:val="20"/>
              </w:rPr>
            </w:pPr>
            <w:bookmarkStart w:id="10" w:name="_Toc35588401"/>
            <w:r>
              <w:rPr>
                <w:rFonts w:hint="eastAsia" w:ascii="宋体" w:hAnsi="宋体" w:eastAsia="宋体" w:cs="宋体"/>
                <w:b/>
                <w:bCs/>
                <w:kern w:val="0"/>
                <w:sz w:val="20"/>
                <w:szCs w:val="20"/>
              </w:rPr>
              <w:t>一级指标</w:t>
            </w:r>
          </w:p>
        </w:tc>
        <w:tc>
          <w:tcPr>
            <w:tcW w:w="1276" w:type="dxa"/>
            <w:noWrap/>
            <w:vAlign w:val="center"/>
          </w:tcPr>
          <w:p w14:paraId="1BB2C9B0">
            <w:pPr>
              <w:widowControl/>
              <w:adjustRightInd w:val="0"/>
              <w:snapToGrid w:val="0"/>
              <w:jc w:val="center"/>
              <w:rPr>
                <w:rFonts w:hint="eastAsia" w:ascii="宋体" w:hAnsi="宋体" w:eastAsia="宋体" w:cs="宋体"/>
                <w:b/>
                <w:bCs/>
                <w:color w:val="000000"/>
                <w:sz w:val="20"/>
                <w:szCs w:val="20"/>
              </w:rPr>
            </w:pPr>
            <w:r>
              <w:rPr>
                <w:rFonts w:hint="eastAsia" w:ascii="宋体" w:hAnsi="宋体" w:eastAsia="宋体" w:cs="宋体"/>
                <w:b/>
                <w:bCs/>
                <w:kern w:val="0"/>
                <w:sz w:val="20"/>
                <w:szCs w:val="20"/>
              </w:rPr>
              <w:t>二级指标</w:t>
            </w:r>
          </w:p>
        </w:tc>
        <w:tc>
          <w:tcPr>
            <w:tcW w:w="4677" w:type="dxa"/>
            <w:noWrap/>
            <w:vAlign w:val="center"/>
          </w:tcPr>
          <w:p w14:paraId="0A5D051C">
            <w:pPr>
              <w:widowControl/>
              <w:adjustRightInd w:val="0"/>
              <w:snapToGrid w:val="0"/>
              <w:jc w:val="center"/>
              <w:rPr>
                <w:rFonts w:hint="eastAsia" w:ascii="宋体" w:hAnsi="宋体" w:eastAsia="宋体" w:cs="宋体"/>
                <w:b/>
                <w:bCs/>
                <w:color w:val="000000"/>
                <w:sz w:val="20"/>
                <w:szCs w:val="20"/>
              </w:rPr>
            </w:pPr>
            <w:r>
              <w:rPr>
                <w:rFonts w:hint="eastAsia" w:ascii="宋体" w:hAnsi="宋体" w:eastAsia="宋体" w:cs="宋体"/>
                <w:b/>
                <w:bCs/>
                <w:kern w:val="0"/>
                <w:sz w:val="20"/>
                <w:szCs w:val="20"/>
              </w:rPr>
              <w:t>三级指标</w:t>
            </w:r>
          </w:p>
        </w:tc>
        <w:tc>
          <w:tcPr>
            <w:tcW w:w="2127" w:type="dxa"/>
            <w:noWrap/>
            <w:vAlign w:val="center"/>
          </w:tcPr>
          <w:p w14:paraId="1A9CF354">
            <w:pPr>
              <w:widowControl/>
              <w:adjustRightInd w:val="0"/>
              <w:snapToGrid w:val="0"/>
              <w:jc w:val="center"/>
              <w:rPr>
                <w:rFonts w:hint="eastAsia" w:ascii="宋体" w:hAnsi="宋体" w:eastAsia="宋体" w:cs="宋体"/>
                <w:b/>
                <w:bCs/>
                <w:color w:val="000000"/>
                <w:sz w:val="20"/>
                <w:szCs w:val="20"/>
              </w:rPr>
            </w:pPr>
            <w:r>
              <w:rPr>
                <w:rFonts w:hint="eastAsia" w:ascii="宋体" w:hAnsi="宋体" w:eastAsia="宋体" w:cs="宋体"/>
                <w:b/>
                <w:bCs/>
                <w:kern w:val="0"/>
                <w:sz w:val="20"/>
                <w:szCs w:val="20"/>
              </w:rPr>
              <w:t>年度指标值</w:t>
            </w:r>
          </w:p>
        </w:tc>
      </w:tr>
      <w:tr w14:paraId="24B593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15" w:hRule="atLeast"/>
          <w:jc w:val="center"/>
        </w:trPr>
        <w:tc>
          <w:tcPr>
            <w:tcW w:w="1110" w:type="dxa"/>
            <w:vMerge w:val="restart"/>
            <w:noWrap w:val="0"/>
            <w:vAlign w:val="center"/>
          </w:tcPr>
          <w:p w14:paraId="74284615">
            <w:pPr>
              <w:widowControl/>
              <w:spacing w:line="24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产出指标</w:t>
            </w:r>
          </w:p>
        </w:tc>
        <w:tc>
          <w:tcPr>
            <w:tcW w:w="1276" w:type="dxa"/>
            <w:vMerge w:val="restart"/>
            <w:noWrap w:val="0"/>
            <w:vAlign w:val="center"/>
          </w:tcPr>
          <w:p w14:paraId="65B4569D">
            <w:pPr>
              <w:widowControl/>
              <w:spacing w:line="24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数量指标</w:t>
            </w:r>
          </w:p>
        </w:tc>
        <w:tc>
          <w:tcPr>
            <w:tcW w:w="4677" w:type="dxa"/>
            <w:noWrap w:val="0"/>
            <w:vAlign w:val="center"/>
          </w:tcPr>
          <w:p w14:paraId="50C442A2">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汽车制造行业废气、废水和固体废弃物中特征污染物检测标准操作规程</w:t>
            </w:r>
          </w:p>
        </w:tc>
        <w:tc>
          <w:tcPr>
            <w:tcW w:w="2127" w:type="dxa"/>
            <w:noWrap w:val="0"/>
            <w:vAlign w:val="center"/>
          </w:tcPr>
          <w:p w14:paraId="603730F3">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≥3套</w:t>
            </w:r>
          </w:p>
        </w:tc>
      </w:tr>
      <w:tr w14:paraId="3122E6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1" w:hRule="atLeast"/>
          <w:jc w:val="center"/>
        </w:trPr>
        <w:tc>
          <w:tcPr>
            <w:tcW w:w="1110" w:type="dxa"/>
            <w:vMerge w:val="continue"/>
            <w:noWrap w:val="0"/>
            <w:vAlign w:val="center"/>
          </w:tcPr>
          <w:p w14:paraId="1EFB3030">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0C056EA0">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355F83A9">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编制汽车制造行业废气、废水及固体废弃物中特征污染物控制建议报告</w:t>
            </w:r>
          </w:p>
        </w:tc>
        <w:tc>
          <w:tcPr>
            <w:tcW w:w="2127" w:type="dxa"/>
            <w:noWrap w:val="0"/>
            <w:vAlign w:val="center"/>
          </w:tcPr>
          <w:p w14:paraId="22FA673D">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1份</w:t>
            </w:r>
          </w:p>
        </w:tc>
      </w:tr>
      <w:tr w14:paraId="33E9E6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8" w:hRule="atLeast"/>
          <w:jc w:val="center"/>
        </w:trPr>
        <w:tc>
          <w:tcPr>
            <w:tcW w:w="1110" w:type="dxa"/>
            <w:vMerge w:val="continue"/>
            <w:noWrap w:val="0"/>
            <w:vAlign w:val="center"/>
          </w:tcPr>
          <w:p w14:paraId="43076A7F">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21F95817">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5AC9F0A6">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编制汽车制造行业车间空气污染状况的植物监测技术报告</w:t>
            </w:r>
          </w:p>
        </w:tc>
        <w:tc>
          <w:tcPr>
            <w:tcW w:w="2127" w:type="dxa"/>
            <w:noWrap w:val="0"/>
            <w:vAlign w:val="center"/>
          </w:tcPr>
          <w:p w14:paraId="7E38C667">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1份</w:t>
            </w:r>
          </w:p>
        </w:tc>
      </w:tr>
      <w:tr w14:paraId="3F2F1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6E9C8C54">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6715C277">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60F1035E">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建立挥发性有机物化学成分谱库</w:t>
            </w:r>
          </w:p>
        </w:tc>
        <w:tc>
          <w:tcPr>
            <w:tcW w:w="2127" w:type="dxa"/>
            <w:noWrap w:val="0"/>
            <w:vAlign w:val="center"/>
          </w:tcPr>
          <w:p w14:paraId="35EE83DE">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1套</w:t>
            </w:r>
          </w:p>
        </w:tc>
      </w:tr>
      <w:tr w14:paraId="433000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72015663">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5F027B31">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1F4E6810">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脱脂废水电化学法预处理成套技术</w:t>
            </w:r>
          </w:p>
        </w:tc>
        <w:tc>
          <w:tcPr>
            <w:tcW w:w="2127" w:type="dxa"/>
            <w:noWrap w:val="0"/>
            <w:vAlign w:val="center"/>
          </w:tcPr>
          <w:p w14:paraId="561F9C06">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1项</w:t>
            </w:r>
          </w:p>
        </w:tc>
      </w:tr>
      <w:tr w14:paraId="3FB07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restart"/>
            <w:noWrap w:val="0"/>
            <w:vAlign w:val="center"/>
          </w:tcPr>
          <w:p w14:paraId="4F214975">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续上页</w:t>
            </w:r>
          </w:p>
        </w:tc>
        <w:tc>
          <w:tcPr>
            <w:tcW w:w="1276" w:type="dxa"/>
            <w:vMerge w:val="restart"/>
            <w:noWrap w:val="0"/>
            <w:vAlign w:val="center"/>
          </w:tcPr>
          <w:p w14:paraId="3AAC8340">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续上页</w:t>
            </w:r>
          </w:p>
        </w:tc>
        <w:tc>
          <w:tcPr>
            <w:tcW w:w="4677" w:type="dxa"/>
            <w:noWrap w:val="0"/>
            <w:vAlign w:val="center"/>
          </w:tcPr>
          <w:p w14:paraId="066A6E95">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电泳废水新型电化学预处理成套技术</w:t>
            </w:r>
          </w:p>
        </w:tc>
        <w:tc>
          <w:tcPr>
            <w:tcW w:w="2127" w:type="dxa"/>
            <w:noWrap w:val="0"/>
            <w:vAlign w:val="center"/>
          </w:tcPr>
          <w:p w14:paraId="427600D2">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1项</w:t>
            </w:r>
          </w:p>
        </w:tc>
      </w:tr>
      <w:tr w14:paraId="79C14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6D0DC42A">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3545DE16">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5CA213EB">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基于高级氧化-膜分离法研发磷化废水有价资源回收及废水近零排放技术</w:t>
            </w:r>
          </w:p>
        </w:tc>
        <w:tc>
          <w:tcPr>
            <w:tcW w:w="2127" w:type="dxa"/>
            <w:noWrap w:val="0"/>
            <w:vAlign w:val="center"/>
          </w:tcPr>
          <w:p w14:paraId="62FFE5E2">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1项</w:t>
            </w:r>
          </w:p>
        </w:tc>
      </w:tr>
      <w:tr w14:paraId="4EFC8F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424B7A13">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6378EE8A">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202D8FA1">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抗湿高效锰氧化物负载型催化材料</w:t>
            </w:r>
          </w:p>
        </w:tc>
        <w:tc>
          <w:tcPr>
            <w:tcW w:w="2127" w:type="dxa"/>
            <w:noWrap w:val="0"/>
            <w:vAlign w:val="center"/>
          </w:tcPr>
          <w:p w14:paraId="4B0AA58C">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1种</w:t>
            </w:r>
          </w:p>
        </w:tc>
      </w:tr>
      <w:tr w14:paraId="4B9C32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506823A2">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22489AEB">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72662E2D">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高级氧化处理电泳废气技术</w:t>
            </w:r>
          </w:p>
        </w:tc>
        <w:tc>
          <w:tcPr>
            <w:tcW w:w="2127" w:type="dxa"/>
            <w:noWrap w:val="0"/>
            <w:vAlign w:val="center"/>
          </w:tcPr>
          <w:p w14:paraId="48F6871A">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1项</w:t>
            </w:r>
          </w:p>
        </w:tc>
      </w:tr>
      <w:tr w14:paraId="429AB0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103F1488">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2DD4F3DF">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18831AE1">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空间、多区域协同供风、排风技术</w:t>
            </w:r>
          </w:p>
        </w:tc>
        <w:tc>
          <w:tcPr>
            <w:tcW w:w="2127" w:type="dxa"/>
            <w:noWrap w:val="0"/>
            <w:vAlign w:val="center"/>
          </w:tcPr>
          <w:p w14:paraId="66A5F44E">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1项</w:t>
            </w:r>
          </w:p>
        </w:tc>
      </w:tr>
      <w:tr w14:paraId="4E07EC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2D2ECAE0">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410AB6CB">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7D15FC47">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标准征求意见稿</w:t>
            </w:r>
          </w:p>
        </w:tc>
        <w:tc>
          <w:tcPr>
            <w:tcW w:w="2127" w:type="dxa"/>
            <w:noWrap w:val="0"/>
            <w:vAlign w:val="center"/>
          </w:tcPr>
          <w:p w14:paraId="1EF5CF7C">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1项</w:t>
            </w:r>
          </w:p>
        </w:tc>
      </w:tr>
      <w:tr w14:paraId="2C9F85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365FDD18">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2FD6964D">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4214A6EB">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污染场地挥发有机污染源动态监测方法</w:t>
            </w:r>
          </w:p>
        </w:tc>
        <w:tc>
          <w:tcPr>
            <w:tcW w:w="2127" w:type="dxa"/>
            <w:noWrap w:val="0"/>
            <w:vAlign w:val="center"/>
          </w:tcPr>
          <w:p w14:paraId="7A5FE796">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1套</w:t>
            </w:r>
          </w:p>
        </w:tc>
      </w:tr>
      <w:tr w14:paraId="24967A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60D2DCE3">
            <w:pPr>
              <w:widowControl/>
              <w:spacing w:line="240" w:lineRule="exact"/>
              <w:jc w:val="center"/>
              <w:rPr>
                <w:rFonts w:hint="eastAsia" w:ascii="宋体" w:hAnsi="宋体" w:eastAsia="宋体" w:cs="宋体"/>
                <w:kern w:val="0"/>
                <w:sz w:val="20"/>
                <w:szCs w:val="20"/>
              </w:rPr>
            </w:pPr>
          </w:p>
        </w:tc>
        <w:tc>
          <w:tcPr>
            <w:tcW w:w="1276" w:type="dxa"/>
            <w:vMerge w:val="restart"/>
            <w:noWrap w:val="0"/>
            <w:vAlign w:val="center"/>
          </w:tcPr>
          <w:p w14:paraId="47EF9161">
            <w:pPr>
              <w:widowControl/>
              <w:spacing w:line="24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质量指标</w:t>
            </w:r>
          </w:p>
        </w:tc>
        <w:tc>
          <w:tcPr>
            <w:tcW w:w="4677" w:type="dxa"/>
            <w:noWrap w:val="0"/>
            <w:vAlign w:val="center"/>
          </w:tcPr>
          <w:p w14:paraId="0B3D3488">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汽车制造行业废气、废水和固体废弃物中特征污染物检测回收率</w:t>
            </w:r>
          </w:p>
        </w:tc>
        <w:tc>
          <w:tcPr>
            <w:tcW w:w="2127" w:type="dxa"/>
            <w:noWrap w:val="0"/>
            <w:vAlign w:val="center"/>
          </w:tcPr>
          <w:p w14:paraId="5207EA24">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≥60%</w:t>
            </w:r>
          </w:p>
        </w:tc>
      </w:tr>
      <w:tr w14:paraId="36D5D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65E9C28B">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3A8259EB">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2F22151D">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汽车制造行业废气、废水和固体废弃物中特征污染物检测精确度</w:t>
            </w:r>
          </w:p>
        </w:tc>
        <w:tc>
          <w:tcPr>
            <w:tcW w:w="2127" w:type="dxa"/>
            <w:noWrap w:val="0"/>
            <w:vAlign w:val="center"/>
          </w:tcPr>
          <w:p w14:paraId="0FFA2303">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≤20%</w:t>
            </w:r>
          </w:p>
        </w:tc>
      </w:tr>
      <w:tr w14:paraId="4B601A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20F7E4AE">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1367A8C0">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10742876">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磷化废水磷酸盐、锌、镍、锰等有价资源回收率</w:t>
            </w:r>
          </w:p>
        </w:tc>
        <w:tc>
          <w:tcPr>
            <w:tcW w:w="2127" w:type="dxa"/>
            <w:noWrap w:val="0"/>
            <w:vAlign w:val="center"/>
          </w:tcPr>
          <w:p w14:paraId="528FEB67">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90%</w:t>
            </w:r>
          </w:p>
        </w:tc>
      </w:tr>
      <w:tr w14:paraId="05A96F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32E289E8">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11A23CB9">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53D01E04">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脱脂废水电化学法预处理成套技术的COD去除率</w:t>
            </w:r>
          </w:p>
        </w:tc>
        <w:tc>
          <w:tcPr>
            <w:tcW w:w="2127" w:type="dxa"/>
            <w:noWrap w:val="0"/>
            <w:vAlign w:val="center"/>
          </w:tcPr>
          <w:p w14:paraId="19587013">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≥50%</w:t>
            </w:r>
          </w:p>
        </w:tc>
      </w:tr>
      <w:tr w14:paraId="1DB32E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2450B367">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3B81CCF6">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00098AFF">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电泳废水电化学法预处理成套技术的COD去除率</w:t>
            </w:r>
          </w:p>
        </w:tc>
        <w:tc>
          <w:tcPr>
            <w:tcW w:w="2127" w:type="dxa"/>
            <w:noWrap w:val="0"/>
            <w:vAlign w:val="center"/>
          </w:tcPr>
          <w:p w14:paraId="778C0FB6">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＞60%</w:t>
            </w:r>
          </w:p>
        </w:tc>
      </w:tr>
      <w:tr w14:paraId="572CB7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4E65B719">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4F9DFE25">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4B538B08">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抗湿高效锰氧化物负载型催化材料去除VOCs效率</w:t>
            </w:r>
          </w:p>
        </w:tc>
        <w:tc>
          <w:tcPr>
            <w:tcW w:w="2127" w:type="dxa"/>
            <w:noWrap w:val="0"/>
            <w:vAlign w:val="center"/>
          </w:tcPr>
          <w:p w14:paraId="31775909">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≥70%</w:t>
            </w:r>
          </w:p>
        </w:tc>
      </w:tr>
      <w:tr w14:paraId="1E1D39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3D203593">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5328743D">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634D155D">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高级氧化处理电泳废气技术效率</w:t>
            </w:r>
          </w:p>
        </w:tc>
        <w:tc>
          <w:tcPr>
            <w:tcW w:w="2127" w:type="dxa"/>
            <w:noWrap w:val="0"/>
            <w:vAlign w:val="center"/>
          </w:tcPr>
          <w:p w14:paraId="4E8F94ED">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≥60%</w:t>
            </w:r>
          </w:p>
        </w:tc>
      </w:tr>
      <w:tr w14:paraId="588267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19AEB0E2">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668A26CC">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435E36AD">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空间、多区域协同供风、排风技术减少废气排放量</w:t>
            </w:r>
          </w:p>
        </w:tc>
        <w:tc>
          <w:tcPr>
            <w:tcW w:w="2127" w:type="dxa"/>
            <w:noWrap w:val="0"/>
            <w:vAlign w:val="center"/>
          </w:tcPr>
          <w:p w14:paraId="0286881B">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≥10%</w:t>
            </w:r>
          </w:p>
        </w:tc>
      </w:tr>
      <w:tr w14:paraId="1257B8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67E71433">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60ACC8B6">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3F07B10E">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申请专利</w:t>
            </w:r>
          </w:p>
        </w:tc>
        <w:tc>
          <w:tcPr>
            <w:tcW w:w="2127" w:type="dxa"/>
            <w:noWrap w:val="0"/>
            <w:vAlign w:val="center"/>
          </w:tcPr>
          <w:p w14:paraId="615F897B">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≥1项</w:t>
            </w:r>
          </w:p>
        </w:tc>
      </w:tr>
      <w:tr w14:paraId="0EE565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29F7F959">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66855C3E">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40765109">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标准征求意见稿北京市零售汽车零部件及部件企业覆盖率</w:t>
            </w:r>
          </w:p>
        </w:tc>
        <w:tc>
          <w:tcPr>
            <w:tcW w:w="2127" w:type="dxa"/>
            <w:noWrap w:val="0"/>
            <w:vAlign w:val="center"/>
          </w:tcPr>
          <w:p w14:paraId="1BB09AFD">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100%</w:t>
            </w:r>
          </w:p>
        </w:tc>
      </w:tr>
      <w:tr w14:paraId="39F1B2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30E4ADEE">
            <w:pPr>
              <w:widowControl/>
              <w:spacing w:line="240" w:lineRule="exact"/>
              <w:jc w:val="center"/>
              <w:rPr>
                <w:rFonts w:hint="eastAsia" w:ascii="宋体" w:hAnsi="宋体" w:eastAsia="宋体" w:cs="宋体"/>
                <w:kern w:val="0"/>
                <w:sz w:val="20"/>
                <w:szCs w:val="20"/>
              </w:rPr>
            </w:pPr>
          </w:p>
        </w:tc>
        <w:tc>
          <w:tcPr>
            <w:tcW w:w="1276" w:type="dxa"/>
            <w:noWrap w:val="0"/>
            <w:vAlign w:val="center"/>
          </w:tcPr>
          <w:p w14:paraId="20093E6A">
            <w:pPr>
              <w:widowControl/>
              <w:spacing w:line="24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4677" w:type="dxa"/>
            <w:noWrap w:val="0"/>
            <w:vAlign w:val="center"/>
          </w:tcPr>
          <w:p w14:paraId="2F13560D">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研究成果完成时间</w:t>
            </w:r>
          </w:p>
        </w:tc>
        <w:tc>
          <w:tcPr>
            <w:tcW w:w="2127" w:type="dxa"/>
            <w:noWrap w:val="0"/>
            <w:vAlign w:val="center"/>
          </w:tcPr>
          <w:p w14:paraId="0B563011">
            <w:pPr>
              <w:widowControl/>
              <w:spacing w:line="24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2024年12月底前完成</w:t>
            </w:r>
          </w:p>
        </w:tc>
      </w:tr>
      <w:tr w14:paraId="5A13FE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noWrap w:val="0"/>
            <w:vAlign w:val="center"/>
          </w:tcPr>
          <w:p w14:paraId="780B1D66">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成本指标</w:t>
            </w:r>
          </w:p>
        </w:tc>
        <w:tc>
          <w:tcPr>
            <w:tcW w:w="1276" w:type="dxa"/>
            <w:noWrap w:val="0"/>
            <w:vAlign w:val="center"/>
          </w:tcPr>
          <w:p w14:paraId="18BE4BC1">
            <w:pPr>
              <w:widowControl/>
              <w:spacing w:line="24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经济成本指标</w:t>
            </w:r>
          </w:p>
        </w:tc>
        <w:tc>
          <w:tcPr>
            <w:tcW w:w="4677" w:type="dxa"/>
            <w:noWrap w:val="0"/>
            <w:vAlign w:val="center"/>
          </w:tcPr>
          <w:p w14:paraId="7859697A">
            <w:pPr>
              <w:widowControl/>
              <w:spacing w:line="240" w:lineRule="exact"/>
              <w:jc w:val="center"/>
              <w:rPr>
                <w:rFonts w:hint="eastAsia" w:ascii="宋体" w:hAnsi="宋体" w:eastAsia="宋体" w:cs="宋体"/>
                <w:sz w:val="20"/>
                <w:szCs w:val="20"/>
              </w:rPr>
            </w:pPr>
            <w:r>
              <w:rPr>
                <w:rFonts w:hint="eastAsia" w:ascii="宋体" w:hAnsi="宋体" w:eastAsia="宋体" w:cs="宋体"/>
                <w:sz w:val="20"/>
                <w:szCs w:val="20"/>
              </w:rPr>
              <w:t>项目预算成本控制数</w:t>
            </w:r>
          </w:p>
        </w:tc>
        <w:tc>
          <w:tcPr>
            <w:tcW w:w="2127" w:type="dxa"/>
            <w:noWrap w:val="0"/>
            <w:vAlign w:val="center"/>
          </w:tcPr>
          <w:p w14:paraId="681562A6">
            <w:pPr>
              <w:widowControl/>
              <w:spacing w:line="240" w:lineRule="exact"/>
              <w:jc w:val="center"/>
              <w:rPr>
                <w:rFonts w:hint="eastAsia" w:ascii="宋体" w:hAnsi="宋体" w:eastAsia="宋体" w:cs="宋体"/>
                <w:sz w:val="20"/>
                <w:szCs w:val="20"/>
              </w:rPr>
            </w:pPr>
            <w:r>
              <w:rPr>
                <w:rFonts w:hint="eastAsia" w:ascii="宋体" w:hAnsi="宋体" w:eastAsia="宋体" w:cs="宋体"/>
                <w:sz w:val="20"/>
                <w:szCs w:val="20"/>
              </w:rPr>
              <w:t>≤360.724万元</w:t>
            </w:r>
          </w:p>
        </w:tc>
      </w:tr>
      <w:tr w14:paraId="266D0A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restart"/>
            <w:noWrap w:val="0"/>
            <w:vAlign w:val="center"/>
          </w:tcPr>
          <w:p w14:paraId="7D7FC914">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效益指标</w:t>
            </w:r>
          </w:p>
        </w:tc>
        <w:tc>
          <w:tcPr>
            <w:tcW w:w="1276" w:type="dxa"/>
            <w:vMerge w:val="restart"/>
            <w:noWrap w:val="0"/>
            <w:vAlign w:val="center"/>
          </w:tcPr>
          <w:p w14:paraId="53B6C8BF">
            <w:pPr>
              <w:widowControl/>
              <w:spacing w:line="24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社会效益</w:t>
            </w:r>
          </w:p>
          <w:p w14:paraId="642FA474">
            <w:pPr>
              <w:widowControl/>
              <w:spacing w:line="24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指标</w:t>
            </w:r>
          </w:p>
        </w:tc>
        <w:tc>
          <w:tcPr>
            <w:tcW w:w="4677" w:type="dxa"/>
            <w:noWrap w:val="0"/>
            <w:vAlign w:val="center"/>
          </w:tcPr>
          <w:p w14:paraId="63B3F4F6">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可为汽车制造业废水降污减碳可行技术提供技术支撑</w:t>
            </w:r>
          </w:p>
        </w:tc>
        <w:tc>
          <w:tcPr>
            <w:tcW w:w="2127" w:type="dxa"/>
            <w:noWrap w:val="0"/>
            <w:vAlign w:val="center"/>
          </w:tcPr>
          <w:p w14:paraId="3327C341">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得到提升</w:t>
            </w:r>
          </w:p>
        </w:tc>
      </w:tr>
      <w:tr w14:paraId="03DC9B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6B5AC01A">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190FF4D2">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0FBFD548">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为汽车制造行业低浓度VOCs废气治理提供技术支撑</w:t>
            </w:r>
          </w:p>
        </w:tc>
        <w:tc>
          <w:tcPr>
            <w:tcW w:w="2127" w:type="dxa"/>
            <w:noWrap w:val="0"/>
            <w:vAlign w:val="center"/>
          </w:tcPr>
          <w:p w14:paraId="30FA3D01">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得到提升</w:t>
            </w:r>
          </w:p>
        </w:tc>
      </w:tr>
      <w:tr w14:paraId="34DE78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1067D955">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3BFBA701">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09A788DE">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绿色风险管控材料对典型污染物的阻控率</w:t>
            </w:r>
          </w:p>
        </w:tc>
        <w:tc>
          <w:tcPr>
            <w:tcW w:w="2127" w:type="dxa"/>
            <w:noWrap w:val="0"/>
            <w:vAlign w:val="center"/>
          </w:tcPr>
          <w:p w14:paraId="0F407007">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≥95%</w:t>
            </w:r>
          </w:p>
        </w:tc>
      </w:tr>
      <w:tr w14:paraId="040116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6591E421">
            <w:pPr>
              <w:widowControl/>
              <w:spacing w:line="240" w:lineRule="exact"/>
              <w:jc w:val="center"/>
              <w:rPr>
                <w:rFonts w:hint="eastAsia" w:ascii="宋体" w:hAnsi="宋体" w:eastAsia="宋体" w:cs="宋体"/>
                <w:kern w:val="0"/>
                <w:sz w:val="20"/>
                <w:szCs w:val="20"/>
              </w:rPr>
            </w:pPr>
          </w:p>
        </w:tc>
        <w:tc>
          <w:tcPr>
            <w:tcW w:w="1276" w:type="dxa"/>
            <w:vMerge w:val="restart"/>
            <w:noWrap w:val="0"/>
            <w:vAlign w:val="center"/>
          </w:tcPr>
          <w:p w14:paraId="31E50613">
            <w:pPr>
              <w:widowControl/>
              <w:spacing w:line="24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可持续影响指标</w:t>
            </w:r>
          </w:p>
        </w:tc>
        <w:tc>
          <w:tcPr>
            <w:tcW w:w="4677" w:type="dxa"/>
            <w:noWrap w:val="0"/>
            <w:vAlign w:val="center"/>
          </w:tcPr>
          <w:p w14:paraId="389C8CB5">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建立的检测和监测方法有望应用于汽车制造等多个工业生产领域</w:t>
            </w:r>
          </w:p>
        </w:tc>
        <w:tc>
          <w:tcPr>
            <w:tcW w:w="2127" w:type="dxa"/>
            <w:noWrap w:val="0"/>
            <w:vAlign w:val="center"/>
          </w:tcPr>
          <w:p w14:paraId="100FB1E0">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有力支撑</w:t>
            </w:r>
          </w:p>
        </w:tc>
      </w:tr>
      <w:tr w14:paraId="45284B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1" w:hRule="atLeast"/>
          <w:jc w:val="center"/>
        </w:trPr>
        <w:tc>
          <w:tcPr>
            <w:tcW w:w="1110" w:type="dxa"/>
            <w:vMerge w:val="continue"/>
            <w:noWrap w:val="0"/>
            <w:vAlign w:val="center"/>
          </w:tcPr>
          <w:p w14:paraId="632FA195">
            <w:pPr>
              <w:widowControl/>
              <w:spacing w:line="240" w:lineRule="exact"/>
              <w:jc w:val="center"/>
              <w:rPr>
                <w:rFonts w:hint="eastAsia" w:ascii="宋体" w:hAnsi="宋体" w:eastAsia="宋体" w:cs="宋体"/>
                <w:kern w:val="0"/>
                <w:sz w:val="20"/>
                <w:szCs w:val="20"/>
              </w:rPr>
            </w:pPr>
          </w:p>
        </w:tc>
        <w:tc>
          <w:tcPr>
            <w:tcW w:w="1276" w:type="dxa"/>
            <w:vMerge w:val="continue"/>
            <w:noWrap w:val="0"/>
            <w:vAlign w:val="center"/>
          </w:tcPr>
          <w:p w14:paraId="5377F4BF">
            <w:pPr>
              <w:widowControl/>
              <w:spacing w:line="240" w:lineRule="exact"/>
              <w:jc w:val="center"/>
              <w:rPr>
                <w:rFonts w:hint="eastAsia" w:ascii="宋体" w:hAnsi="宋体" w:eastAsia="宋体" w:cs="宋体"/>
                <w:kern w:val="0"/>
                <w:sz w:val="20"/>
                <w:szCs w:val="20"/>
              </w:rPr>
            </w:pPr>
          </w:p>
        </w:tc>
        <w:tc>
          <w:tcPr>
            <w:tcW w:w="4677" w:type="dxa"/>
            <w:noWrap w:val="0"/>
            <w:vAlign w:val="center"/>
          </w:tcPr>
          <w:p w14:paraId="4EFDD825">
            <w:pPr>
              <w:widowControl/>
              <w:spacing w:line="240" w:lineRule="exact"/>
              <w:jc w:val="center"/>
              <w:rPr>
                <w:rFonts w:hint="eastAsia" w:ascii="宋体" w:hAnsi="宋体" w:eastAsia="宋体" w:cs="宋体"/>
                <w:color w:val="000000"/>
                <w:kern w:val="0"/>
                <w:sz w:val="20"/>
                <w:szCs w:val="20"/>
              </w:rPr>
            </w:pPr>
            <w:r>
              <w:rPr>
                <w:rFonts w:hint="eastAsia" w:ascii="宋体" w:hAnsi="宋体" w:eastAsia="宋体" w:cs="宋体"/>
                <w:sz w:val="20"/>
                <w:szCs w:val="20"/>
              </w:rPr>
              <w:t>为其他行业低浓度VOCs废气治理提供技术支撑</w:t>
            </w:r>
          </w:p>
        </w:tc>
        <w:tc>
          <w:tcPr>
            <w:tcW w:w="2127" w:type="dxa"/>
            <w:noWrap w:val="0"/>
            <w:vAlign w:val="center"/>
          </w:tcPr>
          <w:p w14:paraId="28644552">
            <w:pPr>
              <w:widowControl/>
              <w:spacing w:line="240" w:lineRule="exact"/>
              <w:jc w:val="center"/>
              <w:rPr>
                <w:rFonts w:hint="eastAsia" w:ascii="宋体" w:hAnsi="宋体" w:eastAsia="宋体" w:cs="宋体"/>
                <w:kern w:val="0"/>
                <w:sz w:val="20"/>
                <w:szCs w:val="20"/>
              </w:rPr>
            </w:pPr>
            <w:r>
              <w:rPr>
                <w:rFonts w:hint="eastAsia" w:ascii="宋体" w:hAnsi="宋体" w:eastAsia="宋体" w:cs="宋体"/>
                <w:sz w:val="20"/>
                <w:szCs w:val="20"/>
              </w:rPr>
              <w:t>得到提升</w:t>
            </w:r>
          </w:p>
        </w:tc>
      </w:tr>
    </w:tbl>
    <w:p w14:paraId="3F40766B">
      <w:pPr>
        <w:adjustRightInd w:val="0"/>
        <w:snapToGrid w:val="0"/>
        <w:spacing w:line="360" w:lineRule="auto"/>
        <w:ind w:firstLine="640" w:firstLineChars="200"/>
        <w:rPr>
          <w:rFonts w:hint="eastAsia" w:ascii="黑体" w:eastAsia="黑体"/>
          <w:color w:val="000000"/>
          <w:sz w:val="32"/>
          <w:szCs w:val="32"/>
        </w:rPr>
      </w:pPr>
    </w:p>
    <w:p w14:paraId="73B70F1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ascii="黑体" w:eastAsia="黑体"/>
          <w:color w:val="000000"/>
          <w:sz w:val="32"/>
          <w:szCs w:val="32"/>
        </w:rPr>
      </w:pPr>
      <w:bookmarkStart w:id="11" w:name="_Toc167040549"/>
      <w:r>
        <w:rPr>
          <w:rFonts w:hint="eastAsia" w:ascii="黑体" w:eastAsia="黑体"/>
          <w:color w:val="000000"/>
          <w:sz w:val="32"/>
          <w:szCs w:val="32"/>
        </w:rPr>
        <w:t>二、绩效评价工作开展情况</w:t>
      </w:r>
      <w:bookmarkEnd w:id="11"/>
    </w:p>
    <w:bookmarkEnd w:id="10"/>
    <w:p w14:paraId="5A03594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eastAsia="楷体_GB2312"/>
          <w:color w:val="000000"/>
          <w:sz w:val="32"/>
          <w:szCs w:val="32"/>
        </w:rPr>
      </w:pPr>
      <w:bookmarkStart w:id="12" w:name="_Toc313007027"/>
      <w:bookmarkStart w:id="13" w:name="_Toc167040550"/>
      <w:bookmarkStart w:id="14" w:name="_Toc35588402"/>
      <w:bookmarkStart w:id="15" w:name="_Toc35588408"/>
      <w:r>
        <w:rPr>
          <w:rFonts w:hint="eastAsia" w:ascii="楷体_GB2312" w:eastAsia="楷体_GB2312"/>
          <w:color w:val="000000"/>
          <w:sz w:val="32"/>
          <w:szCs w:val="32"/>
        </w:rPr>
        <w:t>（一）</w:t>
      </w:r>
      <w:bookmarkEnd w:id="12"/>
      <w:r>
        <w:rPr>
          <w:rFonts w:hint="eastAsia" w:ascii="楷体_GB2312" w:eastAsia="楷体_GB2312"/>
          <w:color w:val="000000"/>
          <w:sz w:val="32"/>
          <w:szCs w:val="32"/>
          <w:highlight w:val="none"/>
        </w:rPr>
        <w:t>绩效评价目的、对象及范围</w:t>
      </w:r>
      <w:bookmarkEnd w:id="13"/>
      <w:bookmarkEnd w:id="14"/>
    </w:p>
    <w:p w14:paraId="7B2189E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sz w:val="32"/>
          <w:szCs w:val="32"/>
          <w:highlight w:val="none"/>
          <w:lang w:val="en-US" w:eastAsia="zh-CN"/>
        </w:rPr>
      </w:pPr>
      <w:bookmarkStart w:id="16" w:name="_Toc35588403"/>
      <w:bookmarkStart w:id="17" w:name="_Toc313007028"/>
      <w:r>
        <w:rPr>
          <w:rFonts w:hint="eastAsia" w:ascii="仿宋_GB2312" w:hAnsi="仿宋"/>
          <w:sz w:val="32"/>
          <w:szCs w:val="32"/>
          <w:highlight w:val="none"/>
          <w:lang w:val="en-US" w:eastAsia="zh-CN"/>
        </w:rPr>
        <w:t>1.评价目的</w:t>
      </w:r>
    </w:p>
    <w:p w14:paraId="7C1238A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sz w:val="32"/>
          <w:szCs w:val="32"/>
          <w:highlight w:val="none"/>
          <w:lang w:val="en-US" w:eastAsia="zh-CN"/>
        </w:rPr>
      </w:pPr>
      <w:r>
        <w:rPr>
          <w:rFonts w:hint="eastAsia" w:ascii="仿宋_GB2312" w:hAnsi="仿宋"/>
          <w:sz w:val="32"/>
          <w:szCs w:val="32"/>
          <w:highlight w:val="none"/>
          <w:lang w:eastAsia="zh-CN"/>
        </w:rPr>
        <w:t>通过对项目开展绩效评价，</w:t>
      </w:r>
      <w:r>
        <w:rPr>
          <w:rFonts w:ascii="仿宋_GB2312" w:hAnsi="仿宋"/>
          <w:sz w:val="32"/>
          <w:szCs w:val="32"/>
          <w:highlight w:val="none"/>
        </w:rPr>
        <w:t>总结经验，发现问题，剖析原因，提出改进建议，</w:t>
      </w:r>
      <w:r>
        <w:rPr>
          <w:rFonts w:hint="eastAsia" w:ascii="仿宋_GB2312" w:hAnsi="仿宋"/>
          <w:sz w:val="32"/>
          <w:szCs w:val="32"/>
          <w:highlight w:val="none"/>
          <w:lang w:eastAsia="zh-CN"/>
        </w:rPr>
        <w:t>为</w:t>
      </w:r>
      <w:r>
        <w:rPr>
          <w:rFonts w:ascii="仿宋_GB2312" w:hAnsi="仿宋"/>
          <w:sz w:val="32"/>
          <w:szCs w:val="32"/>
          <w:highlight w:val="none"/>
        </w:rPr>
        <w:t>相关部门</w:t>
      </w:r>
      <w:r>
        <w:rPr>
          <w:rFonts w:hint="eastAsia" w:ascii="仿宋_GB2312" w:hAnsi="仿宋"/>
          <w:sz w:val="32"/>
          <w:szCs w:val="32"/>
          <w:highlight w:val="none"/>
          <w:lang w:eastAsia="zh-CN"/>
        </w:rPr>
        <w:t>对项目</w:t>
      </w:r>
      <w:r>
        <w:rPr>
          <w:rFonts w:ascii="仿宋_GB2312" w:hAnsi="仿宋"/>
          <w:sz w:val="32"/>
          <w:szCs w:val="32"/>
          <w:highlight w:val="none"/>
        </w:rPr>
        <w:t>科学决策、规范管理提供参考，进一步优化</w:t>
      </w:r>
      <w:r>
        <w:rPr>
          <w:rFonts w:hint="eastAsia" w:ascii="仿宋_GB2312" w:hAnsi="仿宋"/>
          <w:sz w:val="32"/>
          <w:szCs w:val="32"/>
          <w:highlight w:val="none"/>
        </w:rPr>
        <w:t>预算绩效管理</w:t>
      </w:r>
      <w:r>
        <w:rPr>
          <w:rFonts w:ascii="仿宋_GB2312" w:hAnsi="仿宋"/>
          <w:sz w:val="32"/>
          <w:szCs w:val="32"/>
          <w:highlight w:val="none"/>
        </w:rPr>
        <w:t>工作，提高财政资金配置效率和使用效益。</w:t>
      </w:r>
    </w:p>
    <w:p w14:paraId="10B3030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sz w:val="32"/>
          <w:szCs w:val="32"/>
          <w:highlight w:val="none"/>
          <w:lang w:val="en-US" w:eastAsia="zh-CN"/>
        </w:rPr>
      </w:pPr>
      <w:r>
        <w:rPr>
          <w:rFonts w:hint="eastAsia" w:ascii="仿宋_GB2312" w:hAnsi="仿宋"/>
          <w:sz w:val="32"/>
          <w:szCs w:val="32"/>
          <w:highlight w:val="none"/>
          <w:lang w:val="en-US" w:eastAsia="zh-CN"/>
        </w:rPr>
        <w:t>2.评价对象</w:t>
      </w:r>
    </w:p>
    <w:p w14:paraId="515017C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sz w:val="32"/>
          <w:szCs w:val="32"/>
          <w:highlight w:val="none"/>
          <w:lang w:val="en-US" w:eastAsia="zh-CN"/>
        </w:rPr>
      </w:pPr>
      <w:r>
        <w:rPr>
          <w:rFonts w:hint="eastAsia" w:ascii="仿宋_GB2312" w:hAnsi="仿宋"/>
          <w:sz w:val="32"/>
          <w:szCs w:val="32"/>
          <w:highlight w:val="none"/>
        </w:rPr>
        <w:t>汽车制造业减污降碳关键技术集成与应用研究项目</w:t>
      </w:r>
    </w:p>
    <w:p w14:paraId="4C1F35B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sz w:val="32"/>
          <w:szCs w:val="32"/>
          <w:highlight w:val="none"/>
          <w:lang w:val="en-US" w:eastAsia="zh-CN"/>
        </w:rPr>
      </w:pPr>
      <w:r>
        <w:rPr>
          <w:rFonts w:hint="eastAsia" w:ascii="仿宋_GB2312" w:hAnsi="仿宋"/>
          <w:sz w:val="32"/>
          <w:szCs w:val="32"/>
          <w:highlight w:val="none"/>
          <w:lang w:val="en-US" w:eastAsia="zh-CN"/>
        </w:rPr>
        <w:t>3.评价范围</w:t>
      </w:r>
    </w:p>
    <w:p w14:paraId="78B9226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sz w:val="32"/>
          <w:szCs w:val="32"/>
          <w:highlight w:val="none"/>
        </w:rPr>
      </w:pPr>
      <w:r>
        <w:rPr>
          <w:rFonts w:ascii="仿宋_GB2312" w:hAnsi="仿宋"/>
          <w:sz w:val="32"/>
          <w:szCs w:val="32"/>
          <w:highlight w:val="none"/>
        </w:rPr>
        <w:t>围绕</w:t>
      </w:r>
      <w:r>
        <w:rPr>
          <w:rFonts w:hint="eastAsia" w:ascii="仿宋_GB2312" w:hAnsi="仿宋"/>
          <w:sz w:val="32"/>
          <w:szCs w:val="32"/>
          <w:highlight w:val="none"/>
          <w:lang w:eastAsia="zh-CN"/>
        </w:rPr>
        <w:t>项目</w:t>
      </w:r>
      <w:r>
        <w:rPr>
          <w:rFonts w:ascii="仿宋_GB2312" w:hAnsi="仿宋"/>
          <w:sz w:val="32"/>
          <w:szCs w:val="32"/>
          <w:highlight w:val="none"/>
        </w:rPr>
        <w:t>决策、过程、产出及效益情况开展评价</w:t>
      </w:r>
      <w:r>
        <w:rPr>
          <w:rFonts w:hint="eastAsia" w:ascii="仿宋_GB2312" w:hAnsi="仿宋"/>
          <w:sz w:val="32"/>
          <w:szCs w:val="32"/>
          <w:highlight w:val="none"/>
          <w:lang w:eastAsia="zh-CN"/>
        </w:rPr>
        <w:t>。</w:t>
      </w:r>
    </w:p>
    <w:p w14:paraId="5503740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default" w:ascii="楷体_GB2312" w:eastAsia="楷体_GB2312"/>
          <w:color w:val="000000"/>
          <w:sz w:val="32"/>
          <w:szCs w:val="32"/>
          <w:lang w:val="en-US" w:eastAsia="zh-CN"/>
        </w:rPr>
      </w:pPr>
      <w:bookmarkStart w:id="18" w:name="_Toc167040551"/>
      <w:r>
        <w:rPr>
          <w:rFonts w:hint="eastAsia" w:ascii="楷体_GB2312" w:eastAsia="楷体_GB2312"/>
          <w:color w:val="000000"/>
          <w:sz w:val="32"/>
          <w:szCs w:val="32"/>
        </w:rPr>
        <w:t>（二）绩效评价原则、</w:t>
      </w:r>
      <w:r>
        <w:rPr>
          <w:rFonts w:hint="eastAsia" w:ascii="楷体_GB2312" w:eastAsia="楷体_GB2312"/>
          <w:color w:val="000000"/>
          <w:sz w:val="32"/>
          <w:szCs w:val="32"/>
          <w:lang w:val="en-US" w:eastAsia="zh-CN"/>
        </w:rPr>
        <w:t>评价指标体系（附表说明）、评价</w:t>
      </w:r>
      <w:r>
        <w:rPr>
          <w:rFonts w:hint="eastAsia" w:ascii="楷体_GB2312" w:eastAsia="楷体_GB2312"/>
          <w:color w:val="000000"/>
          <w:sz w:val="32"/>
          <w:szCs w:val="32"/>
        </w:rPr>
        <w:t>方法</w:t>
      </w:r>
      <w:bookmarkEnd w:id="18"/>
      <w:r>
        <w:rPr>
          <w:rFonts w:hint="eastAsia" w:ascii="楷体_GB2312" w:eastAsia="楷体_GB2312"/>
          <w:color w:val="000000"/>
          <w:sz w:val="32"/>
          <w:szCs w:val="32"/>
          <w:lang w:eastAsia="zh-CN"/>
        </w:rPr>
        <w:t>、</w:t>
      </w:r>
      <w:r>
        <w:rPr>
          <w:rFonts w:hint="eastAsia" w:ascii="楷体_GB2312" w:eastAsia="楷体_GB2312"/>
          <w:color w:val="000000"/>
          <w:sz w:val="32"/>
          <w:szCs w:val="32"/>
          <w:lang w:val="en-US" w:eastAsia="zh-CN"/>
        </w:rPr>
        <w:t>评价标准等</w:t>
      </w:r>
    </w:p>
    <w:p w14:paraId="1614F4A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bCs/>
          <w:color w:val="000000"/>
          <w:sz w:val="32"/>
          <w:szCs w:val="32"/>
        </w:rPr>
      </w:pPr>
      <w:bookmarkStart w:id="19" w:name="_Toc313007030"/>
      <w:r>
        <w:rPr>
          <w:rFonts w:hint="eastAsia" w:ascii="仿宋_GB2312" w:hAnsi="宋体"/>
          <w:bCs/>
          <w:color w:val="000000"/>
          <w:sz w:val="32"/>
          <w:szCs w:val="32"/>
        </w:rPr>
        <w:t>1.评价原则和方法</w:t>
      </w:r>
    </w:p>
    <w:p w14:paraId="697F2F7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color w:val="000000"/>
          <w:sz w:val="32"/>
          <w:szCs w:val="32"/>
        </w:rPr>
      </w:pPr>
      <w:r>
        <w:rPr>
          <w:rFonts w:hint="eastAsia" w:ascii="仿宋_GB2312" w:hAnsi="宋体"/>
          <w:bCs/>
          <w:color w:val="000000"/>
          <w:sz w:val="32"/>
          <w:szCs w:val="32"/>
        </w:rPr>
        <w:t>本次评价本着问题导向、系统评价、科学客观、讲求绩效</w:t>
      </w:r>
      <w:r>
        <w:rPr>
          <w:rFonts w:hint="eastAsia" w:ascii="仿宋_GB2312"/>
          <w:color w:val="000000"/>
          <w:sz w:val="32"/>
          <w:szCs w:val="32"/>
        </w:rPr>
        <w:t>的</w:t>
      </w:r>
      <w:r>
        <w:rPr>
          <w:rFonts w:hint="eastAsia" w:ascii="仿宋_GB2312" w:hAnsi="宋体"/>
          <w:bCs/>
          <w:color w:val="000000"/>
          <w:sz w:val="32"/>
          <w:szCs w:val="32"/>
        </w:rPr>
        <w:t>原则，</w:t>
      </w:r>
      <w:r>
        <w:rPr>
          <w:rFonts w:hint="eastAsia" w:ascii="仿宋_GB2312"/>
          <w:color w:val="000000"/>
          <w:sz w:val="32"/>
          <w:szCs w:val="32"/>
        </w:rPr>
        <w:t>采用全面评价和重点评价相结合、现场评价和非现场评价相结合、定性分析与定量分析相结合的方式，运用案卷研究、专家咨询等方法，对项目决策、过程、产出、效益四方面进行综合评价。</w:t>
      </w:r>
    </w:p>
    <w:p w14:paraId="3803444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bCs/>
          <w:color w:val="000000"/>
          <w:sz w:val="32"/>
          <w:szCs w:val="32"/>
        </w:rPr>
      </w:pPr>
      <w:r>
        <w:rPr>
          <w:rFonts w:hint="eastAsia" w:ascii="仿宋_GB2312" w:hAnsi="宋体"/>
          <w:bCs/>
          <w:color w:val="000000"/>
          <w:sz w:val="32"/>
          <w:szCs w:val="32"/>
        </w:rPr>
        <w:t>2.评价指标体系</w:t>
      </w:r>
      <w:bookmarkEnd w:id="19"/>
    </w:p>
    <w:p w14:paraId="7DD5F9F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cs="仿宋_GB2312"/>
          <w:bCs/>
          <w:sz w:val="32"/>
          <w:szCs w:val="32"/>
        </w:rPr>
      </w:pPr>
      <w:bookmarkStart w:id="20" w:name="_Toc35588404"/>
      <w:bookmarkStart w:id="21" w:name="_Toc313007032"/>
      <w:r>
        <w:rPr>
          <w:rFonts w:hint="eastAsia" w:ascii="仿宋_GB2312" w:hAnsi="仿宋_GB2312" w:cs="仿宋_GB2312"/>
          <w:bCs/>
          <w:sz w:val="32"/>
          <w:szCs w:val="32"/>
        </w:rPr>
        <w:t>根据《北京市项目支出绩效评价管理办法》相关精神，结合项目特点，绩效自评工作组细化了该项目的绩效评价指标体系，详见附件。评价指标体系总分值为100分，其中项目决策10分，项目过程10分，项目产出50分，项目效益30分。绩效评价综合绩效级别分为4个等级：</w:t>
      </w:r>
    </w:p>
    <w:p w14:paraId="4F90244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cs="仿宋_GB2312"/>
          <w:bCs/>
          <w:sz w:val="32"/>
          <w:szCs w:val="32"/>
        </w:rPr>
      </w:pPr>
      <w:r>
        <w:rPr>
          <w:rFonts w:hint="eastAsia" w:ascii="仿宋_GB2312" w:hAnsi="仿宋_GB2312" w:cs="仿宋_GB2312"/>
          <w:bCs/>
          <w:sz w:val="32"/>
          <w:szCs w:val="32"/>
        </w:rPr>
        <w:t>综合得分在90（含）-100分为优；</w:t>
      </w:r>
    </w:p>
    <w:p w14:paraId="07B491C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cs="仿宋_GB2312"/>
          <w:bCs/>
          <w:sz w:val="32"/>
          <w:szCs w:val="32"/>
        </w:rPr>
      </w:pPr>
      <w:r>
        <w:rPr>
          <w:rFonts w:hint="eastAsia" w:ascii="仿宋_GB2312" w:hAnsi="仿宋_GB2312" w:cs="仿宋_GB2312"/>
          <w:bCs/>
          <w:sz w:val="32"/>
          <w:szCs w:val="32"/>
        </w:rPr>
        <w:t>综合得分在80（含）-90分为良；</w:t>
      </w:r>
    </w:p>
    <w:p w14:paraId="756AAEF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cs="仿宋_GB2312"/>
          <w:bCs/>
          <w:sz w:val="32"/>
          <w:szCs w:val="32"/>
        </w:rPr>
      </w:pPr>
      <w:r>
        <w:rPr>
          <w:rFonts w:hint="eastAsia" w:ascii="仿宋_GB2312" w:hAnsi="仿宋_GB2312" w:cs="仿宋_GB2312"/>
          <w:bCs/>
          <w:sz w:val="32"/>
          <w:szCs w:val="32"/>
        </w:rPr>
        <w:t>综合得分在60（含）-80分为中；</w:t>
      </w:r>
    </w:p>
    <w:p w14:paraId="2B0CA1A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cs="仿宋_GB2312"/>
          <w:bCs/>
          <w:sz w:val="32"/>
          <w:szCs w:val="32"/>
        </w:rPr>
      </w:pPr>
      <w:r>
        <w:rPr>
          <w:rFonts w:hint="eastAsia" w:ascii="仿宋_GB2312" w:hAnsi="仿宋_GB2312" w:cs="仿宋_GB2312"/>
          <w:bCs/>
          <w:sz w:val="32"/>
          <w:szCs w:val="32"/>
        </w:rPr>
        <w:t>综合得分在60分以下为较差。</w:t>
      </w:r>
    </w:p>
    <w:p w14:paraId="2C4A10D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eastAsia="楷体_GB2312"/>
          <w:color w:val="000000"/>
          <w:sz w:val="32"/>
          <w:szCs w:val="32"/>
        </w:rPr>
      </w:pPr>
      <w:bookmarkStart w:id="22" w:name="_Toc167040552"/>
      <w:r>
        <w:rPr>
          <w:rFonts w:hint="eastAsia" w:ascii="楷体_GB2312" w:eastAsia="楷体_GB2312"/>
          <w:color w:val="000000"/>
          <w:sz w:val="32"/>
          <w:szCs w:val="32"/>
        </w:rPr>
        <w:t>（三）绩效评价工作过程</w:t>
      </w:r>
      <w:bookmarkEnd w:id="20"/>
      <w:bookmarkEnd w:id="21"/>
      <w:bookmarkEnd w:id="22"/>
    </w:p>
    <w:p w14:paraId="477355C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bCs/>
          <w:kern w:val="44"/>
          <w:sz w:val="32"/>
          <w:szCs w:val="32"/>
        </w:rPr>
      </w:pPr>
      <w:r>
        <w:rPr>
          <w:rFonts w:hint="eastAsia" w:ascii="仿宋_GB2312"/>
          <w:bCs/>
          <w:kern w:val="44"/>
          <w:sz w:val="32"/>
          <w:szCs w:val="32"/>
        </w:rPr>
        <w:t>1.准备阶段</w:t>
      </w:r>
    </w:p>
    <w:p w14:paraId="1FE6ADF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宋体"/>
          <w:sz w:val="32"/>
          <w:szCs w:val="32"/>
        </w:rPr>
      </w:pPr>
      <w:r>
        <w:rPr>
          <w:rFonts w:ascii="仿宋_GB2312" w:hAnsi="宋体"/>
          <w:sz w:val="32"/>
          <w:szCs w:val="32"/>
        </w:rPr>
        <w:t>202</w:t>
      </w:r>
      <w:r>
        <w:rPr>
          <w:rFonts w:hint="eastAsia" w:ascii="仿宋_GB2312" w:hAnsi="宋体"/>
          <w:sz w:val="32"/>
          <w:szCs w:val="32"/>
        </w:rPr>
        <w:t>5年4月9日-</w:t>
      </w:r>
      <w:r>
        <w:rPr>
          <w:rFonts w:ascii="仿宋_GB2312" w:hAnsi="宋体"/>
          <w:sz w:val="32"/>
          <w:szCs w:val="32"/>
        </w:rPr>
        <w:t>4</w:t>
      </w:r>
      <w:r>
        <w:rPr>
          <w:rFonts w:hint="eastAsia" w:ascii="仿宋_GB2312" w:hAnsi="宋体"/>
          <w:sz w:val="32"/>
          <w:szCs w:val="32"/>
        </w:rPr>
        <w:t>月22日为准备阶段：市科研院组建了绩效评价工作组，</w:t>
      </w:r>
      <w:r>
        <w:rPr>
          <w:rFonts w:hint="eastAsia" w:ascii="仿宋_GB2312" w:hAnsi="宋体" w:cs="宋体"/>
          <w:color w:val="000000"/>
          <w:kern w:val="0"/>
          <w:sz w:val="32"/>
          <w:szCs w:val="32"/>
        </w:rPr>
        <w:t>辅导项目单位准备资料；</w:t>
      </w:r>
      <w:r>
        <w:rPr>
          <w:rFonts w:hint="eastAsia" w:ascii="仿宋_GB2312" w:hAnsi="宋体"/>
          <w:sz w:val="32"/>
          <w:szCs w:val="32"/>
        </w:rPr>
        <w:t>在充分沟通的基础上进行项目资料收集、整理工作；</w:t>
      </w:r>
      <w:r>
        <w:rPr>
          <w:rFonts w:hint="eastAsia" w:ascii="仿宋_GB2312" w:hAnsi="宋体" w:cs="宋体"/>
          <w:color w:val="000000"/>
          <w:kern w:val="0"/>
          <w:sz w:val="32"/>
          <w:szCs w:val="32"/>
        </w:rPr>
        <w:t>完成专家遴选、专家培训等相关工作，组建绩效评价专家组，</w:t>
      </w:r>
      <w:r>
        <w:rPr>
          <w:rFonts w:hint="eastAsia" w:ascii="仿宋_GB2312" w:hAnsi="宋体"/>
          <w:sz w:val="32"/>
          <w:szCs w:val="32"/>
        </w:rPr>
        <w:t>包括5名业务专家、</w:t>
      </w:r>
      <w:r>
        <w:rPr>
          <w:rFonts w:ascii="仿宋_GB2312" w:hAnsi="宋体"/>
          <w:sz w:val="32"/>
          <w:szCs w:val="32"/>
        </w:rPr>
        <w:t>1</w:t>
      </w:r>
      <w:r>
        <w:rPr>
          <w:rFonts w:hint="eastAsia" w:ascii="仿宋_GB2312" w:hAnsi="宋体"/>
          <w:sz w:val="32"/>
          <w:szCs w:val="32"/>
        </w:rPr>
        <w:t>名绩效管理专家、1名财务专家；同时邀请1名人大代表参与本次评价工作。</w:t>
      </w:r>
    </w:p>
    <w:p w14:paraId="4B1D5F1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bCs/>
          <w:kern w:val="44"/>
          <w:sz w:val="32"/>
          <w:szCs w:val="32"/>
        </w:rPr>
      </w:pPr>
      <w:r>
        <w:rPr>
          <w:rFonts w:hint="eastAsia" w:ascii="仿宋_GB2312"/>
          <w:bCs/>
          <w:kern w:val="44"/>
          <w:sz w:val="32"/>
          <w:szCs w:val="32"/>
        </w:rPr>
        <w:t>2.实施阶段</w:t>
      </w:r>
    </w:p>
    <w:p w14:paraId="05E5E09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sz w:val="32"/>
          <w:szCs w:val="32"/>
        </w:rPr>
      </w:pPr>
      <w:r>
        <w:rPr>
          <w:rFonts w:ascii="仿宋_GB2312" w:hAnsi="宋体"/>
          <w:sz w:val="32"/>
          <w:szCs w:val="32"/>
        </w:rPr>
        <w:t>202</w:t>
      </w:r>
      <w:r>
        <w:rPr>
          <w:rFonts w:hint="eastAsia" w:ascii="仿宋_GB2312" w:hAnsi="宋体"/>
          <w:sz w:val="32"/>
          <w:szCs w:val="32"/>
        </w:rPr>
        <w:t>5年4月23日-4月25日为实施阶段：评价工作组于4月24日组织召开了专家现场评价会。专家组和人大代表通过听取项目单位汇报，与项目单位进行充分沟通和交流，了解项目的执行情况，并对项目进行了综合评价，专家组出具专家评价意见，人大代表出具绩效评价工作监督意见。</w:t>
      </w:r>
    </w:p>
    <w:p w14:paraId="2E12417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bCs/>
          <w:kern w:val="44"/>
          <w:sz w:val="32"/>
          <w:szCs w:val="32"/>
        </w:rPr>
      </w:pPr>
      <w:r>
        <w:rPr>
          <w:rFonts w:hint="eastAsia" w:ascii="仿宋_GB2312"/>
          <w:bCs/>
          <w:kern w:val="44"/>
          <w:sz w:val="32"/>
          <w:szCs w:val="32"/>
        </w:rPr>
        <w:t>3.评价分析阶段</w:t>
      </w:r>
    </w:p>
    <w:p w14:paraId="3EA1A23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sz w:val="32"/>
          <w:szCs w:val="32"/>
          <w:lang w:eastAsia="zh-CN"/>
        </w:rPr>
      </w:pPr>
      <w:r>
        <w:rPr>
          <w:rFonts w:ascii="仿宋_GB2312" w:hAnsi="宋体"/>
          <w:sz w:val="32"/>
          <w:szCs w:val="32"/>
        </w:rPr>
        <w:t>202</w:t>
      </w:r>
      <w:r>
        <w:rPr>
          <w:rFonts w:hint="eastAsia" w:ascii="仿宋_GB2312" w:hAnsi="宋体"/>
          <w:sz w:val="32"/>
          <w:szCs w:val="32"/>
        </w:rPr>
        <w:t>5年4月26日-5月20日为评价分析阶段：评价工作组根据收集到的项目相关资料以及专家组、人大代表意见，对项目决策、过程、产出及效益情况进行综合分析，按照规定的文本格式和内容撰写绩效评价报告，提交相关单位征求意见。20</w:t>
      </w:r>
      <w:r>
        <w:rPr>
          <w:rFonts w:ascii="仿宋_GB2312" w:hAnsi="宋体"/>
          <w:sz w:val="32"/>
          <w:szCs w:val="32"/>
        </w:rPr>
        <w:t>2</w:t>
      </w:r>
      <w:r>
        <w:rPr>
          <w:rFonts w:hint="eastAsia" w:ascii="仿宋_GB2312" w:hAnsi="宋体"/>
          <w:sz w:val="32"/>
          <w:szCs w:val="32"/>
        </w:rPr>
        <w:t>5年</w:t>
      </w:r>
      <w:r>
        <w:rPr>
          <w:rFonts w:ascii="仿宋_GB2312" w:hAnsi="宋体"/>
          <w:sz w:val="32"/>
          <w:szCs w:val="32"/>
        </w:rPr>
        <w:t>5</w:t>
      </w:r>
      <w:r>
        <w:rPr>
          <w:rFonts w:hint="eastAsia" w:ascii="仿宋_GB2312" w:hAnsi="宋体"/>
          <w:sz w:val="32"/>
          <w:szCs w:val="32"/>
        </w:rPr>
        <w:t>月20日前，根据反馈意见，修改形成绩效评价报告正式稿</w:t>
      </w:r>
      <w:r>
        <w:rPr>
          <w:rFonts w:hint="eastAsia" w:ascii="仿宋_GB2312" w:hAnsi="宋体"/>
          <w:sz w:val="32"/>
          <w:szCs w:val="32"/>
          <w:lang w:eastAsia="zh-CN"/>
        </w:rPr>
        <w:t>。</w:t>
      </w:r>
    </w:p>
    <w:p w14:paraId="1A38039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eastAsia="黑体"/>
          <w:sz w:val="32"/>
          <w:szCs w:val="32"/>
        </w:rPr>
      </w:pPr>
      <w:bookmarkStart w:id="23" w:name="_Toc167040553"/>
      <w:r>
        <w:rPr>
          <w:rFonts w:hint="eastAsia" w:ascii="黑体" w:eastAsia="黑体"/>
          <w:sz w:val="32"/>
          <w:szCs w:val="32"/>
        </w:rPr>
        <w:t>三、综合评价情况及评价结论</w:t>
      </w:r>
      <w:bookmarkEnd w:id="23"/>
    </w:p>
    <w:p w14:paraId="494D2FB4">
      <w:pPr>
        <w:keepNext w:val="0"/>
        <w:keepLines w:val="0"/>
        <w:pageBreakBefore w:val="0"/>
        <w:widowControl w:val="0"/>
        <w:suppressAutoHyphens/>
        <w:kinsoku/>
        <w:wordWrap/>
        <w:overflowPunct/>
        <w:topLinePunct w:val="0"/>
        <w:autoSpaceDE/>
        <w:autoSpaceDN/>
        <w:bidi w:val="0"/>
        <w:adjustRightInd w:val="0"/>
        <w:snapToGrid w:val="0"/>
        <w:spacing w:line="560" w:lineRule="exact"/>
        <w:ind w:firstLine="640" w:firstLineChars="200"/>
        <w:textAlignment w:val="auto"/>
        <w:rPr>
          <w:rFonts w:ascii="仿宋_GB2312" w:hAnsi="仿宋" w:cs="仿宋"/>
          <w:iCs/>
          <w:sz w:val="32"/>
          <w:szCs w:val="32"/>
        </w:rPr>
      </w:pPr>
      <w:r>
        <w:rPr>
          <w:rFonts w:hint="eastAsia" w:ascii="仿宋_GB2312"/>
          <w:sz w:val="32"/>
          <w:szCs w:val="32"/>
        </w:rPr>
        <w:t>2024年，项目主要建立了污染物识别检测方法以及污染场地动态监控方法，构建VOCs化学成分谱库与溯源方法，引入了非均相电芬顿技术进行脱脂废水处理，开发了电泳废水新型电化学预处理成套技术以及吸收-臭氧催化氧化法VOCs成套处理技术,研制了VOCs催化材料以及阻控材料。项目形成了新工艺、新材料、新标准、发明专利、应用解决方案、论文等成果共20余项，一定程度上可</w:t>
      </w:r>
      <w:r>
        <w:rPr>
          <w:rFonts w:hint="eastAsia" w:ascii="仿宋_GB2312"/>
          <w:sz w:val="32"/>
          <w:szCs w:val="32"/>
          <w:highlight w:val="none"/>
        </w:rPr>
        <w:t>为汽车制造业废水减污降碳可行技术筛选提供初步的技术支撑。但项目总体规划不够完善，阶段性目标设置需进一步加强，部分绩效指标设置不够合理，过程管理存在一定不足，项目成果有待进一步转化应用。</w:t>
      </w:r>
      <w:r>
        <w:rPr>
          <w:rFonts w:hint="eastAsia" w:ascii="仿宋_GB2312" w:hAnsi="仿宋_GB2312" w:cs="仿宋_GB2312"/>
          <w:iCs/>
          <w:sz w:val="32"/>
          <w:szCs w:val="32"/>
          <w:highlight w:val="none"/>
        </w:rPr>
        <w:t>项目综合评价</w:t>
      </w:r>
      <w:r>
        <w:rPr>
          <w:rFonts w:hint="eastAsia" w:ascii="仿宋_GB2312" w:hAnsi="仿宋_GB2312" w:cs="仿宋_GB2312"/>
          <w:b w:val="0"/>
          <w:bCs w:val="0"/>
          <w:iCs/>
          <w:sz w:val="32"/>
          <w:szCs w:val="32"/>
          <w:highlight w:val="none"/>
        </w:rPr>
        <w:t>得分</w:t>
      </w:r>
      <w:r>
        <w:rPr>
          <w:rFonts w:hint="eastAsia" w:ascii="仿宋_GB2312" w:hAnsi="仿宋_GB2312" w:cs="仿宋_GB2312"/>
          <w:b w:val="0"/>
          <w:bCs w:val="0"/>
          <w:iCs/>
          <w:sz w:val="32"/>
          <w:szCs w:val="32"/>
        </w:rPr>
        <w:t>82.66分，评价等级为“良”</w:t>
      </w:r>
      <w:r>
        <w:rPr>
          <w:rFonts w:hint="eastAsia" w:ascii="仿宋_GB2312" w:hAnsi="仿宋_GB2312" w:cs="仿宋_GB2312"/>
          <w:iCs/>
          <w:sz w:val="32"/>
          <w:szCs w:val="32"/>
        </w:rPr>
        <w:t>，具体得分情况见表3</w:t>
      </w:r>
      <w:r>
        <w:rPr>
          <w:rFonts w:ascii="仿宋_GB2312" w:hAnsi="仿宋" w:cs="仿宋"/>
          <w:iCs/>
          <w:sz w:val="32"/>
          <w:szCs w:val="32"/>
        </w:rPr>
        <w:t>。</w:t>
      </w:r>
    </w:p>
    <w:p w14:paraId="5F57C9F8">
      <w:pPr>
        <w:keepNext w:val="0"/>
        <w:keepLines w:val="0"/>
        <w:pageBreakBefore w:val="0"/>
        <w:widowControl w:val="0"/>
        <w:suppressAutoHyphens/>
        <w:kinsoku/>
        <w:wordWrap/>
        <w:overflowPunct/>
        <w:topLinePunct w:val="0"/>
        <w:autoSpaceDE/>
        <w:autoSpaceDN/>
        <w:bidi w:val="0"/>
        <w:adjustRightInd w:val="0"/>
        <w:snapToGrid w:val="0"/>
        <w:spacing w:line="560" w:lineRule="exact"/>
        <w:ind w:firstLine="640" w:firstLineChars="200"/>
        <w:textAlignment w:val="auto"/>
        <w:rPr>
          <w:rFonts w:ascii="仿宋_GB2312" w:hAnsi="仿宋" w:cs="仿宋"/>
          <w:iCs/>
          <w:sz w:val="32"/>
          <w:szCs w:val="32"/>
        </w:rPr>
      </w:pPr>
    </w:p>
    <w:p w14:paraId="2B48386E">
      <w:pPr>
        <w:snapToGrid w:val="0"/>
        <w:spacing w:line="360" w:lineRule="auto"/>
        <w:jc w:val="center"/>
        <w:rPr>
          <w:rFonts w:ascii="黑体" w:hAnsi="黑体" w:eastAsia="黑体"/>
          <w:sz w:val="24"/>
          <w:szCs w:val="32"/>
        </w:rPr>
      </w:pPr>
      <w:r>
        <w:rPr>
          <w:rFonts w:hint="eastAsia" w:ascii="黑体" w:hAnsi="黑体" w:eastAsia="黑体"/>
          <w:sz w:val="28"/>
          <w:szCs w:val="28"/>
        </w:rPr>
        <w:t>表3：综合评价得分情况表</w:t>
      </w:r>
    </w:p>
    <w:tbl>
      <w:tblPr>
        <w:tblStyle w:val="37"/>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2127"/>
        <w:gridCol w:w="2069"/>
        <w:gridCol w:w="2239"/>
      </w:tblGrid>
      <w:tr w14:paraId="77D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2069" w:type="dxa"/>
            <w:tcBorders>
              <w:bottom w:val="single" w:color="auto" w:sz="4" w:space="0"/>
            </w:tcBorders>
            <w:noWrap w:val="0"/>
            <w:vAlign w:val="center"/>
          </w:tcPr>
          <w:p w14:paraId="2C759B94">
            <w:pPr>
              <w:widowControl/>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一级指标</w:t>
            </w:r>
          </w:p>
        </w:tc>
        <w:tc>
          <w:tcPr>
            <w:tcW w:w="2127" w:type="dxa"/>
            <w:tcBorders>
              <w:bottom w:val="single" w:color="auto" w:sz="4" w:space="0"/>
            </w:tcBorders>
            <w:noWrap w:val="0"/>
            <w:vAlign w:val="center"/>
          </w:tcPr>
          <w:p w14:paraId="4CD9D2B9">
            <w:pPr>
              <w:widowControl/>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分值</w:t>
            </w:r>
          </w:p>
        </w:tc>
        <w:tc>
          <w:tcPr>
            <w:tcW w:w="2069" w:type="dxa"/>
            <w:tcBorders>
              <w:bottom w:val="single" w:color="auto" w:sz="4" w:space="0"/>
            </w:tcBorders>
            <w:noWrap w:val="0"/>
            <w:vAlign w:val="center"/>
          </w:tcPr>
          <w:p w14:paraId="1686DF4A">
            <w:pPr>
              <w:widowControl/>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得分</w:t>
            </w:r>
          </w:p>
        </w:tc>
        <w:tc>
          <w:tcPr>
            <w:tcW w:w="2239" w:type="dxa"/>
            <w:tcBorders>
              <w:bottom w:val="single" w:color="auto" w:sz="4" w:space="0"/>
            </w:tcBorders>
            <w:noWrap w:val="0"/>
            <w:vAlign w:val="center"/>
          </w:tcPr>
          <w:p w14:paraId="1DD7400F">
            <w:pPr>
              <w:widowControl/>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得分率</w:t>
            </w:r>
          </w:p>
        </w:tc>
      </w:tr>
      <w:tr w14:paraId="56922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69" w:type="dxa"/>
            <w:tcBorders>
              <w:top w:val="single" w:color="auto" w:sz="4" w:space="0"/>
              <w:left w:val="single" w:color="auto" w:sz="4" w:space="0"/>
              <w:bottom w:val="single" w:color="auto" w:sz="4" w:space="0"/>
              <w:right w:val="single" w:color="auto" w:sz="4" w:space="0"/>
            </w:tcBorders>
            <w:noWrap w:val="0"/>
            <w:vAlign w:val="center"/>
          </w:tcPr>
          <w:p w14:paraId="58C090FA">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决策</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05CC2818">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10</w:t>
            </w:r>
          </w:p>
        </w:tc>
        <w:tc>
          <w:tcPr>
            <w:tcW w:w="2069" w:type="dxa"/>
            <w:tcBorders>
              <w:top w:val="nil"/>
              <w:left w:val="nil"/>
              <w:bottom w:val="single" w:color="auto" w:sz="8" w:space="0"/>
              <w:right w:val="single" w:color="auto" w:sz="8" w:space="0"/>
            </w:tcBorders>
            <w:noWrap w:val="0"/>
            <w:vAlign w:val="center"/>
          </w:tcPr>
          <w:p w14:paraId="14E51ACA">
            <w:pPr>
              <w:widowControl/>
              <w:jc w:val="center"/>
              <w:textAlignment w:val="center"/>
              <w:rPr>
                <w:rFonts w:ascii="宋体" w:hAnsi="宋体" w:eastAsia="宋体"/>
                <w:color w:val="000000"/>
                <w:kern w:val="0"/>
                <w:sz w:val="20"/>
                <w:szCs w:val="20"/>
              </w:rPr>
            </w:pPr>
            <w:r>
              <w:rPr>
                <w:rFonts w:hint="eastAsia" w:ascii="宋体" w:hAnsi="宋体" w:eastAsia="宋体" w:cs="宋体"/>
                <w:color w:val="000000"/>
                <w:kern w:val="0"/>
                <w:sz w:val="20"/>
                <w:szCs w:val="20"/>
                <w:lang w:bidi="ar"/>
              </w:rPr>
              <w:t>8.61</w:t>
            </w:r>
          </w:p>
        </w:tc>
        <w:tc>
          <w:tcPr>
            <w:tcW w:w="2239" w:type="dxa"/>
            <w:tcBorders>
              <w:top w:val="nil"/>
              <w:left w:val="nil"/>
              <w:bottom w:val="single" w:color="auto" w:sz="8" w:space="0"/>
              <w:right w:val="single" w:color="auto" w:sz="8" w:space="0"/>
            </w:tcBorders>
            <w:noWrap w:val="0"/>
            <w:vAlign w:val="center"/>
          </w:tcPr>
          <w:p w14:paraId="76819F3F">
            <w:pPr>
              <w:widowControl/>
              <w:jc w:val="center"/>
              <w:textAlignment w:val="center"/>
              <w:rPr>
                <w:rFonts w:hint="eastAsia" w:ascii="宋体" w:hAnsi="宋体" w:eastAsia="宋体"/>
                <w:color w:val="000000"/>
                <w:sz w:val="20"/>
                <w:szCs w:val="20"/>
              </w:rPr>
            </w:pPr>
            <w:r>
              <w:rPr>
                <w:rFonts w:hint="eastAsia" w:ascii="宋体" w:hAnsi="宋体" w:eastAsia="宋体" w:cs="宋体"/>
                <w:color w:val="000000"/>
                <w:kern w:val="0"/>
                <w:sz w:val="20"/>
                <w:szCs w:val="20"/>
                <w:lang w:bidi="ar"/>
              </w:rPr>
              <w:t>86.10%</w:t>
            </w:r>
          </w:p>
        </w:tc>
      </w:tr>
      <w:tr w14:paraId="0AB69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69" w:type="dxa"/>
            <w:tcBorders>
              <w:top w:val="single" w:color="auto" w:sz="4" w:space="0"/>
              <w:left w:val="single" w:color="auto" w:sz="4" w:space="0"/>
              <w:bottom w:val="single" w:color="auto" w:sz="4" w:space="0"/>
              <w:right w:val="single" w:color="auto" w:sz="4" w:space="0"/>
            </w:tcBorders>
            <w:noWrap w:val="0"/>
            <w:vAlign w:val="center"/>
          </w:tcPr>
          <w:p w14:paraId="6811AD39">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过程</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4E5AA2C8">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10</w:t>
            </w:r>
          </w:p>
        </w:tc>
        <w:tc>
          <w:tcPr>
            <w:tcW w:w="2069" w:type="dxa"/>
            <w:tcBorders>
              <w:top w:val="nil"/>
              <w:left w:val="nil"/>
              <w:bottom w:val="single" w:color="auto" w:sz="8" w:space="0"/>
              <w:right w:val="single" w:color="auto" w:sz="8" w:space="0"/>
            </w:tcBorders>
            <w:noWrap w:val="0"/>
            <w:vAlign w:val="center"/>
          </w:tcPr>
          <w:p w14:paraId="303769AC">
            <w:pPr>
              <w:widowControl/>
              <w:jc w:val="center"/>
              <w:textAlignment w:val="center"/>
              <w:rPr>
                <w:rFonts w:hint="eastAsia" w:ascii="宋体" w:hAnsi="宋体" w:eastAsia="宋体"/>
                <w:color w:val="000000"/>
                <w:sz w:val="20"/>
                <w:szCs w:val="20"/>
              </w:rPr>
            </w:pPr>
            <w:r>
              <w:rPr>
                <w:rFonts w:hint="eastAsia" w:ascii="宋体" w:hAnsi="宋体" w:eastAsia="宋体" w:cs="宋体"/>
                <w:color w:val="000000"/>
                <w:kern w:val="0"/>
                <w:sz w:val="20"/>
                <w:szCs w:val="20"/>
                <w:lang w:bidi="ar"/>
              </w:rPr>
              <w:t>8.97</w:t>
            </w:r>
          </w:p>
        </w:tc>
        <w:tc>
          <w:tcPr>
            <w:tcW w:w="2239" w:type="dxa"/>
            <w:tcBorders>
              <w:top w:val="nil"/>
              <w:left w:val="nil"/>
              <w:bottom w:val="single" w:color="auto" w:sz="8" w:space="0"/>
              <w:right w:val="single" w:color="auto" w:sz="8" w:space="0"/>
            </w:tcBorders>
            <w:noWrap w:val="0"/>
            <w:vAlign w:val="center"/>
          </w:tcPr>
          <w:p w14:paraId="14FC1F7D">
            <w:pPr>
              <w:widowControl/>
              <w:jc w:val="center"/>
              <w:textAlignment w:val="center"/>
              <w:rPr>
                <w:rFonts w:hint="eastAsia" w:ascii="宋体" w:hAnsi="宋体" w:eastAsia="宋体"/>
                <w:color w:val="000000"/>
                <w:sz w:val="20"/>
                <w:szCs w:val="20"/>
              </w:rPr>
            </w:pPr>
            <w:r>
              <w:rPr>
                <w:rFonts w:hint="eastAsia" w:ascii="宋体" w:hAnsi="宋体" w:eastAsia="宋体" w:cs="宋体"/>
                <w:color w:val="000000"/>
                <w:kern w:val="0"/>
                <w:sz w:val="20"/>
                <w:szCs w:val="20"/>
                <w:lang w:bidi="ar"/>
              </w:rPr>
              <w:t>89.70%</w:t>
            </w:r>
          </w:p>
        </w:tc>
      </w:tr>
      <w:tr w14:paraId="1045C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69" w:type="dxa"/>
            <w:tcBorders>
              <w:top w:val="single" w:color="auto" w:sz="4" w:space="0"/>
              <w:left w:val="single" w:color="auto" w:sz="4" w:space="0"/>
              <w:bottom w:val="single" w:color="auto" w:sz="4" w:space="0"/>
              <w:right w:val="single" w:color="auto" w:sz="4" w:space="0"/>
            </w:tcBorders>
            <w:noWrap w:val="0"/>
            <w:vAlign w:val="center"/>
          </w:tcPr>
          <w:p w14:paraId="52226D0E">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产出</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264C13DC">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50</w:t>
            </w:r>
          </w:p>
        </w:tc>
        <w:tc>
          <w:tcPr>
            <w:tcW w:w="2069" w:type="dxa"/>
            <w:tcBorders>
              <w:top w:val="nil"/>
              <w:left w:val="nil"/>
              <w:bottom w:val="single" w:color="auto" w:sz="8" w:space="0"/>
              <w:right w:val="single" w:color="auto" w:sz="8" w:space="0"/>
            </w:tcBorders>
            <w:noWrap w:val="0"/>
            <w:vAlign w:val="center"/>
          </w:tcPr>
          <w:p w14:paraId="5AFB6310">
            <w:pPr>
              <w:widowControl/>
              <w:jc w:val="center"/>
              <w:textAlignment w:val="center"/>
              <w:rPr>
                <w:rFonts w:hint="eastAsia" w:ascii="宋体" w:hAnsi="宋体" w:eastAsia="宋体"/>
                <w:color w:val="000000"/>
                <w:sz w:val="20"/>
                <w:szCs w:val="20"/>
              </w:rPr>
            </w:pPr>
            <w:r>
              <w:rPr>
                <w:rFonts w:hint="eastAsia" w:ascii="宋体" w:hAnsi="宋体" w:eastAsia="宋体" w:cs="宋体"/>
                <w:color w:val="000000"/>
                <w:kern w:val="0"/>
                <w:sz w:val="20"/>
                <w:szCs w:val="20"/>
                <w:lang w:bidi="ar"/>
              </w:rPr>
              <w:t>42.29</w:t>
            </w:r>
          </w:p>
        </w:tc>
        <w:tc>
          <w:tcPr>
            <w:tcW w:w="2239" w:type="dxa"/>
            <w:tcBorders>
              <w:top w:val="nil"/>
              <w:left w:val="nil"/>
              <w:bottom w:val="single" w:color="auto" w:sz="8" w:space="0"/>
              <w:right w:val="single" w:color="auto" w:sz="8" w:space="0"/>
            </w:tcBorders>
            <w:noWrap w:val="0"/>
            <w:vAlign w:val="center"/>
          </w:tcPr>
          <w:p w14:paraId="548A9B69">
            <w:pPr>
              <w:widowControl/>
              <w:jc w:val="center"/>
              <w:textAlignment w:val="center"/>
              <w:rPr>
                <w:rFonts w:hint="eastAsia" w:ascii="宋体" w:hAnsi="宋体" w:eastAsia="宋体"/>
                <w:color w:val="000000"/>
                <w:sz w:val="20"/>
                <w:szCs w:val="20"/>
              </w:rPr>
            </w:pPr>
            <w:r>
              <w:rPr>
                <w:rFonts w:hint="eastAsia" w:ascii="宋体" w:hAnsi="宋体" w:eastAsia="宋体" w:cs="宋体"/>
                <w:color w:val="000000"/>
                <w:kern w:val="0"/>
                <w:sz w:val="20"/>
                <w:szCs w:val="20"/>
                <w:lang w:bidi="ar"/>
              </w:rPr>
              <w:t>84.58%</w:t>
            </w:r>
          </w:p>
        </w:tc>
      </w:tr>
      <w:tr w14:paraId="5B28B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69" w:type="dxa"/>
            <w:tcBorders>
              <w:top w:val="single" w:color="auto" w:sz="4" w:space="0"/>
              <w:left w:val="single" w:color="auto" w:sz="4" w:space="0"/>
              <w:bottom w:val="single" w:color="auto" w:sz="4" w:space="0"/>
              <w:right w:val="single" w:color="auto" w:sz="4" w:space="0"/>
            </w:tcBorders>
            <w:noWrap w:val="0"/>
            <w:vAlign w:val="center"/>
          </w:tcPr>
          <w:p w14:paraId="5ED1496B">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效益</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2C560A52">
            <w:pPr>
              <w:widowControl/>
              <w:jc w:val="center"/>
              <w:textAlignment w:val="center"/>
              <w:rPr>
                <w:rFonts w:ascii="宋体" w:hAnsi="宋体" w:eastAsia="宋体" w:cs="宋体"/>
                <w:kern w:val="0"/>
                <w:sz w:val="20"/>
                <w:szCs w:val="20"/>
              </w:rPr>
            </w:pPr>
            <w:r>
              <w:rPr>
                <w:rFonts w:hint="eastAsia" w:ascii="宋体" w:hAnsi="宋体" w:eastAsia="宋体" w:cs="宋体"/>
                <w:color w:val="000000"/>
                <w:kern w:val="0"/>
                <w:sz w:val="20"/>
                <w:szCs w:val="20"/>
                <w:lang w:bidi="ar"/>
              </w:rPr>
              <w:t>30</w:t>
            </w:r>
          </w:p>
        </w:tc>
        <w:tc>
          <w:tcPr>
            <w:tcW w:w="2069" w:type="dxa"/>
            <w:tcBorders>
              <w:top w:val="nil"/>
              <w:left w:val="nil"/>
              <w:bottom w:val="single" w:color="auto" w:sz="8" w:space="0"/>
              <w:right w:val="single" w:color="auto" w:sz="8" w:space="0"/>
            </w:tcBorders>
            <w:noWrap w:val="0"/>
            <w:vAlign w:val="center"/>
          </w:tcPr>
          <w:p w14:paraId="69B1F821">
            <w:pPr>
              <w:widowControl/>
              <w:jc w:val="center"/>
              <w:textAlignment w:val="center"/>
              <w:rPr>
                <w:rFonts w:hint="eastAsia" w:ascii="宋体" w:hAnsi="宋体" w:eastAsia="宋体"/>
                <w:color w:val="000000"/>
                <w:sz w:val="20"/>
                <w:szCs w:val="20"/>
              </w:rPr>
            </w:pPr>
            <w:r>
              <w:rPr>
                <w:rFonts w:hint="eastAsia" w:ascii="宋体" w:hAnsi="宋体" w:eastAsia="宋体" w:cs="宋体"/>
                <w:color w:val="000000"/>
                <w:kern w:val="0"/>
                <w:sz w:val="20"/>
                <w:szCs w:val="20"/>
                <w:lang w:bidi="ar"/>
              </w:rPr>
              <w:t>22.79</w:t>
            </w:r>
          </w:p>
        </w:tc>
        <w:tc>
          <w:tcPr>
            <w:tcW w:w="2239" w:type="dxa"/>
            <w:tcBorders>
              <w:top w:val="nil"/>
              <w:left w:val="nil"/>
              <w:bottom w:val="single" w:color="auto" w:sz="8" w:space="0"/>
              <w:right w:val="single" w:color="auto" w:sz="8" w:space="0"/>
            </w:tcBorders>
            <w:noWrap w:val="0"/>
            <w:vAlign w:val="center"/>
          </w:tcPr>
          <w:p w14:paraId="1C996C3C">
            <w:pPr>
              <w:widowControl/>
              <w:jc w:val="center"/>
              <w:textAlignment w:val="center"/>
              <w:rPr>
                <w:rFonts w:hint="eastAsia" w:ascii="宋体" w:hAnsi="宋体" w:eastAsia="宋体"/>
                <w:color w:val="000000"/>
                <w:sz w:val="20"/>
                <w:szCs w:val="20"/>
              </w:rPr>
            </w:pPr>
            <w:r>
              <w:rPr>
                <w:rFonts w:hint="eastAsia" w:ascii="宋体" w:hAnsi="宋体" w:eastAsia="宋体" w:cs="宋体"/>
                <w:color w:val="000000"/>
                <w:kern w:val="0"/>
                <w:sz w:val="20"/>
                <w:szCs w:val="20"/>
                <w:lang w:bidi="ar"/>
              </w:rPr>
              <w:t>75.97%</w:t>
            </w:r>
          </w:p>
        </w:tc>
      </w:tr>
      <w:tr w14:paraId="34FE5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69" w:type="dxa"/>
            <w:tcBorders>
              <w:top w:val="single" w:color="auto" w:sz="4" w:space="0"/>
              <w:left w:val="single" w:color="auto" w:sz="4" w:space="0"/>
              <w:bottom w:val="single" w:color="auto" w:sz="4" w:space="0"/>
              <w:right w:val="single" w:color="auto" w:sz="4" w:space="0"/>
            </w:tcBorders>
            <w:noWrap w:val="0"/>
            <w:vAlign w:val="center"/>
          </w:tcPr>
          <w:p w14:paraId="7DBC1C05">
            <w:pPr>
              <w:widowControl/>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合　计</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57145AFF">
            <w:pPr>
              <w:widowControl/>
              <w:jc w:val="center"/>
              <w:textAlignment w:val="center"/>
              <w:rPr>
                <w:rFonts w:ascii="宋体" w:hAnsi="宋体" w:eastAsia="宋体" w:cs="宋体"/>
                <w:b/>
                <w:bCs/>
                <w:kern w:val="0"/>
                <w:sz w:val="20"/>
                <w:szCs w:val="20"/>
              </w:rPr>
            </w:pPr>
            <w:r>
              <w:rPr>
                <w:rFonts w:hint="eastAsia" w:ascii="宋体" w:hAnsi="宋体" w:eastAsia="宋体" w:cs="宋体"/>
                <w:b/>
                <w:bCs/>
                <w:color w:val="000000"/>
                <w:kern w:val="0"/>
                <w:sz w:val="20"/>
                <w:szCs w:val="20"/>
                <w:lang w:bidi="ar"/>
              </w:rPr>
              <w:t>100</w:t>
            </w:r>
          </w:p>
        </w:tc>
        <w:tc>
          <w:tcPr>
            <w:tcW w:w="2069" w:type="dxa"/>
            <w:tcBorders>
              <w:top w:val="nil"/>
              <w:left w:val="nil"/>
              <w:bottom w:val="single" w:color="auto" w:sz="8" w:space="0"/>
              <w:right w:val="single" w:color="auto" w:sz="8" w:space="0"/>
            </w:tcBorders>
            <w:noWrap w:val="0"/>
            <w:vAlign w:val="center"/>
          </w:tcPr>
          <w:p w14:paraId="313F3B15">
            <w:pPr>
              <w:widowControl/>
              <w:jc w:val="center"/>
              <w:textAlignment w:val="center"/>
              <w:rPr>
                <w:rFonts w:hint="eastAsia" w:ascii="宋体" w:hAnsi="宋体" w:eastAsia="宋体"/>
                <w:b/>
                <w:bCs/>
                <w:color w:val="000000"/>
                <w:sz w:val="20"/>
                <w:szCs w:val="20"/>
              </w:rPr>
            </w:pPr>
            <w:r>
              <w:rPr>
                <w:rFonts w:hint="eastAsia" w:ascii="宋体" w:hAnsi="宋体" w:eastAsia="宋体" w:cs="宋体"/>
                <w:b/>
                <w:bCs/>
                <w:color w:val="000000"/>
                <w:kern w:val="0"/>
                <w:sz w:val="20"/>
                <w:szCs w:val="20"/>
                <w:lang w:bidi="ar"/>
              </w:rPr>
              <w:t>82.66</w:t>
            </w:r>
          </w:p>
        </w:tc>
        <w:tc>
          <w:tcPr>
            <w:tcW w:w="2239" w:type="dxa"/>
            <w:tcBorders>
              <w:top w:val="nil"/>
              <w:left w:val="nil"/>
              <w:bottom w:val="single" w:color="auto" w:sz="8" w:space="0"/>
              <w:right w:val="single" w:color="auto" w:sz="8" w:space="0"/>
            </w:tcBorders>
            <w:noWrap w:val="0"/>
            <w:vAlign w:val="center"/>
          </w:tcPr>
          <w:p w14:paraId="2FDB9F16">
            <w:pPr>
              <w:widowControl/>
              <w:jc w:val="center"/>
              <w:textAlignment w:val="center"/>
              <w:rPr>
                <w:rFonts w:hint="eastAsia" w:ascii="宋体" w:hAnsi="宋体" w:eastAsia="宋体"/>
                <w:b/>
                <w:bCs/>
                <w:color w:val="000000"/>
                <w:sz w:val="20"/>
                <w:szCs w:val="20"/>
              </w:rPr>
            </w:pPr>
            <w:r>
              <w:rPr>
                <w:rFonts w:hint="eastAsia" w:ascii="宋体" w:hAnsi="宋体" w:eastAsia="宋体" w:cs="宋体"/>
                <w:b/>
                <w:bCs/>
                <w:color w:val="000000"/>
                <w:kern w:val="0"/>
                <w:sz w:val="20"/>
                <w:szCs w:val="20"/>
                <w:lang w:bidi="ar"/>
              </w:rPr>
              <w:t>82.66%</w:t>
            </w:r>
          </w:p>
        </w:tc>
      </w:tr>
      <w:bookmarkEnd w:id="15"/>
      <w:bookmarkEnd w:id="16"/>
      <w:bookmarkEnd w:id="17"/>
    </w:tbl>
    <w:p w14:paraId="3B49B0A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ascii="黑体" w:eastAsia="黑体"/>
          <w:sz w:val="32"/>
          <w:szCs w:val="32"/>
        </w:rPr>
      </w:pPr>
      <w:bookmarkStart w:id="24" w:name="_Toc35588409"/>
      <w:bookmarkStart w:id="25" w:name="_Toc167040554"/>
      <w:r>
        <w:rPr>
          <w:rFonts w:hint="eastAsia" w:ascii="黑体" w:eastAsia="黑体"/>
          <w:sz w:val="32"/>
          <w:szCs w:val="32"/>
        </w:rPr>
        <w:t>四、绩效评价指标分析</w:t>
      </w:r>
      <w:bookmarkEnd w:id="24"/>
      <w:bookmarkEnd w:id="25"/>
    </w:p>
    <w:p w14:paraId="04C7634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eastAsia="楷体_GB2312"/>
          <w:sz w:val="32"/>
          <w:szCs w:val="32"/>
        </w:rPr>
      </w:pPr>
      <w:bookmarkStart w:id="26" w:name="_Toc103513829"/>
      <w:bookmarkStart w:id="27" w:name="_Toc167040555"/>
      <w:bookmarkStart w:id="28" w:name="_Toc35588410"/>
      <w:r>
        <w:rPr>
          <w:rFonts w:hint="eastAsia" w:ascii="楷体_GB2312" w:eastAsia="楷体_GB2312"/>
          <w:sz w:val="32"/>
          <w:szCs w:val="32"/>
        </w:rPr>
        <w:t>（一）项目决策情况</w:t>
      </w:r>
      <w:bookmarkEnd w:id="26"/>
      <w:bookmarkEnd w:id="27"/>
      <w:bookmarkEnd w:id="28"/>
    </w:p>
    <w:p w14:paraId="00BDE22B">
      <w:pPr>
        <w:keepNext w:val="0"/>
        <w:keepLines w:val="0"/>
        <w:pageBreakBefore w:val="0"/>
        <w:widowControl w:val="0"/>
        <w:tabs>
          <w:tab w:val="left" w:pos="4065"/>
        </w:tabs>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sz w:val="32"/>
          <w:szCs w:val="32"/>
        </w:rPr>
      </w:pPr>
      <w:bookmarkStart w:id="29" w:name="_Toc35588411"/>
      <w:r>
        <w:rPr>
          <w:rFonts w:hint="eastAsia" w:ascii="仿宋_GB2312"/>
          <w:sz w:val="32"/>
          <w:szCs w:val="32"/>
        </w:rPr>
        <w:t>1.项目立项</w:t>
      </w:r>
      <w:bookmarkEnd w:id="29"/>
    </w:p>
    <w:p w14:paraId="0EE119A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sz w:val="32"/>
          <w:szCs w:val="32"/>
        </w:rPr>
      </w:pPr>
      <w:r>
        <w:rPr>
          <w:rFonts w:hint="eastAsia" w:ascii="仿宋_GB2312"/>
          <w:sz w:val="32"/>
          <w:szCs w:val="32"/>
        </w:rPr>
        <w:t>（1）立项依据充分性</w:t>
      </w:r>
    </w:p>
    <w:p w14:paraId="4F38136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cs="Arial"/>
          <w:bCs/>
          <w:iCs/>
          <w:sz w:val="32"/>
          <w:szCs w:val="32"/>
          <w:highlight w:val="none"/>
        </w:rPr>
      </w:pPr>
      <w:r>
        <w:rPr>
          <w:rFonts w:hint="eastAsia" w:ascii="仿宋_GB2312" w:hAnsi="仿宋" w:cs="Arial"/>
          <w:bCs/>
          <w:iCs/>
          <w:sz w:val="32"/>
          <w:szCs w:val="32"/>
        </w:rPr>
        <w:t>项目设立是贯彻落实国家工业绿色发展规划的重要举措，</w:t>
      </w:r>
      <w:r>
        <w:rPr>
          <w:rFonts w:hint="eastAsia" w:ascii="仿宋_GB2312" w:hAnsi="仿宋" w:cs="Arial"/>
          <w:bCs/>
          <w:iCs/>
          <w:sz w:val="32"/>
          <w:szCs w:val="32"/>
          <w:lang w:val="zh-CN"/>
        </w:rPr>
        <w:t>符合国家和北京市科研政策支持领域，</w:t>
      </w:r>
      <w:r>
        <w:rPr>
          <w:rFonts w:hint="eastAsia" w:ascii="仿宋_GB2312" w:hAnsi="仿宋" w:cs="Arial"/>
          <w:bCs/>
          <w:iCs/>
          <w:sz w:val="32"/>
          <w:szCs w:val="32"/>
        </w:rPr>
        <w:t>与市科研院“服务国际科技创新中心建设，开展应用基础研究、前沿技术研究、社会公益技术研究、行业关键共性技术研究及相关科技服务，为市委、市政府决策提供支撑”的职责相匹配。同时，项目的实施有助于为汽车制造业减污降碳提供技术支持，项目具备现实需求。</w:t>
      </w:r>
      <w:r>
        <w:rPr>
          <w:rFonts w:hint="eastAsia" w:ascii="仿宋_GB2312" w:hAnsi="仿宋" w:cs="Arial"/>
          <w:bCs/>
          <w:iCs/>
          <w:sz w:val="32"/>
          <w:szCs w:val="32"/>
          <w:lang w:val="zh-CN"/>
        </w:rPr>
        <w:t>项目最终受益对象为广大人民群众，具有公共性，属于公共财政支持范围。</w:t>
      </w:r>
      <w:r>
        <w:rPr>
          <w:rFonts w:hint="eastAsia" w:ascii="仿宋_GB2312" w:hAnsi="仿宋" w:cs="Arial"/>
          <w:bCs/>
          <w:iCs/>
          <w:sz w:val="32"/>
          <w:szCs w:val="32"/>
          <w:highlight w:val="none"/>
        </w:rPr>
        <w:t>但项目总体规划不够完善，不利于指导项目持续实施。</w:t>
      </w:r>
    </w:p>
    <w:p w14:paraId="6B0BF6F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sz w:val="32"/>
          <w:szCs w:val="32"/>
        </w:rPr>
      </w:pPr>
      <w:r>
        <w:rPr>
          <w:rFonts w:hint="eastAsia" w:ascii="仿宋_GB2312"/>
          <w:sz w:val="32"/>
          <w:szCs w:val="32"/>
        </w:rPr>
        <w:t>（2）立项程序规范性</w:t>
      </w:r>
    </w:p>
    <w:p w14:paraId="1D8B83C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sz w:val="32"/>
          <w:szCs w:val="32"/>
        </w:rPr>
      </w:pPr>
      <w:r>
        <w:rPr>
          <w:rFonts w:hint="eastAsia" w:ascii="仿宋_GB2312"/>
          <w:sz w:val="32"/>
          <w:szCs w:val="32"/>
        </w:rPr>
        <w:t>2023年11月，资环所联合分析测试所共同编制了项目申报书、绩效目标申报表、预算测算明细等申报材料，提交市科研院科研处，科研处组织开展项目预算评审后，由计划财务处汇总全院预算报院长办公会审议通过后统一报送，获得项目立项批复。项目立项经过了必要的集体决策、逐级审批、立项评审等程序。项目立项程序较规范。</w:t>
      </w:r>
    </w:p>
    <w:p w14:paraId="48417BE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iCs/>
          <w:sz w:val="32"/>
          <w:szCs w:val="32"/>
        </w:rPr>
      </w:pPr>
      <w:bookmarkStart w:id="30" w:name="_Toc35588412"/>
      <w:r>
        <w:rPr>
          <w:rFonts w:hint="eastAsia" w:ascii="仿宋_GB2312"/>
          <w:iCs/>
          <w:sz w:val="32"/>
          <w:szCs w:val="32"/>
        </w:rPr>
        <w:t>2.绩效目标</w:t>
      </w:r>
      <w:bookmarkEnd w:id="30"/>
    </w:p>
    <w:p w14:paraId="2DED8C1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sz w:val="32"/>
          <w:szCs w:val="32"/>
        </w:rPr>
      </w:pPr>
      <w:r>
        <w:rPr>
          <w:rFonts w:hint="eastAsia" w:ascii="仿宋_GB2312"/>
          <w:sz w:val="32"/>
          <w:szCs w:val="32"/>
        </w:rPr>
        <w:t>（1）绩效目标合理性</w:t>
      </w:r>
    </w:p>
    <w:p w14:paraId="51121CD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iCs/>
          <w:sz w:val="32"/>
          <w:szCs w:val="32"/>
        </w:rPr>
      </w:pPr>
      <w:r>
        <w:rPr>
          <w:rFonts w:hint="eastAsia" w:ascii="仿宋_GB2312"/>
          <w:iCs/>
          <w:sz w:val="32"/>
          <w:szCs w:val="32"/>
        </w:rPr>
        <w:t>项目旨在围绕汽车制造过程中的废水、废气、废渣、土壤等环境污染及资源能源利用问题，开展减污降碳关键技术研究，为全面促进汽车制造业减污降碳提供技术支撑。项目绩效目标与项目实施内容具有相关性，但项目阶段性目标的设置还有待进一步加强。</w:t>
      </w:r>
    </w:p>
    <w:p w14:paraId="455ECCD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sz w:val="32"/>
          <w:szCs w:val="32"/>
        </w:rPr>
      </w:pPr>
      <w:r>
        <w:rPr>
          <w:rFonts w:hint="eastAsia" w:ascii="仿宋_GB2312"/>
          <w:sz w:val="32"/>
          <w:szCs w:val="32"/>
        </w:rPr>
        <w:t>（2）绩效指标明确性</w:t>
      </w:r>
    </w:p>
    <w:p w14:paraId="51691EB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iCs/>
          <w:sz w:val="32"/>
          <w:szCs w:val="32"/>
        </w:rPr>
      </w:pPr>
      <w:bookmarkStart w:id="31" w:name="_Toc35588413"/>
      <w:r>
        <w:rPr>
          <w:rFonts w:hint="eastAsia" w:ascii="仿宋_GB2312"/>
          <w:iCs/>
          <w:sz w:val="32"/>
          <w:szCs w:val="32"/>
        </w:rPr>
        <w:t>为考核项目绩效目标实现情况，项目单位对绩效目标进行分解、细化，设置了涉及产出数量、质量、时效及成本的产出指标和效益指标。但部分绩效指标设置不够完善。</w:t>
      </w:r>
    </w:p>
    <w:p w14:paraId="4D43FCC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iCs/>
          <w:sz w:val="32"/>
          <w:szCs w:val="32"/>
        </w:rPr>
      </w:pPr>
      <w:r>
        <w:rPr>
          <w:rFonts w:hint="eastAsia" w:ascii="仿宋_GB2312"/>
          <w:iCs/>
          <w:sz w:val="32"/>
          <w:szCs w:val="32"/>
        </w:rPr>
        <w:t>3.资金投入</w:t>
      </w:r>
      <w:bookmarkEnd w:id="31"/>
    </w:p>
    <w:p w14:paraId="7327239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iCs/>
          <w:sz w:val="32"/>
          <w:szCs w:val="32"/>
        </w:rPr>
      </w:pPr>
      <w:r>
        <w:rPr>
          <w:rFonts w:hint="eastAsia" w:ascii="仿宋_GB2312"/>
          <w:iCs/>
          <w:sz w:val="32"/>
          <w:szCs w:val="32"/>
        </w:rPr>
        <w:t>项目采取“自下而上”的方式编制预算，即各子课题承担单位依据市场询价、会议费标准、咨询费标准、劳务费标准等，对各项工作内容的经费需求进行测算，编制课题申报书和经费测算表，资环所负责对各子课题的申报内容、预算等进行汇总，形成项目申报书。项目预算测算较为细化，预算规模与科研任务基本匹配。</w:t>
      </w:r>
    </w:p>
    <w:p w14:paraId="1F25A1E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宋体" w:eastAsia="楷体_GB2312" w:cs="宋体"/>
          <w:color w:val="000000"/>
          <w:kern w:val="0"/>
          <w:sz w:val="32"/>
          <w:szCs w:val="32"/>
        </w:rPr>
      </w:pPr>
      <w:bookmarkStart w:id="32" w:name="_Toc167040556"/>
      <w:bookmarkStart w:id="33" w:name="_Toc35588414"/>
      <w:bookmarkStart w:id="34" w:name="_Toc103513830"/>
      <w:r>
        <w:rPr>
          <w:rFonts w:hint="eastAsia" w:ascii="楷体_GB2312" w:hAnsi="宋体" w:eastAsia="楷体_GB2312" w:cs="宋体"/>
          <w:color w:val="000000"/>
          <w:kern w:val="0"/>
          <w:sz w:val="32"/>
          <w:szCs w:val="32"/>
        </w:rPr>
        <w:t>（二）项目过程情况</w:t>
      </w:r>
      <w:bookmarkEnd w:id="32"/>
      <w:bookmarkEnd w:id="33"/>
      <w:bookmarkEnd w:id="34"/>
    </w:p>
    <w:p w14:paraId="59FF66D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宋体" w:cs="宋体"/>
          <w:iCs/>
          <w:kern w:val="0"/>
          <w:sz w:val="32"/>
          <w:szCs w:val="32"/>
        </w:rPr>
      </w:pPr>
      <w:r>
        <w:rPr>
          <w:rFonts w:hint="eastAsia" w:ascii="仿宋_GB2312" w:hAnsi="宋体" w:cs="宋体"/>
          <w:iCs/>
          <w:kern w:val="0"/>
          <w:sz w:val="32"/>
          <w:szCs w:val="32"/>
        </w:rPr>
        <w:t>1</w:t>
      </w:r>
      <w:r>
        <w:rPr>
          <w:rFonts w:ascii="仿宋_GB2312" w:hAnsi="宋体" w:cs="宋体"/>
          <w:iCs/>
          <w:kern w:val="0"/>
          <w:sz w:val="32"/>
          <w:szCs w:val="32"/>
        </w:rPr>
        <w:t>.</w:t>
      </w:r>
      <w:r>
        <w:rPr>
          <w:rFonts w:hint="eastAsia" w:ascii="仿宋_GB2312" w:hAnsi="宋体" w:cs="宋体"/>
          <w:iCs/>
          <w:kern w:val="0"/>
          <w:sz w:val="32"/>
          <w:szCs w:val="32"/>
        </w:rPr>
        <w:t>资金管理</w:t>
      </w:r>
    </w:p>
    <w:p w14:paraId="2DB37F0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cs="宋体"/>
          <w:iCs/>
          <w:kern w:val="0"/>
          <w:sz w:val="32"/>
          <w:szCs w:val="32"/>
        </w:rPr>
      </w:pPr>
      <w:r>
        <w:rPr>
          <w:rFonts w:hint="eastAsia" w:ascii="仿宋_GB2312" w:hAnsi="宋体" w:cs="宋体"/>
          <w:iCs/>
          <w:kern w:val="0"/>
          <w:sz w:val="32"/>
          <w:szCs w:val="32"/>
        </w:rPr>
        <w:t>（1）资金到位率和预算执行率</w:t>
      </w:r>
    </w:p>
    <w:p w14:paraId="2E7A6D9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cs="宋体"/>
          <w:iCs/>
          <w:kern w:val="0"/>
          <w:sz w:val="32"/>
          <w:szCs w:val="32"/>
          <w:shd w:val="clear" w:color="auto" w:fill="FFFFFF"/>
        </w:rPr>
      </w:pPr>
      <w:r>
        <w:rPr>
          <w:rFonts w:hint="eastAsia" w:ascii="仿宋_GB2312" w:hAnsi="宋体" w:cs="宋体"/>
          <w:iCs/>
          <w:kern w:val="0"/>
          <w:sz w:val="32"/>
          <w:szCs w:val="32"/>
        </w:rPr>
        <w:t>2024年，项目预算资金为360.72万元，实际到位资金360.72万元，资金到位率100</w:t>
      </w:r>
      <w:r>
        <w:rPr>
          <w:rFonts w:ascii="仿宋_GB2312" w:hAnsi="宋体" w:cs="宋体"/>
          <w:iCs/>
          <w:kern w:val="0"/>
          <w:sz w:val="32"/>
          <w:szCs w:val="32"/>
        </w:rPr>
        <w:t>.00</w:t>
      </w:r>
      <w:r>
        <w:rPr>
          <w:rFonts w:hint="eastAsia" w:ascii="仿宋_GB2312" w:hAnsi="宋体" w:cs="宋体"/>
          <w:iCs/>
          <w:kern w:val="0"/>
          <w:sz w:val="32"/>
          <w:szCs w:val="32"/>
        </w:rPr>
        <w:t>%。</w:t>
      </w:r>
      <w:r>
        <w:rPr>
          <w:rFonts w:hint="eastAsia" w:ascii="仿宋_GB2312" w:hAnsi="宋体" w:cs="宋体"/>
          <w:iCs/>
          <w:kern w:val="0"/>
          <w:sz w:val="32"/>
          <w:szCs w:val="32"/>
          <w:shd w:val="clear" w:color="auto" w:fill="FFFFFF"/>
        </w:rPr>
        <w:t>截至2024年12月31日，项目实际支出353.92万元，预算执行率为98.11%。各子课题预算与支出情况对照表详见表4。</w:t>
      </w:r>
    </w:p>
    <w:p w14:paraId="43A70F8B">
      <w:pPr>
        <w:adjustRightInd w:val="0"/>
        <w:snapToGrid w:val="0"/>
        <w:spacing w:line="360" w:lineRule="auto"/>
        <w:jc w:val="center"/>
        <w:rPr>
          <w:rFonts w:hint="eastAsia" w:ascii="仿宋_GB2312" w:hAnsi="宋体" w:cs="宋体"/>
          <w:iCs/>
          <w:kern w:val="0"/>
          <w:sz w:val="32"/>
          <w:szCs w:val="32"/>
          <w:shd w:val="clear" w:color="auto" w:fill="FFFFFF"/>
        </w:rPr>
      </w:pPr>
      <w:r>
        <w:rPr>
          <w:rFonts w:hint="eastAsia" w:ascii="黑体" w:hAnsi="黑体" w:eastAsia="黑体"/>
          <w:sz w:val="28"/>
          <w:szCs w:val="28"/>
        </w:rPr>
        <w:t>表4：各子课题预算与支出情况对照表</w:t>
      </w:r>
    </w:p>
    <w:tbl>
      <w:tblPr>
        <w:tblStyle w:val="37"/>
        <w:tblW w:w="8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3159"/>
        <w:gridCol w:w="1714"/>
        <w:gridCol w:w="1746"/>
        <w:gridCol w:w="1604"/>
      </w:tblGrid>
      <w:tr w14:paraId="2EDA4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blHeader/>
          <w:jc w:val="center"/>
        </w:trPr>
        <w:tc>
          <w:tcPr>
            <w:tcW w:w="700" w:type="dxa"/>
            <w:noWrap w:val="0"/>
            <w:vAlign w:val="center"/>
          </w:tcPr>
          <w:p w14:paraId="7902C6EA">
            <w:pPr>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序号</w:t>
            </w:r>
          </w:p>
        </w:tc>
        <w:tc>
          <w:tcPr>
            <w:tcW w:w="3159" w:type="dxa"/>
            <w:noWrap w:val="0"/>
            <w:vAlign w:val="center"/>
          </w:tcPr>
          <w:p w14:paraId="74703126">
            <w:pPr>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课题名称</w:t>
            </w:r>
          </w:p>
        </w:tc>
        <w:tc>
          <w:tcPr>
            <w:tcW w:w="1714" w:type="dxa"/>
            <w:noWrap w:val="0"/>
            <w:vAlign w:val="center"/>
          </w:tcPr>
          <w:p w14:paraId="07EA154E">
            <w:pPr>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项目预算（万元）</w:t>
            </w:r>
          </w:p>
        </w:tc>
        <w:tc>
          <w:tcPr>
            <w:tcW w:w="1746" w:type="dxa"/>
            <w:noWrap w:val="0"/>
            <w:vAlign w:val="center"/>
          </w:tcPr>
          <w:p w14:paraId="4FD45C5B">
            <w:pPr>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支出金额（万元）</w:t>
            </w:r>
          </w:p>
        </w:tc>
        <w:tc>
          <w:tcPr>
            <w:tcW w:w="1604" w:type="dxa"/>
            <w:noWrap w:val="0"/>
            <w:vAlign w:val="center"/>
          </w:tcPr>
          <w:p w14:paraId="04772D9A">
            <w:pPr>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预算执行率</w:t>
            </w:r>
          </w:p>
        </w:tc>
      </w:tr>
      <w:tr w14:paraId="6A16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700" w:type="dxa"/>
            <w:noWrap w:val="0"/>
            <w:vAlign w:val="center"/>
          </w:tcPr>
          <w:p w14:paraId="416B3B53">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c>
          <w:tcPr>
            <w:tcW w:w="3159" w:type="dxa"/>
            <w:noWrap w:val="0"/>
            <w:vAlign w:val="center"/>
          </w:tcPr>
          <w:p w14:paraId="6F11F9C3">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汽车制造特征污染物定量检测及其迁移研究</w:t>
            </w:r>
          </w:p>
        </w:tc>
        <w:tc>
          <w:tcPr>
            <w:tcW w:w="1714" w:type="dxa"/>
            <w:noWrap w:val="0"/>
            <w:vAlign w:val="center"/>
          </w:tcPr>
          <w:p w14:paraId="5D35B4DD">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84.62</w:t>
            </w:r>
          </w:p>
        </w:tc>
        <w:tc>
          <w:tcPr>
            <w:tcW w:w="1746" w:type="dxa"/>
            <w:noWrap w:val="0"/>
            <w:vAlign w:val="center"/>
          </w:tcPr>
          <w:p w14:paraId="5A2E9AC2">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84.62</w:t>
            </w:r>
          </w:p>
        </w:tc>
        <w:tc>
          <w:tcPr>
            <w:tcW w:w="1604" w:type="dxa"/>
            <w:noWrap w:val="0"/>
            <w:vAlign w:val="center"/>
          </w:tcPr>
          <w:p w14:paraId="5461399F">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100.00%</w:t>
            </w:r>
          </w:p>
        </w:tc>
      </w:tr>
      <w:tr w14:paraId="6F04F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700" w:type="dxa"/>
            <w:noWrap w:val="0"/>
            <w:vAlign w:val="center"/>
          </w:tcPr>
          <w:p w14:paraId="3BE81EA6">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2</w:t>
            </w:r>
          </w:p>
        </w:tc>
        <w:tc>
          <w:tcPr>
            <w:tcW w:w="3159" w:type="dxa"/>
            <w:noWrap w:val="0"/>
            <w:vAlign w:val="center"/>
          </w:tcPr>
          <w:p w14:paraId="4B3E7196">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汽车制造废水资源化利用关键技术集成与应用研究</w:t>
            </w:r>
          </w:p>
        </w:tc>
        <w:tc>
          <w:tcPr>
            <w:tcW w:w="1714" w:type="dxa"/>
            <w:noWrap w:val="0"/>
            <w:vAlign w:val="center"/>
          </w:tcPr>
          <w:p w14:paraId="29BF65E0">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120.96</w:t>
            </w:r>
          </w:p>
        </w:tc>
        <w:tc>
          <w:tcPr>
            <w:tcW w:w="1746" w:type="dxa"/>
            <w:noWrap w:val="0"/>
            <w:vAlign w:val="center"/>
          </w:tcPr>
          <w:p w14:paraId="51CC80C4">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116.33</w:t>
            </w:r>
          </w:p>
        </w:tc>
        <w:tc>
          <w:tcPr>
            <w:tcW w:w="1604" w:type="dxa"/>
            <w:noWrap w:val="0"/>
            <w:vAlign w:val="center"/>
          </w:tcPr>
          <w:p w14:paraId="6FA3BA94">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96.17%</w:t>
            </w:r>
          </w:p>
        </w:tc>
      </w:tr>
      <w:tr w14:paraId="401D1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700" w:type="dxa"/>
            <w:noWrap w:val="0"/>
            <w:vAlign w:val="center"/>
          </w:tcPr>
          <w:p w14:paraId="0899963C">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3</w:t>
            </w:r>
          </w:p>
        </w:tc>
        <w:tc>
          <w:tcPr>
            <w:tcW w:w="3159" w:type="dxa"/>
            <w:noWrap w:val="0"/>
            <w:vAlign w:val="center"/>
          </w:tcPr>
          <w:p w14:paraId="4388648A">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汽车制造业挥发性有机物治理关键技术与应用研究</w:t>
            </w:r>
          </w:p>
        </w:tc>
        <w:tc>
          <w:tcPr>
            <w:tcW w:w="1714" w:type="dxa"/>
            <w:noWrap w:val="0"/>
            <w:vAlign w:val="center"/>
          </w:tcPr>
          <w:p w14:paraId="0D7740DC">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79.52</w:t>
            </w:r>
          </w:p>
        </w:tc>
        <w:tc>
          <w:tcPr>
            <w:tcW w:w="1746" w:type="dxa"/>
            <w:noWrap w:val="0"/>
            <w:vAlign w:val="center"/>
          </w:tcPr>
          <w:p w14:paraId="6E41E392">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77.73</w:t>
            </w:r>
          </w:p>
        </w:tc>
        <w:tc>
          <w:tcPr>
            <w:tcW w:w="1604" w:type="dxa"/>
            <w:noWrap w:val="0"/>
            <w:vAlign w:val="center"/>
          </w:tcPr>
          <w:p w14:paraId="069521BE">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97.74%</w:t>
            </w:r>
          </w:p>
        </w:tc>
      </w:tr>
      <w:tr w14:paraId="6C4EA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2" w:hRule="atLeast"/>
          <w:jc w:val="center"/>
        </w:trPr>
        <w:tc>
          <w:tcPr>
            <w:tcW w:w="700" w:type="dxa"/>
            <w:noWrap w:val="0"/>
            <w:vAlign w:val="center"/>
          </w:tcPr>
          <w:p w14:paraId="7BF78D61">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4</w:t>
            </w:r>
          </w:p>
        </w:tc>
        <w:tc>
          <w:tcPr>
            <w:tcW w:w="3159" w:type="dxa"/>
            <w:noWrap w:val="0"/>
            <w:vAlign w:val="center"/>
          </w:tcPr>
          <w:p w14:paraId="79D95E22">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汽车制造场地地下水污染高效低碳阻控技术及应用研究</w:t>
            </w:r>
          </w:p>
        </w:tc>
        <w:tc>
          <w:tcPr>
            <w:tcW w:w="1714" w:type="dxa"/>
            <w:noWrap w:val="0"/>
            <w:vAlign w:val="center"/>
          </w:tcPr>
          <w:p w14:paraId="1AD0145B">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75.62</w:t>
            </w:r>
          </w:p>
        </w:tc>
        <w:tc>
          <w:tcPr>
            <w:tcW w:w="1746" w:type="dxa"/>
            <w:noWrap w:val="0"/>
            <w:vAlign w:val="center"/>
          </w:tcPr>
          <w:p w14:paraId="68A8EAAC">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75.24</w:t>
            </w:r>
          </w:p>
        </w:tc>
        <w:tc>
          <w:tcPr>
            <w:tcW w:w="1604" w:type="dxa"/>
            <w:noWrap w:val="0"/>
            <w:vAlign w:val="center"/>
          </w:tcPr>
          <w:p w14:paraId="578BDFD9">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99.50%</w:t>
            </w:r>
          </w:p>
        </w:tc>
      </w:tr>
      <w:tr w14:paraId="40921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3859" w:type="dxa"/>
            <w:gridSpan w:val="2"/>
            <w:noWrap w:val="0"/>
            <w:vAlign w:val="center"/>
          </w:tcPr>
          <w:p w14:paraId="3A9E689E">
            <w:pPr>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合计</w:t>
            </w:r>
          </w:p>
        </w:tc>
        <w:tc>
          <w:tcPr>
            <w:tcW w:w="1714" w:type="dxa"/>
            <w:noWrap w:val="0"/>
            <w:vAlign w:val="center"/>
          </w:tcPr>
          <w:p w14:paraId="6276F53E">
            <w:pPr>
              <w:widowControl/>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360.72</w:t>
            </w:r>
          </w:p>
        </w:tc>
        <w:tc>
          <w:tcPr>
            <w:tcW w:w="1746" w:type="dxa"/>
            <w:noWrap w:val="0"/>
            <w:vAlign w:val="center"/>
          </w:tcPr>
          <w:p w14:paraId="63D3F737">
            <w:pPr>
              <w:widowControl/>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353.92</w:t>
            </w:r>
          </w:p>
        </w:tc>
        <w:tc>
          <w:tcPr>
            <w:tcW w:w="1604" w:type="dxa"/>
            <w:noWrap w:val="0"/>
            <w:vAlign w:val="center"/>
          </w:tcPr>
          <w:p w14:paraId="03FA9808">
            <w:pPr>
              <w:widowControl/>
              <w:jc w:val="center"/>
              <w:textAlignment w:val="center"/>
              <w:rPr>
                <w:rFonts w:hint="eastAsia" w:ascii="宋体" w:hAnsi="宋体" w:eastAsia="宋体" w:cs="宋体"/>
                <w:b/>
                <w:bCs/>
                <w:kern w:val="0"/>
                <w:sz w:val="20"/>
                <w:szCs w:val="20"/>
              </w:rPr>
            </w:pPr>
            <w:r>
              <w:rPr>
                <w:rFonts w:hint="eastAsia" w:ascii="宋体" w:hAnsi="宋体" w:eastAsia="宋体" w:cs="宋体"/>
                <w:b/>
                <w:bCs/>
                <w:color w:val="000000"/>
                <w:kern w:val="0"/>
                <w:sz w:val="20"/>
                <w:szCs w:val="20"/>
                <w:lang w:bidi="ar"/>
              </w:rPr>
              <w:t>98.11%</w:t>
            </w:r>
          </w:p>
        </w:tc>
      </w:tr>
    </w:tbl>
    <w:p w14:paraId="483EB71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cs="宋体"/>
          <w:iCs/>
          <w:kern w:val="0"/>
          <w:sz w:val="32"/>
          <w:szCs w:val="32"/>
        </w:rPr>
      </w:pPr>
      <w:r>
        <w:rPr>
          <w:rFonts w:hint="eastAsia" w:ascii="仿宋_GB2312" w:hAnsi="宋体" w:cs="宋体"/>
          <w:iCs/>
          <w:kern w:val="0"/>
          <w:sz w:val="32"/>
          <w:szCs w:val="32"/>
        </w:rPr>
        <w:t>（</w:t>
      </w:r>
      <w:r>
        <w:rPr>
          <w:rFonts w:ascii="仿宋_GB2312" w:hAnsi="宋体" w:cs="宋体"/>
          <w:iCs/>
          <w:kern w:val="0"/>
          <w:sz w:val="32"/>
          <w:szCs w:val="32"/>
        </w:rPr>
        <w:t>2</w:t>
      </w:r>
      <w:r>
        <w:rPr>
          <w:rFonts w:hint="eastAsia" w:ascii="仿宋_GB2312" w:hAnsi="宋体" w:cs="宋体"/>
          <w:iCs/>
          <w:kern w:val="0"/>
          <w:sz w:val="32"/>
          <w:szCs w:val="32"/>
        </w:rPr>
        <w:t>）资金使用合规性</w:t>
      </w:r>
    </w:p>
    <w:p w14:paraId="12AD63D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cs="宋体"/>
          <w:iCs/>
          <w:kern w:val="0"/>
          <w:sz w:val="32"/>
          <w:szCs w:val="32"/>
        </w:rPr>
      </w:pPr>
      <w:r>
        <w:rPr>
          <w:rFonts w:hint="eastAsia" w:ascii="仿宋_GB2312" w:hAnsi="宋体" w:cs="宋体"/>
          <w:iCs/>
          <w:kern w:val="0"/>
          <w:sz w:val="32"/>
          <w:szCs w:val="32"/>
        </w:rPr>
        <w:t>项目单位能够按照市科研院项目经费使用相关管理办法对项目资金进行单独核算、专款专用。评价未发现项目存在资金截留、挤占、挪用、虚列支出等情况。项目资金使用合规。</w:t>
      </w:r>
    </w:p>
    <w:p w14:paraId="4C30290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宋体" w:cs="宋体"/>
          <w:iCs/>
          <w:kern w:val="0"/>
          <w:sz w:val="32"/>
          <w:szCs w:val="32"/>
        </w:rPr>
      </w:pPr>
      <w:r>
        <w:rPr>
          <w:rFonts w:hint="eastAsia" w:ascii="仿宋_GB2312" w:hAnsi="宋体" w:cs="宋体"/>
          <w:iCs/>
          <w:kern w:val="0"/>
          <w:sz w:val="32"/>
          <w:szCs w:val="32"/>
        </w:rPr>
        <w:t>2.组织实施</w:t>
      </w:r>
    </w:p>
    <w:p w14:paraId="4EB1CF9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cs="宋体"/>
          <w:iCs/>
          <w:kern w:val="0"/>
          <w:sz w:val="32"/>
          <w:szCs w:val="32"/>
        </w:rPr>
      </w:pPr>
      <w:r>
        <w:rPr>
          <w:rFonts w:hint="eastAsia" w:ascii="仿宋_GB2312" w:hAnsi="宋体" w:cs="宋体"/>
          <w:iCs/>
          <w:kern w:val="0"/>
          <w:sz w:val="32"/>
          <w:szCs w:val="32"/>
        </w:rPr>
        <w:t>（1）管理制度健全性</w:t>
      </w:r>
    </w:p>
    <w:p w14:paraId="79C9763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cs="宋体"/>
          <w:kern w:val="0"/>
          <w:sz w:val="32"/>
          <w:szCs w:val="32"/>
        </w:rPr>
      </w:pPr>
      <w:r>
        <w:rPr>
          <w:rFonts w:hint="eastAsia" w:ascii="仿宋_GB2312" w:hAnsi="宋体" w:cs="宋体"/>
          <w:kern w:val="0"/>
          <w:sz w:val="32"/>
          <w:szCs w:val="32"/>
        </w:rPr>
        <w:t>市科研院制定了</w:t>
      </w:r>
      <w:r>
        <w:rPr>
          <w:rFonts w:ascii="仿宋_GB2312" w:hAnsi="宋体" w:cs="宋体"/>
          <w:kern w:val="0"/>
          <w:sz w:val="32"/>
          <w:szCs w:val="32"/>
        </w:rPr>
        <w:t>《</w:t>
      </w:r>
      <w:r>
        <w:rPr>
          <w:rFonts w:hint="eastAsia" w:ascii="仿宋_GB2312" w:hAnsi="宋体" w:cs="宋体"/>
          <w:kern w:val="0"/>
          <w:sz w:val="32"/>
          <w:szCs w:val="32"/>
        </w:rPr>
        <w:t>北京市科学技术研究院创新工程项目(课题)管理实施细则》，对项目组织、项目申请、项目立项、项目实施、综合绩效评价、成果管理等内容进行了规定;制定有《北京市科学技术研究院专家咨询费管理办法》《北京市科学技术研究院劳务费管理办法》《北京市科学技术研究院差旅费管理办法》等管理办法。项目承担单位按照院统一业务、财务管理制度执行，项目管理制度较为健全。</w:t>
      </w:r>
    </w:p>
    <w:p w14:paraId="74AE400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cs="宋体"/>
          <w:kern w:val="0"/>
          <w:sz w:val="32"/>
          <w:szCs w:val="32"/>
        </w:rPr>
      </w:pPr>
      <w:r>
        <w:rPr>
          <w:rFonts w:hint="eastAsia" w:ascii="仿宋_GB2312" w:hAnsi="宋体" w:cs="宋体"/>
          <w:kern w:val="0"/>
          <w:sz w:val="32"/>
          <w:szCs w:val="32"/>
        </w:rPr>
        <w:t>（2）制度执行有效性</w:t>
      </w:r>
    </w:p>
    <w:p w14:paraId="2240214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cs="宋体"/>
          <w:iCs/>
          <w:kern w:val="0"/>
          <w:sz w:val="32"/>
          <w:szCs w:val="32"/>
        </w:rPr>
      </w:pPr>
      <w:r>
        <w:rPr>
          <w:rFonts w:hint="eastAsia" w:ascii="仿宋_GB2312" w:hAnsi="宋体" w:cs="宋体"/>
          <w:iCs/>
          <w:kern w:val="0"/>
          <w:sz w:val="32"/>
          <w:szCs w:val="32"/>
        </w:rPr>
        <w:t>项目单位基本能够按照上述相关制度要求以及项目申报书中关于绩效目标、绩效指标、工作进度安排的要求，组织开展各项工作。</w:t>
      </w:r>
    </w:p>
    <w:p w14:paraId="3FA26E9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cs="宋体"/>
          <w:kern w:val="0"/>
          <w:sz w:val="32"/>
          <w:szCs w:val="32"/>
        </w:rPr>
      </w:pPr>
      <w:r>
        <w:rPr>
          <w:rFonts w:hint="eastAsia" w:ascii="仿宋_GB2312" w:hAnsi="宋体" w:cs="宋体"/>
          <w:kern w:val="0"/>
          <w:sz w:val="32"/>
          <w:szCs w:val="32"/>
        </w:rPr>
        <w:t>实施方案制定方面，项目单位编制了《汽车制造业减污降碳关键技术集成与应用研究项目实施方案》及各课题实施方案，明确了研究目标、研究方案、技术路线、研究计划等方面内容，并组织专家对项目总体实施方案进行了论证。但项目实施方案中缺少项目组织管理机构及人员安排、指标考核标准、验收机制、质量保障措施等内容，不利于指导项目整体实施。</w:t>
      </w:r>
    </w:p>
    <w:p w14:paraId="7F3E4F7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cs="宋体"/>
          <w:iCs/>
          <w:kern w:val="0"/>
          <w:sz w:val="32"/>
          <w:szCs w:val="32"/>
        </w:rPr>
      </w:pPr>
      <w:r>
        <w:rPr>
          <w:rFonts w:hint="eastAsia" w:ascii="仿宋_GB2312" w:hAnsi="宋体" w:cs="宋体"/>
          <w:iCs/>
          <w:kern w:val="0"/>
          <w:sz w:val="32"/>
          <w:szCs w:val="32"/>
        </w:rPr>
        <w:t>承担单位遴选与合同签订方面，针对对外委托事项，项目单位按照市科研院采购管理办法确定承担单位，并及时与承担单位签订合同。但合同管理规范性还需进一步加强。</w:t>
      </w:r>
    </w:p>
    <w:p w14:paraId="44B40D5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cs="宋体"/>
          <w:iCs/>
          <w:kern w:val="0"/>
          <w:sz w:val="32"/>
          <w:szCs w:val="32"/>
          <w:shd w:val="clear" w:color="auto" w:fill="FFFFFF"/>
        </w:rPr>
      </w:pPr>
      <w:r>
        <w:rPr>
          <w:rFonts w:hint="eastAsia" w:ascii="仿宋_GB2312" w:hAnsi="宋体" w:cs="宋体"/>
          <w:iCs/>
          <w:kern w:val="0"/>
          <w:sz w:val="32"/>
          <w:szCs w:val="32"/>
          <w:shd w:val="clear" w:color="auto" w:fill="FFFFFF"/>
        </w:rPr>
        <w:t>预算调整方面，项目实施过程中部分预算内容发生了调整，项目单位均按照市科研院要求履行了相关调整手续，调整手续的完备性较好。</w:t>
      </w:r>
    </w:p>
    <w:p w14:paraId="728DEEC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cs="宋体"/>
          <w:iCs/>
          <w:kern w:val="0"/>
          <w:sz w:val="32"/>
          <w:szCs w:val="32"/>
          <w:shd w:val="clear" w:color="auto" w:fill="FFFFFF"/>
        </w:rPr>
      </w:pPr>
      <w:r>
        <w:rPr>
          <w:rFonts w:hint="eastAsia" w:ascii="仿宋_GB2312" w:hAnsi="宋体" w:cs="宋体"/>
          <w:iCs/>
          <w:kern w:val="0"/>
          <w:sz w:val="32"/>
          <w:szCs w:val="32"/>
          <w:shd w:val="clear" w:color="auto" w:fill="FFFFFF"/>
        </w:rPr>
        <w:t>过程监管及验收方面，项目单位实行项目负责人和课题负责人制度，设立项目管理小组和联系人，并建立“双周例会+月度联合实验”机制，对项目执行进度进行定期跟踪、督促,从而保障研究任务的有序推进；针对对外委托事项，项目单位根据委托业务合同，对26个汽车制造车间暴露植物叶片样品的代谢组学分析技术服务、臭氧催化氧化过程调控机制研究、电芬顿过程调控机制研究等进行了验收。但验收工作有待进一步完善。</w:t>
      </w:r>
    </w:p>
    <w:p w14:paraId="5F8EB6E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宋体" w:eastAsia="楷体_GB2312" w:cs="宋体"/>
          <w:color w:val="000000"/>
          <w:kern w:val="0"/>
          <w:sz w:val="32"/>
          <w:szCs w:val="32"/>
        </w:rPr>
      </w:pPr>
      <w:bookmarkStart w:id="35" w:name="_Toc167040557"/>
      <w:r>
        <w:rPr>
          <w:rFonts w:hint="eastAsia" w:ascii="楷体_GB2312" w:hAnsi="宋体" w:eastAsia="楷体_GB2312" w:cs="宋体"/>
          <w:color w:val="000000"/>
          <w:kern w:val="0"/>
          <w:sz w:val="32"/>
          <w:szCs w:val="32"/>
        </w:rPr>
        <w:t>（三）项目产出情况</w:t>
      </w:r>
      <w:bookmarkEnd w:id="35"/>
    </w:p>
    <w:p w14:paraId="2E47030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sz w:val="32"/>
          <w:szCs w:val="32"/>
        </w:rPr>
      </w:pPr>
      <w:r>
        <w:rPr>
          <w:rFonts w:hint="eastAsia" w:ascii="仿宋_GB2312"/>
          <w:sz w:val="32"/>
          <w:szCs w:val="32"/>
        </w:rPr>
        <w:t>1.产出数量及产出时效</w:t>
      </w:r>
    </w:p>
    <w:p w14:paraId="724284F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sz w:val="32"/>
          <w:szCs w:val="32"/>
          <w:highlight w:val="none"/>
        </w:rPr>
      </w:pPr>
      <w:r>
        <w:rPr>
          <w:rFonts w:hint="eastAsia" w:ascii="仿宋_GB2312"/>
          <w:sz w:val="32"/>
          <w:szCs w:val="32"/>
        </w:rPr>
        <w:t>2024年，项目各项工作内容基本按照《项目任务书》中的计划进度完成。但由于2024年项目成果是在2023年成果基础上形成的，缺少2024年产出成果与2023年的对</w:t>
      </w:r>
      <w:r>
        <w:rPr>
          <w:rFonts w:hint="eastAsia" w:ascii="仿宋_GB2312"/>
          <w:sz w:val="32"/>
          <w:szCs w:val="32"/>
          <w:highlight w:val="none"/>
        </w:rPr>
        <w:t>比，一定程度上影响了对项目2024年产出情况的判断。具体完成情况见表5。</w:t>
      </w:r>
    </w:p>
    <w:p w14:paraId="750C886A">
      <w:pPr>
        <w:adjustRightInd w:val="0"/>
        <w:snapToGrid w:val="0"/>
        <w:spacing w:line="360" w:lineRule="auto"/>
        <w:jc w:val="center"/>
        <w:rPr>
          <w:rFonts w:ascii="黑体" w:hAnsi="黑体" w:eastAsia="黑体" w:cs="宋体"/>
          <w:kern w:val="0"/>
          <w:sz w:val="28"/>
          <w:szCs w:val="28"/>
        </w:rPr>
      </w:pPr>
      <w:r>
        <w:rPr>
          <w:rFonts w:hint="eastAsia" w:ascii="黑体" w:hAnsi="黑体" w:eastAsia="黑体" w:cs="宋体"/>
          <w:kern w:val="0"/>
          <w:sz w:val="28"/>
          <w:szCs w:val="28"/>
        </w:rPr>
        <w:t>表5：各子课题具体工作完成情况</w:t>
      </w:r>
    </w:p>
    <w:tbl>
      <w:tblPr>
        <w:tblStyle w:val="37"/>
        <w:tblW w:w="9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560"/>
        <w:gridCol w:w="3633"/>
        <w:gridCol w:w="3792"/>
      </w:tblGrid>
      <w:tr w14:paraId="6BDC9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blHeader/>
          <w:jc w:val="center"/>
        </w:trPr>
        <w:tc>
          <w:tcPr>
            <w:tcW w:w="633" w:type="dxa"/>
            <w:noWrap w:val="0"/>
            <w:vAlign w:val="center"/>
          </w:tcPr>
          <w:p w14:paraId="4F2887A2">
            <w:pPr>
              <w:autoSpaceDE w:val="0"/>
              <w:autoSpaceDN w:val="0"/>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1560" w:type="dxa"/>
            <w:noWrap w:val="0"/>
            <w:vAlign w:val="center"/>
          </w:tcPr>
          <w:p w14:paraId="24AA6F13">
            <w:pPr>
              <w:autoSpaceDE w:val="0"/>
              <w:autoSpaceDN w:val="0"/>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课题名称</w:t>
            </w:r>
          </w:p>
        </w:tc>
        <w:tc>
          <w:tcPr>
            <w:tcW w:w="3633" w:type="dxa"/>
            <w:noWrap w:val="0"/>
            <w:vAlign w:val="center"/>
          </w:tcPr>
          <w:p w14:paraId="3EB2992B">
            <w:pPr>
              <w:autoSpaceDE w:val="0"/>
              <w:autoSpaceDN w:val="0"/>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计划完成内容</w:t>
            </w:r>
          </w:p>
        </w:tc>
        <w:tc>
          <w:tcPr>
            <w:tcW w:w="3792" w:type="dxa"/>
            <w:noWrap w:val="0"/>
            <w:vAlign w:val="center"/>
          </w:tcPr>
          <w:p w14:paraId="22F249FA">
            <w:pPr>
              <w:autoSpaceDE w:val="0"/>
              <w:autoSpaceDN w:val="0"/>
              <w:adjustRightInd w:val="0"/>
              <w:snapToGrid w:val="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实际完成内容</w:t>
            </w:r>
          </w:p>
        </w:tc>
      </w:tr>
      <w:tr w14:paraId="5DA6D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6" w:hRule="atLeast"/>
          <w:jc w:val="center"/>
        </w:trPr>
        <w:tc>
          <w:tcPr>
            <w:tcW w:w="633" w:type="dxa"/>
            <w:noWrap w:val="0"/>
            <w:vAlign w:val="center"/>
          </w:tcPr>
          <w:p w14:paraId="1A759834">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c>
          <w:tcPr>
            <w:tcW w:w="1560" w:type="dxa"/>
            <w:noWrap w:val="0"/>
            <w:vAlign w:val="center"/>
          </w:tcPr>
          <w:p w14:paraId="66AB2F30">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汽车制造特征污染物定量检测及其迁移研究</w:t>
            </w:r>
          </w:p>
        </w:tc>
        <w:tc>
          <w:tcPr>
            <w:tcW w:w="3633" w:type="dxa"/>
            <w:tcBorders>
              <w:right w:val="single" w:color="auto" w:sz="4" w:space="0"/>
            </w:tcBorders>
            <w:noWrap w:val="0"/>
            <w:vAlign w:val="center"/>
          </w:tcPr>
          <w:p w14:paraId="6D0E9C9F">
            <w:pPr>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1.建立汽车制造行业排放的废水、废气和固体废弃物中特征污染物及新污染的识别及其定量检测方法，形成20种以上特征污染物及新污染的检测标准操作规程3套，检出限低于0.3ppm，加标回收率为60%-140%。</w:t>
            </w:r>
          </w:p>
          <w:p w14:paraId="59DC28C3">
            <w:pPr>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2.建立汽车制造车间环境空气中特定污染物污染状况的植物指示方法1套。</w:t>
            </w:r>
          </w:p>
          <w:p w14:paraId="325DCA21">
            <w:pPr>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3.揭示特征污染物在各处理环节的分布特征及其迁移规律，形成特征污染物清单1份。</w:t>
            </w:r>
          </w:p>
          <w:p w14:paraId="67C862A5">
            <w:pPr>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4.建立汽车制造各工艺环节的VOCs化学成分谱库，初步构建溯源方法，提交不少于65种VOCs化学成分谱库1套。</w:t>
            </w:r>
          </w:p>
        </w:tc>
        <w:tc>
          <w:tcPr>
            <w:tcW w:w="3792" w:type="dxa"/>
            <w:noWrap w:val="0"/>
            <w:vAlign w:val="center"/>
          </w:tcPr>
          <w:p w14:paraId="2A36A1CD">
            <w:pPr>
              <w:autoSpaceDE w:val="0"/>
              <w:autoSpaceDN w:val="0"/>
              <w:adjustRightInd w:val="0"/>
              <w:snapToGrid w:val="0"/>
              <w:rPr>
                <w:rFonts w:hint="eastAsia" w:ascii="宋体" w:hAnsi="宋体" w:eastAsia="宋体" w:cs="宋体"/>
                <w:kern w:val="0"/>
                <w:sz w:val="20"/>
                <w:szCs w:val="20"/>
              </w:rPr>
            </w:pPr>
            <w:r>
              <w:rPr>
                <w:rFonts w:hint="eastAsia" w:ascii="宋体" w:hAnsi="宋体" w:eastAsia="宋体" w:cs="宋体"/>
                <w:kern w:val="0"/>
                <w:sz w:val="20"/>
                <w:szCs w:val="20"/>
              </w:rPr>
              <w:t>1.</w:t>
            </w:r>
            <w:r>
              <w:rPr>
                <w:rFonts w:ascii="宋体" w:hAnsi="宋体" w:eastAsia="宋体" w:cs="宋体"/>
                <w:kern w:val="0"/>
                <w:sz w:val="20"/>
                <w:szCs w:val="20"/>
              </w:rPr>
              <w:t>建立了汽车制造行业排放的废水、废气和固体废弃物中特征污染物及新污染的识别及其定量检测方法，3套操作规程参数种类20种以上、检出限低于0.3ppm、回收率为60%-140%、精确度&lt;20%</w:t>
            </w:r>
            <w:r>
              <w:rPr>
                <w:rFonts w:hint="eastAsia" w:ascii="宋体" w:hAnsi="宋体" w:eastAsia="宋体" w:cs="宋体"/>
                <w:kern w:val="0"/>
                <w:sz w:val="20"/>
                <w:szCs w:val="20"/>
              </w:rPr>
              <w:t>。</w:t>
            </w:r>
          </w:p>
          <w:p w14:paraId="1550945D">
            <w:pPr>
              <w:autoSpaceDE w:val="0"/>
              <w:autoSpaceDN w:val="0"/>
              <w:adjustRightInd w:val="0"/>
              <w:snapToGrid w:val="0"/>
              <w:rPr>
                <w:rFonts w:hint="eastAsia" w:ascii="宋体" w:hAnsi="宋体" w:eastAsia="宋体" w:cs="宋体"/>
                <w:kern w:val="0"/>
                <w:sz w:val="20"/>
                <w:szCs w:val="20"/>
              </w:rPr>
            </w:pPr>
            <w:r>
              <w:rPr>
                <w:rFonts w:hint="eastAsia" w:ascii="宋体" w:hAnsi="宋体" w:eastAsia="宋体" w:cs="宋体"/>
                <w:kern w:val="0"/>
                <w:sz w:val="20"/>
                <w:szCs w:val="20"/>
              </w:rPr>
              <w:t>2.建立了汽车制造车间内环境空气特定污染物污染状况植物指示方法。</w:t>
            </w:r>
          </w:p>
          <w:p w14:paraId="6FEB0442">
            <w:pPr>
              <w:autoSpaceDE w:val="0"/>
              <w:autoSpaceDN w:val="0"/>
              <w:adjustRightInd w:val="0"/>
              <w:snapToGrid w:val="0"/>
              <w:rPr>
                <w:rFonts w:hint="eastAsia" w:ascii="宋体" w:hAnsi="宋体" w:eastAsia="宋体" w:cs="宋体"/>
                <w:kern w:val="0"/>
                <w:sz w:val="20"/>
                <w:szCs w:val="20"/>
              </w:rPr>
            </w:pPr>
            <w:r>
              <w:rPr>
                <w:rFonts w:hint="eastAsia" w:ascii="宋体" w:hAnsi="宋体" w:eastAsia="宋体" w:cs="宋体"/>
                <w:kern w:val="0"/>
                <w:sz w:val="20"/>
                <w:szCs w:val="20"/>
              </w:rPr>
              <w:t>3.</w:t>
            </w:r>
            <w:r>
              <w:rPr>
                <w:rFonts w:ascii="宋体" w:hAnsi="宋体" w:eastAsia="宋体" w:cs="宋体"/>
                <w:kern w:val="0"/>
                <w:sz w:val="20"/>
                <w:szCs w:val="20"/>
              </w:rPr>
              <w:t>明确了特征污染物在各处理环节的分布特征及其迁移规律，形成了特征污染物清单</w:t>
            </w:r>
            <w:r>
              <w:rPr>
                <w:rFonts w:hint="eastAsia" w:ascii="宋体" w:hAnsi="宋体" w:eastAsia="宋体" w:cs="宋体"/>
                <w:kern w:val="0"/>
                <w:sz w:val="20"/>
                <w:szCs w:val="20"/>
              </w:rPr>
              <w:t>。</w:t>
            </w:r>
          </w:p>
          <w:p w14:paraId="52238806">
            <w:pPr>
              <w:autoSpaceDE w:val="0"/>
              <w:autoSpaceDN w:val="0"/>
              <w:adjustRightInd w:val="0"/>
              <w:snapToGrid w:val="0"/>
              <w:rPr>
                <w:rFonts w:ascii="宋体" w:hAnsi="宋体" w:eastAsia="宋体" w:cs="宋体"/>
                <w:kern w:val="0"/>
                <w:sz w:val="20"/>
                <w:szCs w:val="20"/>
              </w:rPr>
            </w:pPr>
            <w:r>
              <w:rPr>
                <w:rFonts w:hint="eastAsia" w:ascii="宋体" w:hAnsi="宋体" w:eastAsia="宋体" w:cs="宋体"/>
                <w:kern w:val="0"/>
                <w:sz w:val="20"/>
                <w:szCs w:val="20"/>
              </w:rPr>
              <w:t>4.建立了</w:t>
            </w:r>
            <w:r>
              <w:rPr>
                <w:rFonts w:ascii="宋体" w:hAnsi="宋体" w:eastAsia="宋体" w:cs="宋体"/>
                <w:kern w:val="0"/>
                <w:sz w:val="20"/>
                <w:szCs w:val="20"/>
              </w:rPr>
              <w:t>汽车制造各工艺环节72种VOCs化学成分谱库</w:t>
            </w:r>
            <w:r>
              <w:rPr>
                <w:rFonts w:hint="eastAsia" w:ascii="宋体" w:hAnsi="宋体" w:eastAsia="宋体" w:cs="宋体"/>
                <w:kern w:val="0"/>
                <w:sz w:val="20"/>
                <w:szCs w:val="20"/>
              </w:rPr>
              <w:t>。</w:t>
            </w:r>
          </w:p>
        </w:tc>
      </w:tr>
      <w:tr w14:paraId="007B0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5" w:hRule="atLeast"/>
          <w:jc w:val="center"/>
        </w:trPr>
        <w:tc>
          <w:tcPr>
            <w:tcW w:w="633" w:type="dxa"/>
            <w:tcBorders>
              <w:bottom w:val="single" w:color="auto" w:sz="4" w:space="0"/>
            </w:tcBorders>
            <w:noWrap w:val="0"/>
            <w:vAlign w:val="center"/>
          </w:tcPr>
          <w:p w14:paraId="59D25456">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2</w:t>
            </w:r>
          </w:p>
        </w:tc>
        <w:tc>
          <w:tcPr>
            <w:tcW w:w="1560" w:type="dxa"/>
            <w:tcBorders>
              <w:bottom w:val="single" w:color="auto" w:sz="4" w:space="0"/>
            </w:tcBorders>
            <w:noWrap w:val="0"/>
            <w:vAlign w:val="center"/>
          </w:tcPr>
          <w:p w14:paraId="3329EDB0">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汽车制造废水资源化利用关键技术集成与应用研究</w:t>
            </w:r>
          </w:p>
        </w:tc>
        <w:tc>
          <w:tcPr>
            <w:tcW w:w="3633" w:type="dxa"/>
            <w:tcBorders>
              <w:bottom w:val="single" w:color="auto" w:sz="4" w:space="0"/>
              <w:right w:val="single" w:color="auto" w:sz="4" w:space="0"/>
            </w:tcBorders>
            <w:noWrap w:val="0"/>
            <w:vAlign w:val="center"/>
          </w:tcPr>
          <w:p w14:paraId="1071BA16">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1.</w:t>
            </w:r>
            <w:r>
              <w:rPr>
                <w:rFonts w:ascii="宋体" w:hAnsi="宋体" w:eastAsia="宋体" w:cs="宋体"/>
                <w:kern w:val="0"/>
                <w:sz w:val="20"/>
                <w:szCs w:val="20"/>
              </w:rPr>
              <w:t>形成磷化废水有价资源回收成套技术及有价资源利用方案，其中磷酸盐、锌、镍、锰等有价资源回收率达到90%</w:t>
            </w:r>
            <w:r>
              <w:rPr>
                <w:rFonts w:hint="eastAsia" w:ascii="宋体" w:hAnsi="宋体" w:eastAsia="宋体" w:cs="宋体"/>
                <w:kern w:val="0"/>
                <w:sz w:val="20"/>
                <w:szCs w:val="20"/>
              </w:rPr>
              <w:t>。</w:t>
            </w:r>
          </w:p>
          <w:p w14:paraId="2C0F91CB">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2.</w:t>
            </w:r>
            <w:r>
              <w:rPr>
                <w:rFonts w:ascii="宋体" w:hAnsi="宋体" w:eastAsia="宋体" w:cs="宋体"/>
                <w:kern w:val="0"/>
                <w:sz w:val="20"/>
                <w:szCs w:val="20"/>
              </w:rPr>
              <w:t>形成脱脂废水电化学法预处理成套技术，COD去除率不低于50%，污泥产生量比现有混凝沉淀工艺减少10%以上</w:t>
            </w:r>
            <w:r>
              <w:rPr>
                <w:rFonts w:hint="eastAsia" w:ascii="宋体" w:hAnsi="宋体" w:eastAsia="宋体" w:cs="宋体"/>
                <w:kern w:val="0"/>
                <w:sz w:val="20"/>
                <w:szCs w:val="20"/>
              </w:rPr>
              <w:t>。</w:t>
            </w:r>
          </w:p>
          <w:p w14:paraId="376468E9">
            <w:pPr>
              <w:autoSpaceDE w:val="0"/>
              <w:autoSpaceDN w:val="0"/>
              <w:adjustRightInd w:val="0"/>
              <w:snapToGrid w:val="0"/>
              <w:jc w:val="left"/>
              <w:rPr>
                <w:rFonts w:ascii="宋体" w:hAnsi="宋体" w:eastAsia="宋体" w:cs="宋体"/>
                <w:kern w:val="0"/>
                <w:sz w:val="20"/>
                <w:szCs w:val="20"/>
              </w:rPr>
            </w:pPr>
            <w:r>
              <w:rPr>
                <w:rFonts w:hint="eastAsia" w:ascii="宋体" w:hAnsi="宋体" w:eastAsia="宋体" w:cs="宋体"/>
                <w:kern w:val="0"/>
                <w:sz w:val="20"/>
                <w:szCs w:val="20"/>
              </w:rPr>
              <w:t>3.</w:t>
            </w:r>
            <w:r>
              <w:rPr>
                <w:rFonts w:ascii="宋体" w:hAnsi="宋体" w:eastAsia="宋体" w:cs="宋体"/>
                <w:kern w:val="0"/>
                <w:sz w:val="20"/>
                <w:szCs w:val="20"/>
              </w:rPr>
              <w:t>形成电泳废水电化学法预处理成套技术，COD去除率达到60%以上，污泥产生量比现有混凝沉淀工艺减少50%以上</w:t>
            </w:r>
            <w:r>
              <w:rPr>
                <w:rFonts w:hint="eastAsia" w:ascii="宋体" w:hAnsi="宋体" w:eastAsia="宋体" w:cs="宋体"/>
                <w:kern w:val="0"/>
                <w:sz w:val="20"/>
                <w:szCs w:val="20"/>
              </w:rPr>
              <w:t>。</w:t>
            </w:r>
          </w:p>
        </w:tc>
        <w:tc>
          <w:tcPr>
            <w:tcW w:w="3792" w:type="dxa"/>
            <w:tcBorders>
              <w:bottom w:val="single" w:color="auto" w:sz="4" w:space="0"/>
            </w:tcBorders>
            <w:noWrap w:val="0"/>
            <w:vAlign w:val="center"/>
          </w:tcPr>
          <w:p w14:paraId="61BC5C92">
            <w:pPr>
              <w:autoSpaceDE w:val="0"/>
              <w:autoSpaceDN w:val="0"/>
              <w:adjustRightInd w:val="0"/>
              <w:snapToGrid w:val="0"/>
              <w:jc w:val="left"/>
              <w:rPr>
                <w:rFonts w:ascii="宋体" w:hAnsi="宋体" w:eastAsia="宋体" w:cs="宋体"/>
                <w:kern w:val="0"/>
                <w:sz w:val="20"/>
                <w:szCs w:val="20"/>
              </w:rPr>
            </w:pPr>
            <w:r>
              <w:rPr>
                <w:rFonts w:hint="eastAsia" w:ascii="宋体" w:hAnsi="宋体" w:eastAsia="宋体" w:cs="宋体"/>
                <w:kern w:val="0"/>
                <w:sz w:val="20"/>
                <w:szCs w:val="20"/>
              </w:rPr>
              <w:t>1.</w:t>
            </w:r>
            <w:r>
              <w:rPr>
                <w:rFonts w:ascii="宋体" w:hAnsi="宋体" w:eastAsia="宋体" w:cs="宋体"/>
                <w:kern w:val="0"/>
                <w:sz w:val="20"/>
                <w:szCs w:val="20"/>
              </w:rPr>
              <w:t>开发了基于电芬顿技术处理脱脂废水、高级氧化-膜分离技术处理磷化废水及资源回收、电沉积-电化学氧化耦合技术处理电泳废水。</w:t>
            </w:r>
          </w:p>
          <w:p w14:paraId="619D5F16">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2.</w:t>
            </w:r>
            <w:r>
              <w:rPr>
                <w:rFonts w:ascii="宋体" w:hAnsi="宋体" w:eastAsia="宋体" w:cs="宋体"/>
                <w:kern w:val="0"/>
                <w:sz w:val="20"/>
                <w:szCs w:val="20"/>
              </w:rPr>
              <w:t>脱脂废水电化学法预处理成套技术的COD 去除率&gt;50%，污泥产生量比现有混凝沉淀工艺减少&gt;10%</w:t>
            </w:r>
            <w:r>
              <w:rPr>
                <w:rFonts w:hint="eastAsia" w:ascii="宋体" w:hAnsi="宋体" w:eastAsia="宋体" w:cs="宋体"/>
                <w:kern w:val="0"/>
                <w:sz w:val="20"/>
                <w:szCs w:val="20"/>
              </w:rPr>
              <w:t>，</w:t>
            </w:r>
            <w:r>
              <w:rPr>
                <w:rFonts w:ascii="宋体" w:hAnsi="宋体" w:eastAsia="宋体" w:cs="宋体"/>
                <w:kern w:val="0"/>
                <w:sz w:val="20"/>
                <w:szCs w:val="20"/>
              </w:rPr>
              <w:t>磷化废水磷酸盐、锌、镍、锰等有价资源回收率&gt;90%</w:t>
            </w:r>
            <w:r>
              <w:rPr>
                <w:rFonts w:hint="eastAsia" w:ascii="宋体" w:hAnsi="宋体" w:eastAsia="宋体" w:cs="宋体"/>
                <w:kern w:val="0"/>
                <w:sz w:val="20"/>
                <w:szCs w:val="20"/>
              </w:rPr>
              <w:t>。</w:t>
            </w:r>
          </w:p>
          <w:p w14:paraId="01B73092">
            <w:pPr>
              <w:autoSpaceDE w:val="0"/>
              <w:autoSpaceDN w:val="0"/>
              <w:adjustRightInd w:val="0"/>
              <w:snapToGrid w:val="0"/>
              <w:jc w:val="left"/>
              <w:rPr>
                <w:rFonts w:ascii="宋体" w:hAnsi="宋体" w:eastAsia="宋体" w:cs="宋体"/>
                <w:kern w:val="0"/>
                <w:sz w:val="20"/>
                <w:szCs w:val="20"/>
              </w:rPr>
            </w:pPr>
            <w:r>
              <w:rPr>
                <w:rFonts w:hint="eastAsia" w:ascii="宋体" w:hAnsi="宋体" w:eastAsia="宋体" w:cs="宋体"/>
                <w:kern w:val="0"/>
                <w:sz w:val="20"/>
                <w:szCs w:val="20"/>
              </w:rPr>
              <w:t>3.</w:t>
            </w:r>
            <w:r>
              <w:rPr>
                <w:rFonts w:ascii="宋体" w:hAnsi="宋体" w:eastAsia="宋体" w:cs="宋体"/>
                <w:kern w:val="0"/>
                <w:sz w:val="20"/>
                <w:szCs w:val="20"/>
              </w:rPr>
              <w:t>电泳废水电化学法预处理成套技术的 COD去除率&gt;80%，污泥产生量比现有混凝沉淀工艺减少&gt;50%。</w:t>
            </w:r>
          </w:p>
        </w:tc>
      </w:tr>
      <w:tr w14:paraId="54953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7" w:hRule="atLeast"/>
          <w:jc w:val="center"/>
        </w:trPr>
        <w:tc>
          <w:tcPr>
            <w:tcW w:w="633" w:type="dxa"/>
            <w:tcBorders>
              <w:top w:val="single" w:color="auto" w:sz="4" w:space="0"/>
              <w:left w:val="single" w:color="auto" w:sz="4" w:space="0"/>
              <w:bottom w:val="single" w:color="auto" w:sz="4" w:space="0"/>
              <w:right w:val="single" w:color="auto" w:sz="4" w:space="0"/>
            </w:tcBorders>
            <w:noWrap w:val="0"/>
            <w:vAlign w:val="center"/>
          </w:tcPr>
          <w:p w14:paraId="0BCA1772">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3</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DE0D2A7">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汽车制造业挥发性有机物治理关键技术与应用研究</w:t>
            </w:r>
          </w:p>
        </w:tc>
        <w:tc>
          <w:tcPr>
            <w:tcW w:w="3633" w:type="dxa"/>
            <w:tcBorders>
              <w:top w:val="single" w:color="auto" w:sz="4" w:space="0"/>
              <w:left w:val="single" w:color="auto" w:sz="4" w:space="0"/>
              <w:bottom w:val="single" w:color="auto" w:sz="4" w:space="0"/>
              <w:right w:val="single" w:color="auto" w:sz="4" w:space="0"/>
            </w:tcBorders>
            <w:noWrap w:val="0"/>
            <w:vAlign w:val="center"/>
          </w:tcPr>
          <w:p w14:paraId="21BD97F1">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1.建立多空间、多区域协同供风、排风技术，非干式喷漆场景下循环风比例达到30%。</w:t>
            </w:r>
          </w:p>
          <w:p w14:paraId="64DBD1E0">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2.制备一种抗湿高效锰氧化物负载型催化材料，对湿度为30%-50%的低浓度VOCs的去除率达到70%以上。</w:t>
            </w:r>
          </w:p>
          <w:p w14:paraId="4B895317">
            <w:pPr>
              <w:autoSpaceDE w:val="0"/>
              <w:autoSpaceDN w:val="0"/>
              <w:adjustRightInd w:val="0"/>
              <w:snapToGrid w:val="0"/>
              <w:jc w:val="left"/>
              <w:rPr>
                <w:rFonts w:ascii="宋体" w:hAnsi="宋体" w:eastAsia="宋体" w:cs="宋体"/>
                <w:kern w:val="0"/>
                <w:sz w:val="20"/>
                <w:szCs w:val="20"/>
              </w:rPr>
            </w:pPr>
            <w:r>
              <w:rPr>
                <w:rFonts w:hint="eastAsia" w:ascii="宋体" w:hAnsi="宋体" w:eastAsia="宋体" w:cs="宋体"/>
                <w:kern w:val="0"/>
                <w:sz w:val="20"/>
                <w:szCs w:val="20"/>
              </w:rPr>
              <w:t>3.形成电泳废气高级氧化法成套处理技术及装置，VOCs去除率达到60%以上。</w:t>
            </w:r>
          </w:p>
        </w:tc>
        <w:tc>
          <w:tcPr>
            <w:tcW w:w="3792" w:type="dxa"/>
            <w:tcBorders>
              <w:top w:val="single" w:color="auto" w:sz="4" w:space="0"/>
              <w:left w:val="single" w:color="auto" w:sz="4" w:space="0"/>
              <w:bottom w:val="single" w:color="auto" w:sz="4" w:space="0"/>
              <w:right w:val="single" w:color="auto" w:sz="4" w:space="0"/>
            </w:tcBorders>
            <w:noWrap w:val="0"/>
            <w:vAlign w:val="center"/>
          </w:tcPr>
          <w:p w14:paraId="399139A7">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1.建立了基于风量和风压梯级利用的多空间、多区域协同供风、排风方案(非干式喷漆场景下循环风比例达到77%以上)。</w:t>
            </w:r>
          </w:p>
          <w:p w14:paraId="22ADE259">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2.制备了一种抗湿高效锰氧化物负载型催化材料(对湿度为30%-50%的低浓度 VOCs的去除率达到70%以上)。</w:t>
            </w:r>
          </w:p>
          <w:p w14:paraId="7F914D98">
            <w:pPr>
              <w:autoSpaceDE w:val="0"/>
              <w:autoSpaceDN w:val="0"/>
              <w:adjustRightInd w:val="0"/>
              <w:snapToGrid w:val="0"/>
              <w:jc w:val="left"/>
              <w:rPr>
                <w:rFonts w:ascii="宋体" w:hAnsi="宋体" w:eastAsia="宋体" w:cs="宋体"/>
                <w:kern w:val="0"/>
                <w:sz w:val="20"/>
                <w:szCs w:val="20"/>
              </w:rPr>
            </w:pPr>
            <w:r>
              <w:rPr>
                <w:rFonts w:hint="eastAsia" w:ascii="宋体" w:hAnsi="宋体" w:eastAsia="宋体" w:cs="宋体"/>
                <w:kern w:val="0"/>
                <w:sz w:val="20"/>
                <w:szCs w:val="20"/>
              </w:rPr>
              <w:t>3.开发了吸收富集-催化臭氧氧化处理电泳废气技术(VOCs去除率达到75%以上)</w:t>
            </w:r>
          </w:p>
        </w:tc>
      </w:tr>
      <w:tr w14:paraId="5B89F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4" w:hRule="atLeast"/>
          <w:jc w:val="center"/>
        </w:trPr>
        <w:tc>
          <w:tcPr>
            <w:tcW w:w="633" w:type="dxa"/>
            <w:tcBorders>
              <w:top w:val="single" w:color="auto" w:sz="4" w:space="0"/>
              <w:left w:val="single" w:color="auto" w:sz="4" w:space="0"/>
              <w:bottom w:val="single" w:color="auto" w:sz="4" w:space="0"/>
              <w:right w:val="single" w:color="auto" w:sz="4" w:space="0"/>
            </w:tcBorders>
            <w:noWrap w:val="0"/>
            <w:vAlign w:val="center"/>
          </w:tcPr>
          <w:p w14:paraId="18EA9C0E">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4</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9E5DE56">
            <w:pPr>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汽车制造场地地下水污染高效低碳阻控技术及应用研究</w:t>
            </w:r>
          </w:p>
        </w:tc>
        <w:tc>
          <w:tcPr>
            <w:tcW w:w="3633" w:type="dxa"/>
            <w:tcBorders>
              <w:top w:val="single" w:color="auto" w:sz="4" w:space="0"/>
              <w:left w:val="single" w:color="auto" w:sz="4" w:space="0"/>
              <w:bottom w:val="single" w:color="auto" w:sz="4" w:space="0"/>
              <w:right w:val="single" w:color="auto" w:sz="4" w:space="0"/>
            </w:tcBorders>
            <w:noWrap w:val="0"/>
            <w:vAlign w:val="center"/>
          </w:tcPr>
          <w:p w14:paraId="4AF61E56">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1.开发地下水绿色阻控材料不少于2种，实现典型污染物的阻控率达到95%以上。</w:t>
            </w:r>
          </w:p>
          <w:p w14:paraId="535C2643">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2.建立地下水污染监测方法1套，识别风险管控关键制约因素。</w:t>
            </w:r>
          </w:p>
          <w:p w14:paraId="0ACA63F3">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3.明晰可在线测试关键理化参数与典型汽车场地特征污染物的协同变化规律，构建高效绿色风险管控技术体系。</w:t>
            </w:r>
          </w:p>
        </w:tc>
        <w:tc>
          <w:tcPr>
            <w:tcW w:w="3792" w:type="dxa"/>
            <w:tcBorders>
              <w:top w:val="single" w:color="auto" w:sz="4" w:space="0"/>
              <w:left w:val="single" w:color="auto" w:sz="4" w:space="0"/>
              <w:bottom w:val="single" w:color="auto" w:sz="4" w:space="0"/>
              <w:right w:val="single" w:color="auto" w:sz="4" w:space="0"/>
            </w:tcBorders>
            <w:noWrap w:val="0"/>
            <w:vAlign w:val="center"/>
          </w:tcPr>
          <w:p w14:paraId="101F03D9">
            <w:pPr>
              <w:autoSpaceDE w:val="0"/>
              <w:autoSpaceDN w:val="0"/>
              <w:adjustRightInd w:val="0"/>
              <w:snapToGrid w:val="0"/>
              <w:jc w:val="left"/>
              <w:rPr>
                <w:rFonts w:hint="eastAsia" w:ascii="宋体" w:hAnsi="宋体" w:eastAsia="宋体" w:cs="宋体"/>
                <w:kern w:val="0"/>
                <w:sz w:val="20"/>
                <w:szCs w:val="20"/>
              </w:rPr>
            </w:pPr>
            <w:r>
              <w:rPr>
                <w:rFonts w:hint="eastAsia" w:ascii="宋体" w:hAnsi="宋体" w:eastAsia="宋体" w:cs="宋体"/>
                <w:kern w:val="0"/>
                <w:sz w:val="20"/>
                <w:szCs w:val="20"/>
              </w:rPr>
              <w:t>开展了两种绿色阻控材料对氯代烃和苯系物的修复性能研究(建立了1套地下水监测方法)，探讨了不同条件下污染物的阻控效率(实现了对代烃和苯系物的阻控率高达95%以上)，揭示了污染物生物降解机制。</w:t>
            </w:r>
          </w:p>
        </w:tc>
      </w:tr>
    </w:tbl>
    <w:p w14:paraId="421A53AC">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2"/>
        <w:rPr>
          <w:rFonts w:hint="eastAsia" w:ascii="仿宋_GB2312"/>
          <w:sz w:val="32"/>
          <w:szCs w:val="32"/>
        </w:rPr>
      </w:pPr>
      <w:r>
        <w:rPr>
          <w:rFonts w:hint="eastAsia" w:ascii="仿宋_GB2312"/>
          <w:sz w:val="32"/>
          <w:szCs w:val="32"/>
        </w:rPr>
        <w:t>2.质量达标情况</w:t>
      </w:r>
    </w:p>
    <w:p w14:paraId="112368FC">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sz w:val="32"/>
          <w:szCs w:val="32"/>
        </w:rPr>
      </w:pPr>
      <w:r>
        <w:rPr>
          <w:rFonts w:hint="eastAsia" w:ascii="仿宋_GB2312"/>
          <w:sz w:val="32"/>
          <w:szCs w:val="32"/>
        </w:rPr>
        <w:t>根据项目单位提交的科技报告、专题报告、检测报告等资料，各项成果通过了项目单位内部验收。但项目研究偏重于减污，对降碳方面的研究不够细化，且在特征污染物检测及其迁移研究中偏重于污染物分析，迁移转化研究的内容较少，一定程度上影响了项目产出成果质量。</w:t>
      </w:r>
      <w:bookmarkStart w:id="39" w:name="_GoBack"/>
      <w:bookmarkEnd w:id="39"/>
    </w:p>
    <w:p w14:paraId="3BC9F978">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outlineLvl w:val="1"/>
        <w:rPr>
          <w:rFonts w:ascii="楷体_GB2312" w:hAnsi="宋体" w:eastAsia="楷体_GB2312" w:cs="宋体"/>
          <w:color w:val="000000"/>
          <w:kern w:val="0"/>
          <w:sz w:val="32"/>
          <w:szCs w:val="32"/>
        </w:rPr>
      </w:pPr>
      <w:bookmarkStart w:id="36" w:name="_Toc167040558"/>
      <w:r>
        <w:rPr>
          <w:rFonts w:hint="eastAsia" w:ascii="楷体_GB2312" w:hAnsi="宋体" w:eastAsia="楷体_GB2312" w:cs="宋体"/>
          <w:color w:val="000000"/>
          <w:kern w:val="0"/>
          <w:sz w:val="32"/>
          <w:szCs w:val="32"/>
        </w:rPr>
        <w:t>（四）项目效益情况</w:t>
      </w:r>
      <w:bookmarkEnd w:id="36"/>
    </w:p>
    <w:p w14:paraId="6DDCC255">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outlineLvl w:val="2"/>
        <w:rPr>
          <w:rFonts w:ascii="仿宋_GB2312" w:hAnsi="宋体" w:cs="宋体"/>
          <w:color w:val="000000"/>
          <w:kern w:val="0"/>
          <w:sz w:val="32"/>
          <w:szCs w:val="32"/>
        </w:rPr>
      </w:pPr>
      <w:r>
        <w:rPr>
          <w:rFonts w:hint="eastAsia" w:ascii="仿宋_GB2312" w:hAnsi="宋体" w:cs="宋体"/>
          <w:color w:val="000000"/>
          <w:kern w:val="0"/>
          <w:sz w:val="32"/>
          <w:szCs w:val="32"/>
        </w:rPr>
        <w:t>1</w:t>
      </w:r>
      <w:r>
        <w:rPr>
          <w:rFonts w:ascii="仿宋_GB2312" w:hAnsi="宋体" w:cs="宋体"/>
          <w:color w:val="000000"/>
          <w:kern w:val="0"/>
          <w:sz w:val="32"/>
          <w:szCs w:val="32"/>
        </w:rPr>
        <w:t>.</w:t>
      </w:r>
      <w:r>
        <w:rPr>
          <w:rFonts w:hint="eastAsia" w:ascii="仿宋_GB2312" w:hAnsi="宋体" w:cs="宋体"/>
          <w:color w:val="000000"/>
          <w:kern w:val="0"/>
          <w:sz w:val="32"/>
          <w:szCs w:val="32"/>
        </w:rPr>
        <w:t>成果转化应用情况</w:t>
      </w:r>
    </w:p>
    <w:p w14:paraId="7F49CEC7">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ascii="仿宋_GB2312" w:hAnsi="宋体" w:cs="宋体"/>
          <w:color w:val="000000"/>
          <w:kern w:val="0"/>
          <w:sz w:val="32"/>
          <w:szCs w:val="32"/>
        </w:rPr>
      </w:pPr>
      <w:r>
        <w:rPr>
          <w:rFonts w:hint="eastAsia" w:ascii="仿宋_GB2312" w:hAnsi="宋体" w:cs="宋体"/>
          <w:color w:val="000000"/>
          <w:kern w:val="0"/>
          <w:sz w:val="32"/>
          <w:szCs w:val="32"/>
        </w:rPr>
        <w:t>项目科研成果实现了以下转化应用：一是参与起草地方标准《清洁生产评价指标体系 汽车零部件及配件制造业》，建立了汽车零部件行业建立全链条评价体系，为汽车零部件制造企业提供了清洁生产量化标准，覆盖涂装、金属加工、树脂加工等核心工序，明确能耗、VOCs排放、资源利用率等关键指标，一定程度上推动企业对标改造,为政府审核清洁生产绩效提供支撑。二是项目成果应用于北京市污染源管理事务中心主导的“北京市新污染物环境信息统计调查项目”，支撑了包括汽柴油车整车制造、污水处理等10个行业的新污染物筛查工作。</w:t>
      </w:r>
      <w:r>
        <w:rPr>
          <w:rFonts w:hint="eastAsia" w:ascii="仿宋_GB2312" w:hAnsi="宋体" w:cs="宋体"/>
          <w:color w:val="000000"/>
          <w:kern w:val="0"/>
          <w:sz w:val="32"/>
          <w:szCs w:val="32"/>
          <w:highlight w:val="none"/>
        </w:rPr>
        <w:t>三是项目单位</w:t>
      </w:r>
      <w:r>
        <w:rPr>
          <w:rFonts w:hint="eastAsia" w:ascii="仿宋_GB2312" w:hAnsi="宋体" w:cs="宋体"/>
          <w:color w:val="000000"/>
          <w:kern w:val="0"/>
          <w:sz w:val="32"/>
          <w:szCs w:val="32"/>
          <w:highlight w:val="none"/>
          <w:lang w:eastAsia="zh-CN"/>
        </w:rPr>
        <w:t>与</w:t>
      </w:r>
      <w:r>
        <w:rPr>
          <w:rFonts w:hint="eastAsia" w:ascii="仿宋_GB2312" w:hAnsi="宋体" w:cs="宋体"/>
          <w:color w:val="000000"/>
          <w:kern w:val="0"/>
          <w:sz w:val="32"/>
          <w:szCs w:val="32"/>
          <w:highlight w:val="none"/>
          <w:lang w:val="en-US" w:eastAsia="zh-CN"/>
        </w:rPr>
        <w:t>2家汽车配套企业合作</w:t>
      </w:r>
      <w:r>
        <w:rPr>
          <w:rFonts w:hint="eastAsia" w:ascii="仿宋_GB2312" w:hAnsi="宋体" w:cs="宋体"/>
          <w:color w:val="000000"/>
          <w:kern w:val="0"/>
          <w:sz w:val="32"/>
          <w:szCs w:val="32"/>
        </w:rPr>
        <w:t>，通过技术转化直接服务企业减排需求。</w:t>
      </w:r>
    </w:p>
    <w:p w14:paraId="2C83DFEF">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_GB2312" w:hAnsi="宋体" w:cs="宋体"/>
          <w:color w:val="000000"/>
          <w:kern w:val="0"/>
          <w:sz w:val="32"/>
          <w:szCs w:val="32"/>
          <w:highlight w:val="none"/>
        </w:rPr>
      </w:pPr>
      <w:r>
        <w:rPr>
          <w:rFonts w:hint="eastAsia" w:ascii="仿宋_GB2312" w:hAnsi="宋体" w:cs="宋体"/>
          <w:color w:val="000000"/>
          <w:kern w:val="0"/>
          <w:sz w:val="32"/>
          <w:szCs w:val="32"/>
        </w:rPr>
        <w:t>但项目提出的脱脂废水电化学法预处理成套技术、电泳废水新型电化学预处理成套技术、基于高级氧化-膜分离法研发磷化废水有价资源回收及废水近零排放技术、电泳废气高级氧化法成套处理</w:t>
      </w:r>
      <w:r>
        <w:rPr>
          <w:rFonts w:hint="eastAsia" w:ascii="仿宋_GB2312" w:hAnsi="宋体" w:cs="宋体"/>
          <w:color w:val="000000"/>
          <w:kern w:val="0"/>
          <w:sz w:val="32"/>
          <w:szCs w:val="32"/>
          <w:highlight w:val="none"/>
        </w:rPr>
        <w:t>技术等技术转化及应用需进一步加强。</w:t>
      </w:r>
    </w:p>
    <w:p w14:paraId="09CFA773">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outlineLvl w:val="2"/>
        <w:rPr>
          <w:rFonts w:hint="eastAsia" w:ascii="仿宋_GB2312" w:hAnsi="宋体" w:cs="宋体"/>
          <w:color w:val="000000"/>
          <w:kern w:val="0"/>
          <w:sz w:val="32"/>
          <w:szCs w:val="32"/>
        </w:rPr>
      </w:pPr>
      <w:r>
        <w:rPr>
          <w:rFonts w:hint="eastAsia" w:ascii="仿宋_GB2312" w:hAnsi="宋体" w:cs="宋体"/>
          <w:color w:val="000000"/>
          <w:kern w:val="0"/>
          <w:sz w:val="32"/>
          <w:szCs w:val="32"/>
        </w:rPr>
        <w:t>2.人才培养及合作交流情况</w:t>
      </w:r>
    </w:p>
    <w:p w14:paraId="0B38ED5B">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_GB2312" w:hAnsi="宋体" w:cs="宋体"/>
          <w:color w:val="000000"/>
          <w:kern w:val="0"/>
          <w:sz w:val="32"/>
          <w:szCs w:val="32"/>
        </w:rPr>
      </w:pPr>
      <w:r>
        <w:rPr>
          <w:rFonts w:hint="eastAsia" w:ascii="仿宋_GB2312" w:hAnsi="宋体" w:cs="宋体"/>
          <w:color w:val="000000"/>
          <w:kern w:val="0"/>
          <w:sz w:val="32"/>
          <w:szCs w:val="32"/>
        </w:rPr>
        <w:t>项目通过课题研究培养了一批青年科研骨干，一定程度上为后续科研攻关与产业服务奠定了科研人才基础。项目实施期间，项目组成员2人晋升为研究员、1人晋升为副研究员、1人晋升为高级工程师。同时，基于该项目，项目单位共培养硕士研究生3名，项目组成员1人获评北京市科学技术研究院优秀青年人才，2人入选北科青年学者计划，1人入选北科萌芽计划并获得国家自然科学基金青年基金项目1项。</w:t>
      </w:r>
    </w:p>
    <w:p w14:paraId="7A5732D5">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0"/>
        <w:rPr>
          <w:rFonts w:ascii="黑体" w:hAnsi="黑体" w:eastAsia="黑体"/>
          <w:sz w:val="32"/>
          <w:szCs w:val="32"/>
        </w:rPr>
      </w:pPr>
      <w:bookmarkStart w:id="37" w:name="_Toc167040559"/>
      <w:r>
        <w:rPr>
          <w:rFonts w:hint="eastAsia" w:ascii="黑体" w:hAnsi="黑体" w:eastAsia="黑体"/>
          <w:sz w:val="32"/>
          <w:szCs w:val="32"/>
        </w:rPr>
        <w:t>五、</w:t>
      </w:r>
      <w:r>
        <w:rPr>
          <w:rFonts w:hint="eastAsia" w:ascii="黑体" w:hAnsi="黑体" w:eastAsia="黑体"/>
          <w:sz w:val="32"/>
          <w:szCs w:val="32"/>
          <w:lang w:val="en-US" w:eastAsia="zh-CN"/>
        </w:rPr>
        <w:t>主要经验及做法、</w:t>
      </w:r>
      <w:r>
        <w:rPr>
          <w:rFonts w:hint="eastAsia" w:ascii="黑体" w:hAnsi="黑体" w:eastAsia="黑体"/>
          <w:sz w:val="32"/>
          <w:szCs w:val="32"/>
        </w:rPr>
        <w:t>存在的问题及原因分析</w:t>
      </w:r>
      <w:bookmarkEnd w:id="37"/>
    </w:p>
    <w:p w14:paraId="76CCC1D1">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楷体_GB2312" w:hAnsi="宋体" w:eastAsia="楷体_GB2312" w:cs="宋体"/>
          <w:color w:val="000000"/>
          <w:kern w:val="0"/>
          <w:sz w:val="32"/>
          <w:szCs w:val="32"/>
          <w:highlight w:val="none"/>
        </w:rPr>
      </w:pPr>
      <w:r>
        <w:rPr>
          <w:rFonts w:hint="eastAsia" w:ascii="楷体_GB2312" w:hAnsi="宋体" w:eastAsia="楷体_GB2312" w:cs="宋体"/>
          <w:color w:val="000000"/>
          <w:kern w:val="0"/>
          <w:sz w:val="32"/>
          <w:szCs w:val="32"/>
          <w:highlight w:val="none"/>
        </w:rPr>
        <w:t>（一）项目总体规划不够完善，阶段性目标设置有待强化</w:t>
      </w:r>
    </w:p>
    <w:p w14:paraId="015A1F7E">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ascii="仿宋_GB2312" w:hAnsi="楷体" w:cs="楷体"/>
          <w:color w:val="000000"/>
          <w:sz w:val="32"/>
          <w:szCs w:val="32"/>
          <w:highlight w:val="none"/>
          <w:shd w:val="clear" w:color="auto" w:fill="FFFFFF"/>
        </w:rPr>
      </w:pPr>
      <w:r>
        <w:rPr>
          <w:rFonts w:hint="eastAsia" w:ascii="仿宋_GB2312" w:hAnsi="楷体" w:cs="楷体"/>
          <w:color w:val="000000"/>
          <w:sz w:val="32"/>
          <w:szCs w:val="32"/>
          <w:highlight w:val="none"/>
          <w:shd w:val="clear" w:color="auto" w:fill="FFFFFF"/>
        </w:rPr>
        <w:t>作为延续实施项目，项目整体层面缺少规划设计，总体目标不够明确，年度目标设定较为笼统，导致年度目标与总体目标的关联度不够清晰。如2024年年度目标未能有效衔接2023年已形成的基础数据积累及试点经验验证成果，导致2024年度任务起始点定位不够明确。</w:t>
      </w:r>
    </w:p>
    <w:p w14:paraId="03526861">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楷体_GB2312" w:hAnsi="宋体" w:eastAsia="楷体_GB2312" w:cs="宋体"/>
          <w:color w:val="000000"/>
          <w:kern w:val="0"/>
          <w:sz w:val="32"/>
          <w:szCs w:val="32"/>
          <w:highlight w:val="none"/>
        </w:rPr>
      </w:pPr>
      <w:r>
        <w:rPr>
          <w:rFonts w:hint="eastAsia" w:ascii="楷体_GB2312" w:hAnsi="宋体" w:eastAsia="楷体_GB2312" w:cs="宋体"/>
          <w:color w:val="000000"/>
          <w:kern w:val="0"/>
          <w:sz w:val="32"/>
          <w:szCs w:val="32"/>
          <w:highlight w:val="none"/>
        </w:rPr>
        <w:t>（二）绩效指标不够完善，指标设置有待加强</w:t>
      </w:r>
    </w:p>
    <w:p w14:paraId="2F5CCC66">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ascii="仿宋_GB2312" w:hAnsi="宋体" w:cs="宋体"/>
          <w:color w:val="000000"/>
          <w:kern w:val="0"/>
          <w:sz w:val="32"/>
          <w:szCs w:val="32"/>
          <w:highlight w:val="none"/>
        </w:rPr>
      </w:pPr>
      <w:r>
        <w:rPr>
          <w:rFonts w:hint="eastAsia" w:ascii="仿宋_GB2312" w:hAnsi="宋体" w:cs="宋体"/>
          <w:color w:val="000000"/>
          <w:kern w:val="0"/>
          <w:sz w:val="32"/>
          <w:szCs w:val="32"/>
          <w:highlight w:val="none"/>
        </w:rPr>
        <w:t>项目绩效指标设置不够完善，如“申请专利数量”应为数量指标，而非质量指标；《项目任务书》中“发明专利”的考核数量为3-4项，但绩效目标申报表中的绩效指标“申请专利”仅设置为“≥1项”，不够一致；质量指标实际完成指标和目标值差异较大；社会效益指标不够量化，指标可考核性不强。</w:t>
      </w:r>
    </w:p>
    <w:p w14:paraId="390ECB35">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楷体_GB2312" w:eastAsia="楷体_GB2312"/>
          <w:sz w:val="32"/>
          <w:szCs w:val="32"/>
          <w:highlight w:val="none"/>
        </w:rPr>
      </w:pPr>
      <w:r>
        <w:rPr>
          <w:rFonts w:hint="eastAsia" w:ascii="楷体_GB2312" w:eastAsia="楷体_GB2312"/>
          <w:sz w:val="32"/>
          <w:szCs w:val="32"/>
          <w:highlight w:val="none"/>
        </w:rPr>
        <w:t>（三）合同管理规范性不足，过程管理需进一步加强</w:t>
      </w:r>
    </w:p>
    <w:p w14:paraId="52BE7FA5">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cs="仿宋_GB2312"/>
          <w:sz w:val="32"/>
          <w:szCs w:val="32"/>
          <w:highlight w:val="none"/>
        </w:rPr>
      </w:pPr>
      <w:r>
        <w:rPr>
          <w:rFonts w:hint="eastAsia" w:ascii="仿宋_GB2312" w:hAnsi="仿宋_GB2312" w:cs="仿宋_GB2312"/>
          <w:sz w:val="32"/>
          <w:szCs w:val="32"/>
          <w:highlight w:val="none"/>
        </w:rPr>
        <w:t>项目过程管理存在以下不足：一是项目实施方案不够完善，缺少项目组织管理机构及人员安排、指标考核标准、验收机制、质量保障措施等内容，不利于指导项目整体实施。二是合同管理不够规范，如部分合同缺少甲方签订日期；合同约定付款条件为“合同签署后，甲方一次性支付”，不利于合同执行期间对服务供应商的履约约束。三是验收工作不到位，部分委托任务未严格按照合同约定开展验收工作。</w:t>
      </w:r>
    </w:p>
    <w:p w14:paraId="65CE168D">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楷体_GB2312" w:eastAsia="楷体_GB2312"/>
          <w:sz w:val="32"/>
          <w:szCs w:val="32"/>
          <w:highlight w:val="none"/>
        </w:rPr>
      </w:pPr>
      <w:r>
        <w:rPr>
          <w:rFonts w:hint="eastAsia" w:ascii="楷体_GB2312" w:eastAsia="楷体_GB2312"/>
          <w:sz w:val="32"/>
          <w:szCs w:val="32"/>
          <w:highlight w:val="none"/>
        </w:rPr>
        <w:t>（四）项目成果质量待提升，成果转化应用需加强</w:t>
      </w:r>
    </w:p>
    <w:p w14:paraId="070BF504">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cs="仿宋_GB2312"/>
          <w:sz w:val="32"/>
          <w:szCs w:val="32"/>
          <w:highlight w:val="none"/>
        </w:rPr>
      </w:pPr>
      <w:r>
        <w:rPr>
          <w:rFonts w:hint="eastAsia" w:ascii="仿宋_GB2312" w:hAnsi="仿宋_GB2312" w:cs="仿宋_GB2312"/>
          <w:sz w:val="32"/>
          <w:szCs w:val="32"/>
          <w:highlight w:val="none"/>
        </w:rPr>
        <w:t>项目主要聚焦“汽车制造业减污降碳关键技术集成与应用”开展相关研究，但现阶段研究重心更偏向“减污”领域，对“降碳”关键技术的系统性探索尚显不足，且在特征污染物检测及其迁移研究中偏重于污染物分析，迁移转化的研究内容较少。目前形成的</w:t>
      </w:r>
      <w:r>
        <w:rPr>
          <w:rFonts w:hint="eastAsia" w:ascii="仿宋_GB2312" w:hAnsi="宋体" w:cs="宋体"/>
          <w:color w:val="000000"/>
          <w:kern w:val="0"/>
          <w:sz w:val="32"/>
          <w:szCs w:val="32"/>
          <w:highlight w:val="none"/>
        </w:rPr>
        <w:t>技术成果转化应用需进一步加强。</w:t>
      </w:r>
    </w:p>
    <w:p w14:paraId="1B4B78B6">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0"/>
        <w:rPr>
          <w:rFonts w:hint="eastAsia" w:ascii="黑体" w:eastAsia="黑体"/>
          <w:sz w:val="32"/>
          <w:szCs w:val="32"/>
          <w:highlight w:val="none"/>
        </w:rPr>
      </w:pPr>
      <w:bookmarkStart w:id="38" w:name="_Toc167040560"/>
      <w:r>
        <w:rPr>
          <w:rFonts w:hint="eastAsia" w:ascii="黑体" w:eastAsia="黑体"/>
          <w:sz w:val="32"/>
          <w:szCs w:val="32"/>
          <w:highlight w:val="none"/>
        </w:rPr>
        <w:t>六、有关建议</w:t>
      </w:r>
      <w:bookmarkEnd w:id="38"/>
    </w:p>
    <w:p w14:paraId="7021A29E">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楷体_GB2312" w:eastAsia="楷体_GB2312"/>
          <w:sz w:val="32"/>
          <w:szCs w:val="32"/>
          <w:highlight w:val="none"/>
        </w:rPr>
      </w:pPr>
      <w:r>
        <w:rPr>
          <w:rFonts w:hint="eastAsia" w:ascii="楷体_GB2312" w:eastAsia="楷体_GB2312"/>
          <w:sz w:val="32"/>
          <w:szCs w:val="32"/>
          <w:highlight w:val="none"/>
        </w:rPr>
        <w:t>（一）加强项目顶层设计，明确项目阶段性目标</w:t>
      </w:r>
    </w:p>
    <w:p w14:paraId="1C5505D1">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ascii="仿宋_GB2312" w:hAnsi="楷体" w:cs="楷体"/>
          <w:color w:val="000000"/>
          <w:sz w:val="32"/>
          <w:szCs w:val="32"/>
          <w:highlight w:val="none"/>
          <w:shd w:val="clear" w:color="auto" w:fill="FFFFFF"/>
        </w:rPr>
      </w:pPr>
      <w:r>
        <w:rPr>
          <w:rFonts w:hint="eastAsia" w:ascii="仿宋_GB2312" w:hAnsi="宋体" w:cs="宋体"/>
          <w:kern w:val="0"/>
          <w:sz w:val="32"/>
          <w:szCs w:val="32"/>
          <w:highlight w:val="none"/>
        </w:rPr>
        <w:t>建议项目单位加强项目顶层设计，系统梳理项目总体目标和分阶段目标的逻辑关系，对于延续性科研项目，应</w:t>
      </w:r>
      <w:r>
        <w:rPr>
          <w:rFonts w:hint="eastAsia" w:ascii="仿宋_GB2312" w:hAnsi="楷体"/>
          <w:sz w:val="32"/>
          <w:szCs w:val="32"/>
          <w:highlight w:val="none"/>
          <w:shd w:val="clear" w:color="auto" w:fill="FFFFFF"/>
        </w:rPr>
        <w:t>准确界定各年度任务起点及与上一年度研究内容和成果的衔接情况，在此基础上明确各年度目标及量化的成果指标，</w:t>
      </w:r>
      <w:r>
        <w:rPr>
          <w:rFonts w:hint="eastAsia" w:ascii="仿宋_GB2312" w:hAnsi="楷体" w:cs="楷体"/>
          <w:color w:val="000000"/>
          <w:sz w:val="32"/>
          <w:szCs w:val="32"/>
          <w:highlight w:val="none"/>
          <w:shd w:val="clear" w:color="auto" w:fill="FFFFFF"/>
        </w:rPr>
        <w:t>为绩效评价提供考核依据。</w:t>
      </w:r>
    </w:p>
    <w:p w14:paraId="4591D5F7">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楷体_GB2312" w:eastAsia="楷体_GB2312"/>
          <w:sz w:val="32"/>
          <w:szCs w:val="32"/>
          <w:highlight w:val="none"/>
        </w:rPr>
      </w:pPr>
      <w:r>
        <w:rPr>
          <w:rFonts w:hint="eastAsia" w:ascii="楷体_GB2312" w:eastAsia="楷体_GB2312"/>
          <w:sz w:val="32"/>
          <w:szCs w:val="32"/>
          <w:highlight w:val="none"/>
        </w:rPr>
        <w:t>（二）树立绩效管理理念，合理设置绩效指标</w:t>
      </w:r>
    </w:p>
    <w:p w14:paraId="09B886F7">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宋体" w:cs="宋体"/>
          <w:kern w:val="0"/>
          <w:sz w:val="32"/>
          <w:szCs w:val="32"/>
          <w:highlight w:val="none"/>
        </w:rPr>
      </w:pPr>
      <w:r>
        <w:rPr>
          <w:rFonts w:hint="eastAsia" w:ascii="仿宋_GB2312" w:hAnsi="宋体" w:cs="宋体"/>
          <w:kern w:val="0"/>
          <w:sz w:val="32"/>
          <w:szCs w:val="32"/>
          <w:highlight w:val="none"/>
        </w:rPr>
        <w:t>建议项目单位树立绩效管理理念，加强对绩效指标内涵及设置要求的学习和理解，在后续年度填报绩效指标时，根据年度重点工作任务和内容，梳理项目主要产出和绩效，在此基础上，设置全面、准确、清晰、具有可考核性的绩效指标，并确保绩效指标设置与《项目任务书》考核指标的一致性，为后期绩效评价提供科学的考核标准和参照依据。</w:t>
      </w:r>
    </w:p>
    <w:p w14:paraId="3013F046">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楷体_GB2312" w:eastAsia="楷体_GB2312"/>
          <w:sz w:val="32"/>
          <w:szCs w:val="32"/>
          <w:highlight w:val="none"/>
        </w:rPr>
      </w:pPr>
      <w:r>
        <w:rPr>
          <w:rFonts w:hint="eastAsia" w:ascii="楷体_GB2312" w:eastAsia="楷体_GB2312"/>
          <w:sz w:val="32"/>
          <w:szCs w:val="32"/>
          <w:highlight w:val="none"/>
        </w:rPr>
        <w:t>（三）加强过程管控，提高项目管理水平</w:t>
      </w:r>
    </w:p>
    <w:p w14:paraId="5938D202">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hAnsi="宋体" w:cs="宋体"/>
          <w:kern w:val="0"/>
          <w:sz w:val="32"/>
          <w:szCs w:val="32"/>
          <w:highlight w:val="none"/>
        </w:rPr>
      </w:pPr>
      <w:r>
        <w:rPr>
          <w:rFonts w:hint="eastAsia" w:ascii="仿宋_GB2312" w:hAnsi="宋体" w:cs="宋体"/>
          <w:kern w:val="0"/>
          <w:sz w:val="32"/>
          <w:szCs w:val="32"/>
          <w:highlight w:val="none"/>
        </w:rPr>
        <w:t>建议项目单位从以下方面加强过程管理：一是完善项目实施方案，在项目总体方案中明确项目组织管理机构及人员安排、指标考核标准、验收机制、质量保障措施等内容，为项目开展提供有效指导。二是强化合同规范性管理,注重对合同关键要素的审核，增强合同的法律效力；优化合同支付条款，将支付进度与供应商履约情况挂钩，强化履约约束。三是加强验收管理，严格按照合同约定的验收节点开展验收工作，对延期验收项目需履行相关审批程序，提升项目过程管理的规范性。</w:t>
      </w:r>
    </w:p>
    <w:p w14:paraId="0892E3CB">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（四）进一步优化项目研究内容，强化科研成果转化及应用</w:t>
      </w:r>
    </w:p>
    <w:p w14:paraId="20BE88E1">
      <w:pPr>
        <w:keepNext w:val="0"/>
        <w:keepLines w:val="0"/>
        <w:pageBreakBefore w:val="0"/>
        <w:widowControl w:val="0"/>
        <w:tabs>
          <w:tab w:val="center" w:pos="4153"/>
          <w:tab w:val="right" w:pos="8306"/>
        </w:tabs>
        <w:kinsoku/>
        <w:wordWrap/>
        <w:overflowPunct/>
        <w:topLinePunct w:val="0"/>
        <w:bidi w:val="0"/>
        <w:adjustRightInd w:val="0"/>
        <w:snapToGrid w:val="0"/>
        <w:spacing w:line="560" w:lineRule="exact"/>
        <w:ind w:firstLine="640" w:firstLineChars="200"/>
        <w:textAlignment w:val="auto"/>
        <w:rPr>
          <w:rFonts w:hint="eastAsia" w:ascii="仿宋_GB2312" w:hAnsi="宋体" w:cs="宋体"/>
          <w:kern w:val="0"/>
          <w:sz w:val="32"/>
          <w:szCs w:val="32"/>
        </w:rPr>
      </w:pPr>
      <w:r>
        <w:rPr>
          <w:rFonts w:ascii="仿宋_GB2312" w:hAnsi="宋体" w:cs="宋体"/>
          <w:kern w:val="0"/>
          <w:sz w:val="32"/>
          <w:szCs w:val="32"/>
        </w:rPr>
        <w:t>建议</w:t>
      </w:r>
      <w:r>
        <w:rPr>
          <w:rFonts w:hint="eastAsia" w:ascii="仿宋_GB2312" w:hAnsi="宋体" w:cs="宋体"/>
          <w:kern w:val="0"/>
          <w:sz w:val="32"/>
          <w:szCs w:val="32"/>
        </w:rPr>
        <w:t>项目单位进一步优化项目研究内容，</w:t>
      </w:r>
      <w:r>
        <w:rPr>
          <w:rFonts w:ascii="仿宋_GB2312" w:hAnsi="宋体" w:cs="宋体"/>
          <w:kern w:val="0"/>
          <w:sz w:val="32"/>
          <w:szCs w:val="32"/>
        </w:rPr>
        <w:t>从汽车制造全产业链出发，构建“减污降碳”一体化研究框架</w:t>
      </w:r>
      <w:r>
        <w:rPr>
          <w:rFonts w:hint="eastAsia" w:ascii="仿宋_GB2312" w:hAnsi="宋体" w:cs="宋体"/>
          <w:kern w:val="0"/>
          <w:sz w:val="32"/>
          <w:szCs w:val="32"/>
        </w:rPr>
        <w:t>，细化减碳方面的相关研究，如VOCS治理所引起的碳排放问题。</w:t>
      </w:r>
      <w:r>
        <w:rPr>
          <w:rFonts w:ascii="仿宋_GB2312" w:hAnsi="宋体" w:cs="宋体"/>
          <w:kern w:val="0"/>
          <w:sz w:val="32"/>
          <w:szCs w:val="32"/>
        </w:rPr>
        <w:t>针对</w:t>
      </w:r>
      <w:r>
        <w:rPr>
          <w:rFonts w:hint="eastAsia" w:ascii="仿宋_GB2312" w:hAnsi="宋体" w:cs="宋体"/>
          <w:kern w:val="0"/>
          <w:sz w:val="32"/>
          <w:szCs w:val="32"/>
        </w:rPr>
        <w:t>特征</w:t>
      </w:r>
      <w:r>
        <w:rPr>
          <w:rFonts w:ascii="仿宋_GB2312" w:hAnsi="宋体" w:cs="宋体"/>
          <w:kern w:val="0"/>
          <w:sz w:val="32"/>
          <w:szCs w:val="32"/>
        </w:rPr>
        <w:t>污染物</w:t>
      </w:r>
      <w:r>
        <w:rPr>
          <w:rFonts w:hint="eastAsia" w:ascii="仿宋_GB2312" w:hAnsi="宋体" w:cs="宋体"/>
          <w:kern w:val="0"/>
          <w:sz w:val="32"/>
          <w:szCs w:val="32"/>
        </w:rPr>
        <w:t>研究</w:t>
      </w:r>
      <w:r>
        <w:rPr>
          <w:rFonts w:ascii="仿宋_GB2312" w:hAnsi="宋体" w:cs="宋体"/>
          <w:kern w:val="0"/>
          <w:sz w:val="32"/>
          <w:szCs w:val="32"/>
        </w:rPr>
        <w:t>，建议</w:t>
      </w:r>
      <w:r>
        <w:rPr>
          <w:rFonts w:hint="eastAsia" w:ascii="仿宋_GB2312" w:hAnsi="宋体" w:cs="宋体"/>
          <w:kern w:val="0"/>
          <w:sz w:val="32"/>
          <w:szCs w:val="32"/>
        </w:rPr>
        <w:t>项目单位</w:t>
      </w:r>
      <w:r>
        <w:rPr>
          <w:rFonts w:ascii="仿宋_GB2312" w:hAnsi="宋体" w:cs="宋体"/>
          <w:kern w:val="0"/>
          <w:sz w:val="32"/>
          <w:szCs w:val="32"/>
        </w:rPr>
        <w:t>以生命周期评价为原则，</w:t>
      </w:r>
      <w:r>
        <w:rPr>
          <w:rFonts w:hint="eastAsia" w:ascii="仿宋_GB2312" w:hAnsi="宋体" w:cs="宋体"/>
          <w:kern w:val="0"/>
          <w:sz w:val="32"/>
          <w:szCs w:val="32"/>
        </w:rPr>
        <w:t>开展</w:t>
      </w:r>
      <w:r>
        <w:rPr>
          <w:rFonts w:ascii="仿宋_GB2312" w:hAnsi="宋体" w:cs="宋体"/>
          <w:kern w:val="0"/>
          <w:sz w:val="32"/>
          <w:szCs w:val="32"/>
        </w:rPr>
        <w:t>迁移转化</w:t>
      </w:r>
      <w:r>
        <w:rPr>
          <w:rFonts w:hint="eastAsia" w:ascii="仿宋_GB2312" w:hAnsi="宋体" w:cs="宋体"/>
          <w:kern w:val="0"/>
          <w:sz w:val="32"/>
          <w:szCs w:val="32"/>
        </w:rPr>
        <w:t>研究，追踪污染物在水体、土壤、大气界面的动态迁移规律。此外，建议项目单位提前谋划，精准定位各项技术成果的应用对象、应用前景以及转化方式，并不断扩大应用范围，积累成果应用案例与数据，形成可复制、可推广的应用模式，不断提升项目的社会效应及可持续性。</w:t>
      </w:r>
    </w:p>
    <w:p w14:paraId="31A9FD40">
      <w:pPr>
        <w:keepNext w:val="0"/>
        <w:keepLines w:val="0"/>
        <w:pageBreakBefore w:val="0"/>
        <w:widowControl w:val="0"/>
        <w:numPr>
          <w:ilvl w:val="0"/>
          <w:numId w:val="3"/>
        </w:numPr>
        <w:kinsoku/>
        <w:wordWrap/>
        <w:overflowPunct/>
        <w:topLinePunct w:val="0"/>
        <w:bidi w:val="0"/>
        <w:adjustRightInd w:val="0"/>
        <w:snapToGrid w:val="0"/>
        <w:spacing w:line="560" w:lineRule="exact"/>
        <w:ind w:firstLine="640" w:firstLineChars="200"/>
        <w:textAlignment w:val="auto"/>
        <w:outlineLvl w:val="0"/>
        <w:rPr>
          <w:rFonts w:hint="eastAsia" w:ascii="黑体" w:eastAsia="黑体"/>
          <w:sz w:val="32"/>
          <w:szCs w:val="32"/>
          <w:highlight w:val="none"/>
          <w:lang w:val="en-US" w:eastAsia="zh-CN"/>
        </w:rPr>
      </w:pPr>
      <w:r>
        <w:rPr>
          <w:rFonts w:hint="eastAsia" w:ascii="黑体" w:eastAsia="黑体"/>
          <w:sz w:val="32"/>
          <w:szCs w:val="32"/>
          <w:highlight w:val="none"/>
          <w:lang w:val="en-US" w:eastAsia="zh-CN"/>
        </w:rPr>
        <w:t>其他需要说明的问题</w:t>
      </w:r>
    </w:p>
    <w:p w14:paraId="5D69D7EA">
      <w:pPr>
        <w:keepNext w:val="0"/>
        <w:keepLines w:val="0"/>
        <w:pageBreakBefore w:val="0"/>
        <w:widowControl w:val="0"/>
        <w:numPr>
          <w:ilvl w:val="0"/>
          <w:numId w:val="0"/>
        </w:numPr>
        <w:kinsoku/>
        <w:wordWrap/>
        <w:overflowPunct/>
        <w:topLinePunct w:val="0"/>
        <w:bidi w:val="0"/>
        <w:adjustRightInd w:val="0"/>
        <w:snapToGrid w:val="0"/>
        <w:spacing w:line="560" w:lineRule="exact"/>
        <w:textAlignment w:val="auto"/>
        <w:outlineLvl w:val="0"/>
        <w:rPr>
          <w:rFonts w:hint="default" w:ascii="仿宋_GB2312" w:hAnsi="宋体" w:cs="宋体"/>
          <w:kern w:val="0"/>
          <w:sz w:val="32"/>
          <w:szCs w:val="32"/>
          <w:lang w:val="en-US" w:eastAsia="zh-CN"/>
        </w:rPr>
      </w:pPr>
      <w:r>
        <w:rPr>
          <w:rFonts w:hint="eastAsia" w:ascii="黑体" w:eastAsia="黑体"/>
          <w:sz w:val="32"/>
          <w:szCs w:val="32"/>
          <w:highlight w:val="none"/>
          <w:lang w:val="en-US" w:eastAsia="zh-CN"/>
        </w:rPr>
        <w:t xml:space="preserve">   </w:t>
      </w:r>
      <w:r>
        <w:rPr>
          <w:rFonts w:hint="eastAsia" w:ascii="仿宋_GB2312" w:hAnsi="宋体" w:cs="宋体"/>
          <w:kern w:val="0"/>
          <w:sz w:val="32"/>
          <w:szCs w:val="32"/>
          <w:lang w:val="en-US" w:eastAsia="zh-CN"/>
        </w:rPr>
        <w:t xml:space="preserve"> 无</w:t>
      </w:r>
    </w:p>
    <w:p w14:paraId="06F6E02C">
      <w:pPr>
        <w:tabs>
          <w:tab w:val="center" w:pos="4153"/>
          <w:tab w:val="right" w:pos="8306"/>
        </w:tabs>
        <w:adjustRightInd w:val="0"/>
        <w:snapToGrid w:val="0"/>
        <w:spacing w:line="360" w:lineRule="auto"/>
        <w:rPr>
          <w:rFonts w:ascii="仿宋_GB2312" w:hAnsi="宋体" w:cs="宋体"/>
          <w:kern w:val="0"/>
          <w:sz w:val="32"/>
          <w:szCs w:val="32"/>
        </w:rPr>
      </w:pPr>
    </w:p>
    <w:p w14:paraId="022EC8C3">
      <w:pPr>
        <w:autoSpaceDE w:val="0"/>
        <w:autoSpaceDN w:val="0"/>
        <w:adjustRightInd w:val="0"/>
        <w:snapToGrid w:val="0"/>
        <w:spacing w:line="360" w:lineRule="auto"/>
        <w:ind w:left="640"/>
        <w:rPr>
          <w:rFonts w:hint="eastAsia" w:ascii="仿宋_GB2312"/>
          <w:kern w:val="0"/>
          <w:sz w:val="32"/>
          <w:szCs w:val="32"/>
        </w:rPr>
      </w:pPr>
      <w:r>
        <w:rPr>
          <w:rFonts w:hint="eastAsia" w:ascii="仿宋_GB2312"/>
          <w:sz w:val="32"/>
          <w:szCs w:val="32"/>
        </w:rPr>
        <w:t>附件：</w:t>
      </w:r>
      <w:r>
        <w:rPr>
          <w:rFonts w:hint="eastAsia" w:ascii="仿宋_GB2312"/>
          <w:kern w:val="0"/>
          <w:sz w:val="32"/>
          <w:szCs w:val="32"/>
        </w:rPr>
        <w:t>项目绩效评价指标体系及评分表</w:t>
      </w:r>
    </w:p>
    <w:p w14:paraId="083F748C">
      <w:pPr>
        <w:autoSpaceDE/>
        <w:autoSpaceDN/>
        <w:adjustRightInd/>
        <w:snapToGrid/>
        <w:spacing w:line="240" w:lineRule="auto"/>
        <w:ind w:left="0"/>
        <w:rPr>
          <w:rFonts w:hint="eastAsia" w:ascii="仿宋_GB2312"/>
          <w:kern w:val="0"/>
          <w:sz w:val="32"/>
          <w:szCs w:val="32"/>
        </w:rPr>
      </w:pPr>
      <w:r>
        <w:rPr>
          <w:rFonts w:hint="eastAsia" w:ascii="仿宋_GB2312"/>
          <w:kern w:val="0"/>
          <w:sz w:val="32"/>
          <w:szCs w:val="32"/>
        </w:rPr>
        <w:br w:type="page"/>
      </w:r>
    </w:p>
    <w:p w14:paraId="7E26773B">
      <w:pPr>
        <w:keepNext w:val="0"/>
        <w:keepLines w:val="0"/>
        <w:widowControl/>
        <w:suppressLineNumbers w:val="0"/>
        <w:jc w:val="both"/>
        <w:textAlignment w:val="center"/>
        <w:rPr>
          <w:rFonts w:hint="eastAsia" w:ascii="黑体" w:hAnsi="黑体" w:eastAsia="黑体" w:cs="黑体"/>
          <w:i w:val="0"/>
          <w:iCs w:val="0"/>
          <w:color w:val="000000"/>
          <w:kern w:val="0"/>
          <w:sz w:val="32"/>
          <w:szCs w:val="32"/>
          <w:u w:val="none"/>
          <w:lang w:val="en-US" w:eastAsia="zh-CN" w:bidi="ar"/>
        </w:rPr>
      </w:pPr>
      <w:r>
        <w:rPr>
          <w:rFonts w:hint="eastAsia" w:ascii="黑体" w:hAnsi="黑体" w:eastAsia="黑体" w:cs="黑体"/>
          <w:i w:val="0"/>
          <w:iCs w:val="0"/>
          <w:color w:val="000000"/>
          <w:kern w:val="0"/>
          <w:sz w:val="32"/>
          <w:szCs w:val="32"/>
          <w:u w:val="none"/>
          <w:lang w:val="en-US" w:eastAsia="zh-CN" w:bidi="ar"/>
        </w:rPr>
        <w:t>附件</w:t>
      </w:r>
    </w:p>
    <w:p w14:paraId="7070B61A">
      <w:pPr>
        <w:autoSpaceDE w:val="0"/>
        <w:autoSpaceDN w:val="0"/>
        <w:adjustRightInd w:val="0"/>
        <w:snapToGrid w:val="0"/>
        <w:spacing w:line="360" w:lineRule="auto"/>
        <w:ind w:left="0"/>
        <w:jc w:val="center"/>
        <w:rPr>
          <w:rFonts w:hint="eastAsia" w:ascii="仿宋_GB2312"/>
          <w:kern w:val="0"/>
          <w:sz w:val="32"/>
          <w:szCs w:val="32"/>
        </w:rPr>
      </w:pPr>
      <w:r>
        <w:rPr>
          <w:rFonts w:hint="eastAsia" w:ascii="华文中宋" w:hAnsi="华文中宋" w:eastAsia="华文中宋" w:cs="华文中宋"/>
          <w:i w:val="0"/>
          <w:iCs w:val="0"/>
          <w:color w:val="000000"/>
          <w:kern w:val="0"/>
          <w:sz w:val="36"/>
          <w:szCs w:val="36"/>
          <w:u w:val="none"/>
          <w:lang w:val="en-US" w:eastAsia="zh-CN" w:bidi="ar"/>
        </w:rPr>
        <w:t>项目绩效评价指标体系及打分表</w:t>
      </w:r>
    </w:p>
    <w:tbl>
      <w:tblPr>
        <w:tblStyle w:val="3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1"/>
        <w:gridCol w:w="852"/>
        <w:gridCol w:w="1247"/>
        <w:gridCol w:w="1051"/>
        <w:gridCol w:w="2742"/>
        <w:gridCol w:w="1060"/>
        <w:gridCol w:w="1057"/>
      </w:tblGrid>
      <w:tr w14:paraId="03C63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223D84">
            <w:pPr>
              <w:keepNext w:val="0"/>
              <w:keepLines w:val="0"/>
              <w:widowControl/>
              <w:suppressLineNumbers w:val="0"/>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指标</w:t>
            </w:r>
          </w:p>
        </w:tc>
        <w:tc>
          <w:tcPr>
            <w:tcW w:w="4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DE59D2">
            <w:pPr>
              <w:keepNext w:val="0"/>
              <w:keepLines w:val="0"/>
              <w:widowControl/>
              <w:suppressLineNumbers w:val="0"/>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6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4BBCDA">
            <w:pPr>
              <w:keepNext w:val="0"/>
              <w:keepLines w:val="0"/>
              <w:widowControl/>
              <w:suppressLineNumbers w:val="0"/>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指标</w:t>
            </w:r>
          </w:p>
        </w:tc>
        <w:tc>
          <w:tcPr>
            <w:tcW w:w="5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5637C8">
            <w:pPr>
              <w:keepNext w:val="0"/>
              <w:keepLines w:val="0"/>
              <w:widowControl/>
              <w:suppressLineNumbers w:val="0"/>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15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E8AB69">
            <w:pPr>
              <w:keepNext w:val="0"/>
              <w:keepLines w:val="0"/>
              <w:widowControl/>
              <w:suppressLineNumbers w:val="0"/>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58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42E797">
            <w:pPr>
              <w:keepNext w:val="0"/>
              <w:keepLines w:val="0"/>
              <w:widowControl/>
              <w:suppressLineNumbers w:val="0"/>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29F843">
            <w:pPr>
              <w:keepNext w:val="0"/>
              <w:keepLines w:val="0"/>
              <w:widowControl/>
              <w:suppressLineNumbers w:val="0"/>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r>
      <w:tr w14:paraId="77FB3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16DB3D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决策</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0B4E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1A35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项目立项</w:t>
            </w:r>
          </w:p>
        </w:tc>
        <w:tc>
          <w:tcPr>
            <w:tcW w:w="5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CBB7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64E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立项依据充分性</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ACD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8EE8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r>
      <w:tr w14:paraId="46016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178A0645">
            <w:pPr>
              <w:jc w:val="center"/>
              <w:rPr>
                <w:rFonts w:hint="eastAsia" w:ascii="宋体" w:hAnsi="宋体" w:eastAsia="宋体" w:cs="宋体"/>
                <w:i w:val="0"/>
                <w:iCs w:val="0"/>
                <w:color w:val="000000"/>
                <w:sz w:val="20"/>
                <w:szCs w:val="20"/>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32F3B0">
            <w:pPr>
              <w:jc w:val="center"/>
              <w:rPr>
                <w:rFonts w:hint="eastAsia" w:ascii="宋体" w:hAnsi="宋体" w:eastAsia="宋体" w:cs="宋体"/>
                <w:i w:val="0"/>
                <w:iCs w:val="0"/>
                <w:color w:val="000000"/>
                <w:sz w:val="20"/>
                <w:szCs w:val="20"/>
                <w:u w:val="none"/>
              </w:rPr>
            </w:pPr>
          </w:p>
        </w:tc>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8AB51">
            <w:pPr>
              <w:jc w:val="center"/>
              <w:rPr>
                <w:rFonts w:hint="eastAsia" w:ascii="宋体" w:hAnsi="宋体" w:eastAsia="宋体" w:cs="宋体"/>
                <w:i w:val="0"/>
                <w:iCs w:val="0"/>
                <w:color w:val="000000"/>
                <w:sz w:val="20"/>
                <w:szCs w:val="20"/>
                <w:u w:val="none"/>
              </w:rPr>
            </w:pPr>
          </w:p>
        </w:tc>
        <w:tc>
          <w:tcPr>
            <w:tcW w:w="5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3A674">
            <w:pPr>
              <w:jc w:val="center"/>
              <w:rPr>
                <w:rFonts w:hint="eastAsia" w:ascii="宋体" w:hAnsi="宋体" w:eastAsia="宋体" w:cs="宋体"/>
                <w:i w:val="0"/>
                <w:iCs w:val="0"/>
                <w:color w:val="000000"/>
                <w:sz w:val="20"/>
                <w:szCs w:val="20"/>
                <w:u w:val="none"/>
              </w:rPr>
            </w:pP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A3B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立项程序规范性</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536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A515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r>
      <w:tr w14:paraId="5509D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1A54CE1C">
            <w:pPr>
              <w:jc w:val="center"/>
              <w:rPr>
                <w:rFonts w:hint="eastAsia" w:ascii="宋体" w:hAnsi="宋体" w:eastAsia="宋体" w:cs="宋体"/>
                <w:i w:val="0"/>
                <w:iCs w:val="0"/>
                <w:color w:val="000000"/>
                <w:sz w:val="20"/>
                <w:szCs w:val="20"/>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B1B742">
            <w:pPr>
              <w:jc w:val="center"/>
              <w:rPr>
                <w:rFonts w:hint="eastAsia" w:ascii="宋体" w:hAnsi="宋体" w:eastAsia="宋体" w:cs="宋体"/>
                <w:i w:val="0"/>
                <w:iCs w:val="0"/>
                <w:color w:val="000000"/>
                <w:sz w:val="20"/>
                <w:szCs w:val="20"/>
                <w:u w:val="none"/>
              </w:rPr>
            </w:pPr>
          </w:p>
        </w:tc>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7619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w:t>
            </w:r>
          </w:p>
        </w:tc>
        <w:tc>
          <w:tcPr>
            <w:tcW w:w="5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50B0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DAF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绩效目标合理性</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E83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74EF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1.36 </w:t>
            </w:r>
          </w:p>
        </w:tc>
      </w:tr>
      <w:tr w14:paraId="71B76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5B084883">
            <w:pPr>
              <w:jc w:val="center"/>
              <w:rPr>
                <w:rFonts w:hint="eastAsia" w:ascii="宋体" w:hAnsi="宋体" w:eastAsia="宋体" w:cs="宋体"/>
                <w:i w:val="0"/>
                <w:iCs w:val="0"/>
                <w:color w:val="000000"/>
                <w:sz w:val="20"/>
                <w:szCs w:val="20"/>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6A5265">
            <w:pPr>
              <w:jc w:val="center"/>
              <w:rPr>
                <w:rFonts w:hint="eastAsia" w:ascii="宋体" w:hAnsi="宋体" w:eastAsia="宋体" w:cs="宋体"/>
                <w:i w:val="0"/>
                <w:iCs w:val="0"/>
                <w:color w:val="000000"/>
                <w:sz w:val="20"/>
                <w:szCs w:val="20"/>
                <w:u w:val="none"/>
              </w:rPr>
            </w:pPr>
          </w:p>
        </w:tc>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7355AB">
            <w:pPr>
              <w:jc w:val="center"/>
              <w:rPr>
                <w:rFonts w:hint="eastAsia" w:ascii="宋体" w:hAnsi="宋体" w:eastAsia="宋体" w:cs="宋体"/>
                <w:i w:val="0"/>
                <w:iCs w:val="0"/>
                <w:color w:val="000000"/>
                <w:sz w:val="20"/>
                <w:szCs w:val="20"/>
                <w:u w:val="none"/>
              </w:rPr>
            </w:pPr>
          </w:p>
        </w:tc>
        <w:tc>
          <w:tcPr>
            <w:tcW w:w="5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E0D03">
            <w:pPr>
              <w:jc w:val="center"/>
              <w:rPr>
                <w:rFonts w:hint="eastAsia" w:ascii="宋体" w:hAnsi="宋体" w:eastAsia="宋体" w:cs="宋体"/>
                <w:i w:val="0"/>
                <w:iCs w:val="0"/>
                <w:color w:val="000000"/>
                <w:sz w:val="20"/>
                <w:szCs w:val="20"/>
                <w:u w:val="none"/>
              </w:rPr>
            </w:pP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561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绩效指标明确性</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323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1F0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1.38 </w:t>
            </w:r>
          </w:p>
        </w:tc>
      </w:tr>
      <w:tr w14:paraId="5922C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42C987BE">
            <w:pPr>
              <w:jc w:val="center"/>
              <w:rPr>
                <w:rFonts w:hint="eastAsia" w:ascii="宋体" w:hAnsi="宋体" w:eastAsia="宋体" w:cs="宋体"/>
                <w:i w:val="0"/>
                <w:iCs w:val="0"/>
                <w:color w:val="000000"/>
                <w:sz w:val="20"/>
                <w:szCs w:val="20"/>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C546EE">
            <w:pPr>
              <w:jc w:val="center"/>
              <w:rPr>
                <w:rFonts w:hint="eastAsia" w:ascii="宋体" w:hAnsi="宋体" w:eastAsia="宋体" w:cs="宋体"/>
                <w:i w:val="0"/>
                <w:iCs w:val="0"/>
                <w:color w:val="000000"/>
                <w:sz w:val="20"/>
                <w:szCs w:val="20"/>
                <w:u w:val="none"/>
              </w:rPr>
            </w:pPr>
          </w:p>
        </w:tc>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FAAE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资金投入</w:t>
            </w:r>
          </w:p>
        </w:tc>
        <w:tc>
          <w:tcPr>
            <w:tcW w:w="5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6CD7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059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预算编制科学性</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B2B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270D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r>
      <w:tr w14:paraId="5715D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7635636C">
            <w:pPr>
              <w:jc w:val="center"/>
              <w:rPr>
                <w:rFonts w:hint="eastAsia" w:ascii="宋体" w:hAnsi="宋体" w:eastAsia="宋体" w:cs="宋体"/>
                <w:i w:val="0"/>
                <w:iCs w:val="0"/>
                <w:color w:val="000000"/>
                <w:sz w:val="20"/>
                <w:szCs w:val="20"/>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7D19DE">
            <w:pPr>
              <w:jc w:val="center"/>
              <w:rPr>
                <w:rFonts w:hint="eastAsia" w:ascii="宋体" w:hAnsi="宋体" w:eastAsia="宋体" w:cs="宋体"/>
                <w:i w:val="0"/>
                <w:iCs w:val="0"/>
                <w:color w:val="000000"/>
                <w:sz w:val="20"/>
                <w:szCs w:val="20"/>
                <w:u w:val="none"/>
              </w:rPr>
            </w:pPr>
          </w:p>
        </w:tc>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76FE0">
            <w:pPr>
              <w:jc w:val="center"/>
              <w:rPr>
                <w:rFonts w:hint="eastAsia" w:ascii="宋体" w:hAnsi="宋体" w:eastAsia="宋体" w:cs="宋体"/>
                <w:i w:val="0"/>
                <w:iCs w:val="0"/>
                <w:color w:val="000000"/>
                <w:sz w:val="20"/>
                <w:szCs w:val="20"/>
                <w:u w:val="none"/>
              </w:rPr>
            </w:pPr>
          </w:p>
        </w:tc>
        <w:tc>
          <w:tcPr>
            <w:tcW w:w="5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05379B">
            <w:pPr>
              <w:jc w:val="center"/>
              <w:rPr>
                <w:rFonts w:hint="eastAsia" w:ascii="宋体" w:hAnsi="宋体" w:eastAsia="宋体" w:cs="宋体"/>
                <w:i w:val="0"/>
                <w:iCs w:val="0"/>
                <w:color w:val="000000"/>
                <w:sz w:val="20"/>
                <w:szCs w:val="20"/>
                <w:u w:val="none"/>
              </w:rPr>
            </w:pP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40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资金分配合理性</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068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56B3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r>
      <w:tr w14:paraId="42669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303E90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过程</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DD86D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8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F2178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58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0CC34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B07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资金到位率</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6AC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A29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r>
      <w:tr w14:paraId="1313C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1E96918A">
            <w:pPr>
              <w:jc w:val="center"/>
              <w:rPr>
                <w:rFonts w:hint="eastAsia" w:ascii="宋体" w:hAnsi="宋体" w:eastAsia="宋体" w:cs="宋体"/>
                <w:i w:val="0"/>
                <w:iCs w:val="0"/>
                <w:color w:val="000000"/>
                <w:sz w:val="20"/>
                <w:szCs w:val="20"/>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178D1E">
            <w:pPr>
              <w:jc w:val="center"/>
              <w:rPr>
                <w:rFonts w:hint="eastAsia" w:ascii="宋体" w:hAnsi="宋体" w:eastAsia="宋体" w:cs="宋体"/>
                <w:i w:val="0"/>
                <w:iCs w:val="0"/>
                <w:color w:val="000000"/>
                <w:sz w:val="20"/>
                <w:szCs w:val="20"/>
                <w:u w:val="none"/>
              </w:rPr>
            </w:pPr>
          </w:p>
        </w:tc>
        <w:tc>
          <w:tcPr>
            <w:tcW w:w="68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D2CCD9">
            <w:pPr>
              <w:jc w:val="center"/>
              <w:rPr>
                <w:rFonts w:hint="eastAsia" w:ascii="宋体" w:hAnsi="宋体" w:eastAsia="宋体" w:cs="宋体"/>
                <w:i w:val="0"/>
                <w:iCs w:val="0"/>
                <w:color w:val="000000"/>
                <w:sz w:val="20"/>
                <w:szCs w:val="20"/>
                <w:u w:val="none"/>
              </w:rPr>
            </w:pPr>
          </w:p>
        </w:tc>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E99497">
            <w:pPr>
              <w:jc w:val="center"/>
              <w:rPr>
                <w:rFonts w:hint="eastAsia" w:ascii="宋体" w:hAnsi="宋体" w:eastAsia="宋体" w:cs="宋体"/>
                <w:i w:val="0"/>
                <w:iCs w:val="0"/>
                <w:color w:val="000000"/>
                <w:sz w:val="20"/>
                <w:szCs w:val="20"/>
                <w:u w:val="none"/>
              </w:rPr>
            </w:pP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40C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A9B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C13E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 </w:t>
            </w:r>
          </w:p>
        </w:tc>
      </w:tr>
      <w:tr w14:paraId="3455E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790C9C4A">
            <w:pPr>
              <w:jc w:val="center"/>
              <w:rPr>
                <w:rFonts w:hint="eastAsia" w:ascii="宋体" w:hAnsi="宋体" w:eastAsia="宋体" w:cs="宋体"/>
                <w:i w:val="0"/>
                <w:iCs w:val="0"/>
                <w:color w:val="000000"/>
                <w:sz w:val="20"/>
                <w:szCs w:val="20"/>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C4C69F">
            <w:pPr>
              <w:jc w:val="center"/>
              <w:rPr>
                <w:rFonts w:hint="eastAsia" w:ascii="宋体" w:hAnsi="宋体" w:eastAsia="宋体" w:cs="宋体"/>
                <w:i w:val="0"/>
                <w:iCs w:val="0"/>
                <w:color w:val="000000"/>
                <w:sz w:val="20"/>
                <w:szCs w:val="20"/>
                <w:u w:val="none"/>
              </w:rPr>
            </w:pPr>
          </w:p>
        </w:tc>
        <w:tc>
          <w:tcPr>
            <w:tcW w:w="68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70BF16">
            <w:pPr>
              <w:jc w:val="center"/>
              <w:rPr>
                <w:rFonts w:hint="eastAsia" w:ascii="宋体" w:hAnsi="宋体" w:eastAsia="宋体" w:cs="宋体"/>
                <w:i w:val="0"/>
                <w:iCs w:val="0"/>
                <w:color w:val="000000"/>
                <w:sz w:val="20"/>
                <w:szCs w:val="20"/>
                <w:u w:val="none"/>
              </w:rPr>
            </w:pPr>
          </w:p>
        </w:tc>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F863BD">
            <w:pPr>
              <w:jc w:val="center"/>
              <w:rPr>
                <w:rFonts w:hint="eastAsia" w:ascii="宋体" w:hAnsi="宋体" w:eastAsia="宋体" w:cs="宋体"/>
                <w:i w:val="0"/>
                <w:iCs w:val="0"/>
                <w:color w:val="000000"/>
                <w:sz w:val="20"/>
                <w:szCs w:val="20"/>
                <w:u w:val="none"/>
              </w:rPr>
            </w:pP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060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48A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2F6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1.86 </w:t>
            </w:r>
          </w:p>
        </w:tc>
      </w:tr>
      <w:tr w14:paraId="50801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275B78E6">
            <w:pPr>
              <w:jc w:val="center"/>
              <w:rPr>
                <w:rFonts w:hint="eastAsia" w:ascii="宋体" w:hAnsi="宋体" w:eastAsia="宋体" w:cs="宋体"/>
                <w:i w:val="0"/>
                <w:iCs w:val="0"/>
                <w:color w:val="000000"/>
                <w:sz w:val="20"/>
                <w:szCs w:val="20"/>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405F2E">
            <w:pPr>
              <w:jc w:val="center"/>
              <w:rPr>
                <w:rFonts w:hint="eastAsia" w:ascii="宋体" w:hAnsi="宋体" w:eastAsia="宋体" w:cs="宋体"/>
                <w:i w:val="0"/>
                <w:iCs w:val="0"/>
                <w:color w:val="000000"/>
                <w:sz w:val="20"/>
                <w:szCs w:val="20"/>
                <w:u w:val="none"/>
              </w:rPr>
            </w:pPr>
          </w:p>
        </w:tc>
        <w:tc>
          <w:tcPr>
            <w:tcW w:w="68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EE8EC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组织实施</w:t>
            </w:r>
          </w:p>
        </w:tc>
        <w:tc>
          <w:tcPr>
            <w:tcW w:w="58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02CC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5F0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管理制度健全性</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109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78E5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1.80 </w:t>
            </w:r>
          </w:p>
        </w:tc>
      </w:tr>
      <w:tr w14:paraId="7117A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0BD5AC41">
            <w:pPr>
              <w:jc w:val="center"/>
              <w:rPr>
                <w:rFonts w:hint="eastAsia" w:ascii="宋体" w:hAnsi="宋体" w:eastAsia="宋体" w:cs="宋体"/>
                <w:i w:val="0"/>
                <w:iCs w:val="0"/>
                <w:color w:val="000000"/>
                <w:sz w:val="20"/>
                <w:szCs w:val="20"/>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0AF7B7">
            <w:pPr>
              <w:jc w:val="center"/>
              <w:rPr>
                <w:rFonts w:hint="eastAsia" w:ascii="宋体" w:hAnsi="宋体" w:eastAsia="宋体" w:cs="宋体"/>
                <w:i w:val="0"/>
                <w:iCs w:val="0"/>
                <w:color w:val="000000"/>
                <w:sz w:val="20"/>
                <w:szCs w:val="20"/>
                <w:u w:val="none"/>
              </w:rPr>
            </w:pPr>
          </w:p>
        </w:tc>
        <w:tc>
          <w:tcPr>
            <w:tcW w:w="68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9DA96A">
            <w:pPr>
              <w:jc w:val="center"/>
              <w:rPr>
                <w:rFonts w:hint="eastAsia" w:ascii="宋体" w:hAnsi="宋体" w:eastAsia="宋体" w:cs="宋体"/>
                <w:i w:val="0"/>
                <w:iCs w:val="0"/>
                <w:color w:val="000000"/>
                <w:sz w:val="20"/>
                <w:szCs w:val="20"/>
                <w:u w:val="none"/>
              </w:rPr>
            </w:pPr>
          </w:p>
        </w:tc>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84DA8B">
            <w:pPr>
              <w:jc w:val="center"/>
              <w:rPr>
                <w:rFonts w:hint="eastAsia" w:ascii="宋体" w:hAnsi="宋体" w:eastAsia="宋体" w:cs="宋体"/>
                <w:i w:val="0"/>
                <w:iCs w:val="0"/>
                <w:color w:val="000000"/>
                <w:sz w:val="20"/>
                <w:szCs w:val="20"/>
                <w:u w:val="none"/>
              </w:rPr>
            </w:pP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22A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制度执行有效性</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D0F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1691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2.35 </w:t>
            </w:r>
          </w:p>
        </w:tc>
      </w:tr>
      <w:tr w14:paraId="1050A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40C816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4E182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6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B1FBD3">
            <w:pPr>
              <w:keepNext w:val="0"/>
              <w:keepLines w:val="0"/>
              <w:widowControl/>
              <w:suppressLineNumbers w:val="0"/>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产出数量及产出时效</w:t>
            </w:r>
          </w:p>
        </w:tc>
        <w:tc>
          <w:tcPr>
            <w:tcW w:w="5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07AC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2764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产出完成率</w:t>
            </w:r>
          </w:p>
        </w:tc>
        <w:tc>
          <w:tcPr>
            <w:tcW w:w="58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DAA1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0D7B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r>
      <w:tr w14:paraId="08822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7913BF6A">
            <w:pPr>
              <w:jc w:val="center"/>
              <w:rPr>
                <w:rFonts w:hint="eastAsia" w:ascii="宋体" w:hAnsi="宋体" w:eastAsia="宋体" w:cs="宋体"/>
                <w:i w:val="0"/>
                <w:iCs w:val="0"/>
                <w:color w:val="000000"/>
                <w:sz w:val="20"/>
                <w:szCs w:val="20"/>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5FA907">
            <w:pPr>
              <w:jc w:val="center"/>
              <w:rPr>
                <w:rFonts w:hint="eastAsia" w:ascii="宋体" w:hAnsi="宋体" w:eastAsia="宋体" w:cs="宋体"/>
                <w:i w:val="0"/>
                <w:iCs w:val="0"/>
                <w:color w:val="000000"/>
                <w:sz w:val="20"/>
                <w:szCs w:val="20"/>
                <w:u w:val="none"/>
              </w:rPr>
            </w:pPr>
          </w:p>
        </w:tc>
        <w:tc>
          <w:tcPr>
            <w:tcW w:w="6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4EA0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产出质量</w:t>
            </w:r>
          </w:p>
        </w:tc>
        <w:tc>
          <w:tcPr>
            <w:tcW w:w="5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B997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5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8E62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质量达标情况</w:t>
            </w:r>
          </w:p>
        </w:tc>
        <w:tc>
          <w:tcPr>
            <w:tcW w:w="58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F644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E020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22.29 </w:t>
            </w:r>
          </w:p>
        </w:tc>
      </w:tr>
      <w:tr w14:paraId="65B2C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2D43B0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8B045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68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54F56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项目效益</w:t>
            </w:r>
          </w:p>
        </w:tc>
        <w:tc>
          <w:tcPr>
            <w:tcW w:w="58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933AA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5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269B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产出效益</w:t>
            </w:r>
          </w:p>
        </w:tc>
        <w:tc>
          <w:tcPr>
            <w:tcW w:w="58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F315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AB61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18.29 </w:t>
            </w:r>
          </w:p>
        </w:tc>
      </w:tr>
      <w:tr w14:paraId="016DD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45A13D12">
            <w:pPr>
              <w:jc w:val="center"/>
              <w:rPr>
                <w:rFonts w:hint="eastAsia" w:ascii="宋体" w:hAnsi="宋体" w:eastAsia="宋体" w:cs="宋体"/>
                <w:i w:val="0"/>
                <w:iCs w:val="0"/>
                <w:color w:val="000000"/>
                <w:sz w:val="20"/>
                <w:szCs w:val="20"/>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12095A">
            <w:pPr>
              <w:jc w:val="center"/>
              <w:rPr>
                <w:rFonts w:hint="eastAsia" w:ascii="宋体" w:hAnsi="宋体" w:eastAsia="宋体" w:cs="宋体"/>
                <w:i w:val="0"/>
                <w:iCs w:val="0"/>
                <w:color w:val="000000"/>
                <w:sz w:val="20"/>
                <w:szCs w:val="20"/>
                <w:u w:val="none"/>
              </w:rPr>
            </w:pPr>
          </w:p>
        </w:tc>
        <w:tc>
          <w:tcPr>
            <w:tcW w:w="68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2292F9">
            <w:pPr>
              <w:jc w:val="center"/>
              <w:rPr>
                <w:rFonts w:hint="eastAsia" w:ascii="宋体" w:hAnsi="宋体" w:eastAsia="宋体" w:cs="宋体"/>
                <w:i w:val="0"/>
                <w:iCs w:val="0"/>
                <w:color w:val="000000"/>
                <w:sz w:val="20"/>
                <w:szCs w:val="20"/>
                <w:u w:val="none"/>
              </w:rPr>
            </w:pPr>
          </w:p>
        </w:tc>
        <w:tc>
          <w:tcPr>
            <w:tcW w:w="5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4F8E1B">
            <w:pPr>
              <w:jc w:val="center"/>
              <w:rPr>
                <w:rFonts w:hint="eastAsia" w:ascii="宋体" w:hAnsi="宋体" w:eastAsia="宋体" w:cs="宋体"/>
                <w:i w:val="0"/>
                <w:iCs w:val="0"/>
                <w:color w:val="000000"/>
                <w:sz w:val="20"/>
                <w:szCs w:val="20"/>
                <w:u w:val="none"/>
              </w:rPr>
            </w:pPr>
          </w:p>
        </w:tc>
        <w:tc>
          <w:tcPr>
            <w:tcW w:w="1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582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人才培养、合作交流情况</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A42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D541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4.50 </w:t>
            </w:r>
          </w:p>
        </w:tc>
      </w:tr>
      <w:tr w14:paraId="0299B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4416"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60D6D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5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7C2C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82.66 </w:t>
            </w:r>
          </w:p>
        </w:tc>
      </w:tr>
    </w:tbl>
    <w:p w14:paraId="7C9A4B2C">
      <w:pPr>
        <w:autoSpaceDE w:val="0"/>
        <w:autoSpaceDN w:val="0"/>
        <w:adjustRightInd w:val="0"/>
        <w:snapToGrid w:val="0"/>
        <w:spacing w:line="360" w:lineRule="auto"/>
        <w:ind w:left="640"/>
        <w:rPr>
          <w:rFonts w:hint="eastAsia" w:ascii="仿宋_GB2312"/>
          <w:kern w:val="0"/>
          <w:sz w:val="32"/>
          <w:szCs w:val="32"/>
        </w:rPr>
      </w:pPr>
    </w:p>
    <w:sectPr>
      <w:footerReference r:id="rId3" w:type="default"/>
      <w:pgSz w:w="11906" w:h="16838"/>
      <w:pgMar w:top="2098" w:right="1531" w:bottom="1985" w:left="1531" w:header="851" w:footer="992"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DejaVu Sans">
    <w:altName w:val="Segoe Print"/>
    <w:panose1 w:val="020B0603030804020204"/>
    <w:charset w:val="00"/>
    <w:family w:val="auto"/>
    <w:pitch w:val="default"/>
    <w:sig w:usb0="00000000" w:usb1="00000000" w:usb2="0A246029" w:usb3="0400200C" w:csb0="600001FF" w:csb1="DFFF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PingFang SC">
    <w:altName w:val="宋体"/>
    <w:panose1 w:val="020B0400000000000000"/>
    <w:charset w:val="86"/>
    <w:family w:val="auto"/>
    <w:pitch w:val="default"/>
    <w:sig w:usb0="00000000" w:usb1="00000000" w:usb2="00000017" w:usb3="00000000" w:csb0="00040001" w:csb1="00000000"/>
  </w:font>
  <w:font w:name="思源黑体">
    <w:altName w:val="黑体"/>
    <w:panose1 w:val="020B0500000000000000"/>
    <w:charset w:val="86"/>
    <w:family w:val="auto"/>
    <w:pitch w:val="default"/>
    <w:sig w:usb0="00000000" w:usb1="00000000" w:usb2="00000016" w:usb3="00000000" w:csb0="602E0107"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B3AB4">
    <w:pPr>
      <w:pStyle w:val="23"/>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10</w:t>
    </w:r>
    <w:r>
      <w:rPr>
        <w:rFonts w:ascii="宋体" w:hAnsi="宋体"/>
        <w:sz w:val="28"/>
        <w:szCs w:val="28"/>
      </w:rPr>
      <w:fldChar w:fldCharType="end"/>
    </w:r>
  </w:p>
  <w:p w14:paraId="1D00B798">
    <w:pPr>
      <w:pStyle w:val="23"/>
      <w:jc w:val="center"/>
      <w:rPr>
        <w:rFonts w:hint="eastAsia" w:ascii="宋体" w:hAnsi="宋体"/>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0C5567"/>
    <w:multiLevelType w:val="multilevel"/>
    <w:tmpl w:val="260C5567"/>
    <w:lvl w:ilvl="0" w:tentative="0">
      <w:start w:val="1"/>
      <w:numFmt w:val="decimal"/>
      <w:pStyle w:val="52"/>
      <w:lvlText w:val="（%1）"/>
      <w:lvlJc w:val="left"/>
      <w:pPr>
        <w:tabs>
          <w:tab w:val="left" w:pos="3750"/>
        </w:tabs>
        <w:ind w:left="3750" w:hanging="2250"/>
      </w:pPr>
      <w:rPr>
        <w:rFonts w:hint="eastAsia"/>
      </w:rPr>
    </w:lvl>
    <w:lvl w:ilvl="1" w:tentative="0">
      <w:start w:val="1"/>
      <w:numFmt w:val="lowerLetter"/>
      <w:lvlText w:val="%2)"/>
      <w:lvlJc w:val="left"/>
      <w:pPr>
        <w:tabs>
          <w:tab w:val="left" w:pos="2340"/>
        </w:tabs>
        <w:ind w:left="2340" w:hanging="420"/>
      </w:pPr>
    </w:lvl>
    <w:lvl w:ilvl="2" w:tentative="0">
      <w:start w:val="1"/>
      <w:numFmt w:val="lowerRoman"/>
      <w:lvlText w:val="%3."/>
      <w:lvlJc w:val="right"/>
      <w:pPr>
        <w:tabs>
          <w:tab w:val="left" w:pos="2760"/>
        </w:tabs>
        <w:ind w:left="2760" w:hanging="420"/>
      </w:pPr>
    </w:lvl>
    <w:lvl w:ilvl="3" w:tentative="0">
      <w:start w:val="1"/>
      <w:numFmt w:val="decimal"/>
      <w:lvlText w:val="%4."/>
      <w:lvlJc w:val="left"/>
      <w:pPr>
        <w:tabs>
          <w:tab w:val="left" w:pos="3180"/>
        </w:tabs>
        <w:ind w:left="3180" w:hanging="420"/>
      </w:pPr>
    </w:lvl>
    <w:lvl w:ilvl="4" w:tentative="0">
      <w:start w:val="1"/>
      <w:numFmt w:val="lowerLetter"/>
      <w:lvlText w:val="%5)"/>
      <w:lvlJc w:val="left"/>
      <w:pPr>
        <w:tabs>
          <w:tab w:val="left" w:pos="3600"/>
        </w:tabs>
        <w:ind w:left="3600" w:hanging="420"/>
      </w:pPr>
    </w:lvl>
    <w:lvl w:ilvl="5" w:tentative="0">
      <w:start w:val="1"/>
      <w:numFmt w:val="lowerRoman"/>
      <w:lvlText w:val="%6."/>
      <w:lvlJc w:val="right"/>
      <w:pPr>
        <w:tabs>
          <w:tab w:val="left" w:pos="4020"/>
        </w:tabs>
        <w:ind w:left="4020" w:hanging="420"/>
      </w:pPr>
    </w:lvl>
    <w:lvl w:ilvl="6" w:tentative="0">
      <w:start w:val="1"/>
      <w:numFmt w:val="decimal"/>
      <w:lvlText w:val="%7."/>
      <w:lvlJc w:val="left"/>
      <w:pPr>
        <w:tabs>
          <w:tab w:val="left" w:pos="4440"/>
        </w:tabs>
        <w:ind w:left="4440" w:hanging="420"/>
      </w:pPr>
    </w:lvl>
    <w:lvl w:ilvl="7" w:tentative="0">
      <w:start w:val="1"/>
      <w:numFmt w:val="lowerLetter"/>
      <w:lvlText w:val="%8)"/>
      <w:lvlJc w:val="left"/>
      <w:pPr>
        <w:tabs>
          <w:tab w:val="left" w:pos="4860"/>
        </w:tabs>
        <w:ind w:left="4860" w:hanging="420"/>
      </w:pPr>
    </w:lvl>
    <w:lvl w:ilvl="8" w:tentative="0">
      <w:start w:val="1"/>
      <w:numFmt w:val="lowerRoman"/>
      <w:lvlText w:val="%9."/>
      <w:lvlJc w:val="right"/>
      <w:pPr>
        <w:tabs>
          <w:tab w:val="left" w:pos="5280"/>
        </w:tabs>
        <w:ind w:left="5280" w:hanging="420"/>
      </w:pPr>
    </w:lvl>
  </w:abstractNum>
  <w:abstractNum w:abstractNumId="1">
    <w:nsid w:val="48AB1DF1"/>
    <w:multiLevelType w:val="singleLevel"/>
    <w:tmpl w:val="48AB1DF1"/>
    <w:lvl w:ilvl="0" w:tentative="0">
      <w:start w:val="7"/>
      <w:numFmt w:val="chineseCounting"/>
      <w:suff w:val="nothing"/>
      <w:lvlText w:val="%1、"/>
      <w:lvlJc w:val="left"/>
      <w:rPr>
        <w:rFonts w:hint="eastAsia"/>
      </w:rPr>
    </w:lvl>
  </w:abstractNum>
  <w:abstractNum w:abstractNumId="2">
    <w:nsid w:val="5A7E4ED1"/>
    <w:multiLevelType w:val="multilevel"/>
    <w:tmpl w:val="5A7E4ED1"/>
    <w:lvl w:ilvl="0" w:tentative="0">
      <w:start w:val="1"/>
      <w:numFmt w:val="bullet"/>
      <w:pStyle w:val="15"/>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50"/>
  <w:drawingGridVerticalSpacing w:val="21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hNDk2Y2Q0Nzk1N2RjNzEyMzkzM2FjYjRmMmExNzYifQ=="/>
  </w:docVars>
  <w:rsids>
    <w:rsidRoot w:val="00172A27"/>
    <w:rsid w:val="0000081C"/>
    <w:rsid w:val="0000098C"/>
    <w:rsid w:val="00001685"/>
    <w:rsid w:val="00001D0F"/>
    <w:rsid w:val="00002C5A"/>
    <w:rsid w:val="00002CC0"/>
    <w:rsid w:val="00003574"/>
    <w:rsid w:val="00004105"/>
    <w:rsid w:val="000047C5"/>
    <w:rsid w:val="00005706"/>
    <w:rsid w:val="000059F3"/>
    <w:rsid w:val="00005B90"/>
    <w:rsid w:val="00005FBC"/>
    <w:rsid w:val="000060E1"/>
    <w:rsid w:val="00006622"/>
    <w:rsid w:val="000072FC"/>
    <w:rsid w:val="00007E99"/>
    <w:rsid w:val="000101E1"/>
    <w:rsid w:val="0001077D"/>
    <w:rsid w:val="000128A5"/>
    <w:rsid w:val="00013124"/>
    <w:rsid w:val="0001370A"/>
    <w:rsid w:val="00013F58"/>
    <w:rsid w:val="0001492F"/>
    <w:rsid w:val="00016D27"/>
    <w:rsid w:val="000211B4"/>
    <w:rsid w:val="00021ED0"/>
    <w:rsid w:val="00023F0A"/>
    <w:rsid w:val="000242B0"/>
    <w:rsid w:val="00024F81"/>
    <w:rsid w:val="000257DC"/>
    <w:rsid w:val="00026558"/>
    <w:rsid w:val="00026686"/>
    <w:rsid w:val="0002730A"/>
    <w:rsid w:val="00027C84"/>
    <w:rsid w:val="00027FB9"/>
    <w:rsid w:val="00030FB0"/>
    <w:rsid w:val="00031D64"/>
    <w:rsid w:val="00031E7C"/>
    <w:rsid w:val="000333AA"/>
    <w:rsid w:val="00033551"/>
    <w:rsid w:val="00035EDA"/>
    <w:rsid w:val="00037010"/>
    <w:rsid w:val="00037320"/>
    <w:rsid w:val="00037C87"/>
    <w:rsid w:val="00040466"/>
    <w:rsid w:val="00042A17"/>
    <w:rsid w:val="00042B8E"/>
    <w:rsid w:val="00047DE4"/>
    <w:rsid w:val="0005121B"/>
    <w:rsid w:val="000519CA"/>
    <w:rsid w:val="00051DEE"/>
    <w:rsid w:val="000521C4"/>
    <w:rsid w:val="000529EB"/>
    <w:rsid w:val="00055497"/>
    <w:rsid w:val="00057194"/>
    <w:rsid w:val="00060645"/>
    <w:rsid w:val="000615D9"/>
    <w:rsid w:val="00061A43"/>
    <w:rsid w:val="00062E1B"/>
    <w:rsid w:val="00063332"/>
    <w:rsid w:val="000636F5"/>
    <w:rsid w:val="000637B3"/>
    <w:rsid w:val="000641CC"/>
    <w:rsid w:val="000647CD"/>
    <w:rsid w:val="000649BD"/>
    <w:rsid w:val="00065850"/>
    <w:rsid w:val="00065B6C"/>
    <w:rsid w:val="000705AA"/>
    <w:rsid w:val="0007065B"/>
    <w:rsid w:val="000723DA"/>
    <w:rsid w:val="00073192"/>
    <w:rsid w:val="00073591"/>
    <w:rsid w:val="00074CB8"/>
    <w:rsid w:val="00075187"/>
    <w:rsid w:val="0007527B"/>
    <w:rsid w:val="000765CA"/>
    <w:rsid w:val="000779AF"/>
    <w:rsid w:val="0008030C"/>
    <w:rsid w:val="000808E8"/>
    <w:rsid w:val="00080B2A"/>
    <w:rsid w:val="000821DD"/>
    <w:rsid w:val="000822D8"/>
    <w:rsid w:val="00082839"/>
    <w:rsid w:val="00082BFF"/>
    <w:rsid w:val="00084335"/>
    <w:rsid w:val="00084DE7"/>
    <w:rsid w:val="00084F54"/>
    <w:rsid w:val="000852F0"/>
    <w:rsid w:val="00085EDC"/>
    <w:rsid w:val="00086A59"/>
    <w:rsid w:val="0008763A"/>
    <w:rsid w:val="000905C5"/>
    <w:rsid w:val="00090D2D"/>
    <w:rsid w:val="0009145A"/>
    <w:rsid w:val="00091CD3"/>
    <w:rsid w:val="00091D75"/>
    <w:rsid w:val="00092357"/>
    <w:rsid w:val="000927BE"/>
    <w:rsid w:val="00094B7D"/>
    <w:rsid w:val="00097025"/>
    <w:rsid w:val="000971A3"/>
    <w:rsid w:val="00097420"/>
    <w:rsid w:val="00097547"/>
    <w:rsid w:val="00097B95"/>
    <w:rsid w:val="000A003D"/>
    <w:rsid w:val="000A15EE"/>
    <w:rsid w:val="000A1EFB"/>
    <w:rsid w:val="000A2BAF"/>
    <w:rsid w:val="000A44EB"/>
    <w:rsid w:val="000A6177"/>
    <w:rsid w:val="000A778A"/>
    <w:rsid w:val="000B023A"/>
    <w:rsid w:val="000B0673"/>
    <w:rsid w:val="000B1502"/>
    <w:rsid w:val="000B1B2D"/>
    <w:rsid w:val="000B1D16"/>
    <w:rsid w:val="000B1E3F"/>
    <w:rsid w:val="000B1E65"/>
    <w:rsid w:val="000B2E20"/>
    <w:rsid w:val="000B3377"/>
    <w:rsid w:val="000B3751"/>
    <w:rsid w:val="000B3A81"/>
    <w:rsid w:val="000B3FDF"/>
    <w:rsid w:val="000B495E"/>
    <w:rsid w:val="000B6D44"/>
    <w:rsid w:val="000B7F12"/>
    <w:rsid w:val="000C276F"/>
    <w:rsid w:val="000C2824"/>
    <w:rsid w:val="000C3C52"/>
    <w:rsid w:val="000C7F6C"/>
    <w:rsid w:val="000D05ED"/>
    <w:rsid w:val="000D0AFB"/>
    <w:rsid w:val="000D0E65"/>
    <w:rsid w:val="000D0F03"/>
    <w:rsid w:val="000D216C"/>
    <w:rsid w:val="000D24DE"/>
    <w:rsid w:val="000D552B"/>
    <w:rsid w:val="000D5CCD"/>
    <w:rsid w:val="000D5D6A"/>
    <w:rsid w:val="000D7576"/>
    <w:rsid w:val="000E01E0"/>
    <w:rsid w:val="000E0292"/>
    <w:rsid w:val="000E0787"/>
    <w:rsid w:val="000E0CCC"/>
    <w:rsid w:val="000E0D61"/>
    <w:rsid w:val="000E1239"/>
    <w:rsid w:val="000E638C"/>
    <w:rsid w:val="000E6C9F"/>
    <w:rsid w:val="000F0519"/>
    <w:rsid w:val="000F12F8"/>
    <w:rsid w:val="000F19C6"/>
    <w:rsid w:val="000F1CFA"/>
    <w:rsid w:val="000F201E"/>
    <w:rsid w:val="000F289D"/>
    <w:rsid w:val="000F3480"/>
    <w:rsid w:val="000F3C7E"/>
    <w:rsid w:val="000F50A8"/>
    <w:rsid w:val="000F580E"/>
    <w:rsid w:val="000F585B"/>
    <w:rsid w:val="000F665F"/>
    <w:rsid w:val="000F6975"/>
    <w:rsid w:val="000F71BE"/>
    <w:rsid w:val="001002B5"/>
    <w:rsid w:val="001003B7"/>
    <w:rsid w:val="00100979"/>
    <w:rsid w:val="00100CAC"/>
    <w:rsid w:val="00101AD8"/>
    <w:rsid w:val="00102429"/>
    <w:rsid w:val="0010259D"/>
    <w:rsid w:val="00102A23"/>
    <w:rsid w:val="00103333"/>
    <w:rsid w:val="00104049"/>
    <w:rsid w:val="00104634"/>
    <w:rsid w:val="001047E0"/>
    <w:rsid w:val="001067BC"/>
    <w:rsid w:val="0011037B"/>
    <w:rsid w:val="00110447"/>
    <w:rsid w:val="00111C5D"/>
    <w:rsid w:val="00112261"/>
    <w:rsid w:val="00112322"/>
    <w:rsid w:val="00112B25"/>
    <w:rsid w:val="00113A3E"/>
    <w:rsid w:val="001149FB"/>
    <w:rsid w:val="00114E58"/>
    <w:rsid w:val="00115148"/>
    <w:rsid w:val="00115220"/>
    <w:rsid w:val="00115CF4"/>
    <w:rsid w:val="0011618B"/>
    <w:rsid w:val="00116898"/>
    <w:rsid w:val="001201FE"/>
    <w:rsid w:val="001222AB"/>
    <w:rsid w:val="0012325D"/>
    <w:rsid w:val="00123E26"/>
    <w:rsid w:val="00124090"/>
    <w:rsid w:val="00124A59"/>
    <w:rsid w:val="00124EBD"/>
    <w:rsid w:val="0012577D"/>
    <w:rsid w:val="00125BBF"/>
    <w:rsid w:val="00125CAF"/>
    <w:rsid w:val="001260BB"/>
    <w:rsid w:val="00126129"/>
    <w:rsid w:val="00126800"/>
    <w:rsid w:val="0012698B"/>
    <w:rsid w:val="00126E51"/>
    <w:rsid w:val="00127EE9"/>
    <w:rsid w:val="00130BB0"/>
    <w:rsid w:val="00130F07"/>
    <w:rsid w:val="00131533"/>
    <w:rsid w:val="00131A76"/>
    <w:rsid w:val="001354FF"/>
    <w:rsid w:val="001361AF"/>
    <w:rsid w:val="001363F1"/>
    <w:rsid w:val="001401CA"/>
    <w:rsid w:val="00140B7C"/>
    <w:rsid w:val="00141648"/>
    <w:rsid w:val="00142ABB"/>
    <w:rsid w:val="00143698"/>
    <w:rsid w:val="00143930"/>
    <w:rsid w:val="001448FF"/>
    <w:rsid w:val="00145048"/>
    <w:rsid w:val="0014549C"/>
    <w:rsid w:val="00145FDE"/>
    <w:rsid w:val="0014617D"/>
    <w:rsid w:val="0014692E"/>
    <w:rsid w:val="00147809"/>
    <w:rsid w:val="00151066"/>
    <w:rsid w:val="00151DD8"/>
    <w:rsid w:val="0015228A"/>
    <w:rsid w:val="001527C4"/>
    <w:rsid w:val="0015345B"/>
    <w:rsid w:val="0015642C"/>
    <w:rsid w:val="001575AE"/>
    <w:rsid w:val="0016073D"/>
    <w:rsid w:val="00160B5D"/>
    <w:rsid w:val="00160E57"/>
    <w:rsid w:val="00162694"/>
    <w:rsid w:val="00162D38"/>
    <w:rsid w:val="001632C6"/>
    <w:rsid w:val="001639EF"/>
    <w:rsid w:val="00163EF5"/>
    <w:rsid w:val="00164992"/>
    <w:rsid w:val="0016634C"/>
    <w:rsid w:val="00166706"/>
    <w:rsid w:val="001667CE"/>
    <w:rsid w:val="001669B2"/>
    <w:rsid w:val="00166E17"/>
    <w:rsid w:val="001707B8"/>
    <w:rsid w:val="001708CE"/>
    <w:rsid w:val="001708F9"/>
    <w:rsid w:val="001712FD"/>
    <w:rsid w:val="00172BBC"/>
    <w:rsid w:val="0017377A"/>
    <w:rsid w:val="0017546F"/>
    <w:rsid w:val="00175AB9"/>
    <w:rsid w:val="001764EB"/>
    <w:rsid w:val="00176617"/>
    <w:rsid w:val="00176961"/>
    <w:rsid w:val="00177D79"/>
    <w:rsid w:val="00181CDC"/>
    <w:rsid w:val="00181E0A"/>
    <w:rsid w:val="00182259"/>
    <w:rsid w:val="00182608"/>
    <w:rsid w:val="00182A2C"/>
    <w:rsid w:val="00182B50"/>
    <w:rsid w:val="00182BB3"/>
    <w:rsid w:val="00182DE9"/>
    <w:rsid w:val="0018352F"/>
    <w:rsid w:val="00187351"/>
    <w:rsid w:val="0018760B"/>
    <w:rsid w:val="001878CD"/>
    <w:rsid w:val="00190D85"/>
    <w:rsid w:val="00191052"/>
    <w:rsid w:val="00192276"/>
    <w:rsid w:val="0019231A"/>
    <w:rsid w:val="0019254C"/>
    <w:rsid w:val="00194BD7"/>
    <w:rsid w:val="00195BAA"/>
    <w:rsid w:val="00195EED"/>
    <w:rsid w:val="00196157"/>
    <w:rsid w:val="00196ABC"/>
    <w:rsid w:val="00196AD7"/>
    <w:rsid w:val="001970BB"/>
    <w:rsid w:val="00197372"/>
    <w:rsid w:val="001A0223"/>
    <w:rsid w:val="001A26E7"/>
    <w:rsid w:val="001A2F3D"/>
    <w:rsid w:val="001A42EB"/>
    <w:rsid w:val="001A65ED"/>
    <w:rsid w:val="001A7E63"/>
    <w:rsid w:val="001B07F5"/>
    <w:rsid w:val="001B3792"/>
    <w:rsid w:val="001B49A2"/>
    <w:rsid w:val="001B555C"/>
    <w:rsid w:val="001B5D8C"/>
    <w:rsid w:val="001B74A9"/>
    <w:rsid w:val="001C000B"/>
    <w:rsid w:val="001C0B2C"/>
    <w:rsid w:val="001C10C1"/>
    <w:rsid w:val="001C21E1"/>
    <w:rsid w:val="001C2862"/>
    <w:rsid w:val="001C2E64"/>
    <w:rsid w:val="001C38E9"/>
    <w:rsid w:val="001C5C39"/>
    <w:rsid w:val="001C607A"/>
    <w:rsid w:val="001C7165"/>
    <w:rsid w:val="001C71C5"/>
    <w:rsid w:val="001D068A"/>
    <w:rsid w:val="001D103F"/>
    <w:rsid w:val="001D16BC"/>
    <w:rsid w:val="001D1A40"/>
    <w:rsid w:val="001D3D70"/>
    <w:rsid w:val="001D4FED"/>
    <w:rsid w:val="001D53A3"/>
    <w:rsid w:val="001D601D"/>
    <w:rsid w:val="001D6350"/>
    <w:rsid w:val="001E37AB"/>
    <w:rsid w:val="001E3998"/>
    <w:rsid w:val="001E4396"/>
    <w:rsid w:val="001E5E51"/>
    <w:rsid w:val="001E69A5"/>
    <w:rsid w:val="001E7C50"/>
    <w:rsid w:val="001F0828"/>
    <w:rsid w:val="001F0F70"/>
    <w:rsid w:val="001F107D"/>
    <w:rsid w:val="001F1A35"/>
    <w:rsid w:val="001F356B"/>
    <w:rsid w:val="001F5D8D"/>
    <w:rsid w:val="001F613B"/>
    <w:rsid w:val="002007D8"/>
    <w:rsid w:val="0020286F"/>
    <w:rsid w:val="002047F5"/>
    <w:rsid w:val="00205AEF"/>
    <w:rsid w:val="0021003B"/>
    <w:rsid w:val="00210055"/>
    <w:rsid w:val="00210A15"/>
    <w:rsid w:val="0021121A"/>
    <w:rsid w:val="002117C0"/>
    <w:rsid w:val="002124C1"/>
    <w:rsid w:val="00212636"/>
    <w:rsid w:val="00217292"/>
    <w:rsid w:val="00220909"/>
    <w:rsid w:val="00223625"/>
    <w:rsid w:val="00223745"/>
    <w:rsid w:val="00223EA9"/>
    <w:rsid w:val="0022412D"/>
    <w:rsid w:val="0022538B"/>
    <w:rsid w:val="002262AE"/>
    <w:rsid w:val="0022665E"/>
    <w:rsid w:val="00226700"/>
    <w:rsid w:val="002278FD"/>
    <w:rsid w:val="0023022D"/>
    <w:rsid w:val="00230FA6"/>
    <w:rsid w:val="00231957"/>
    <w:rsid w:val="002323CE"/>
    <w:rsid w:val="00232704"/>
    <w:rsid w:val="002328B0"/>
    <w:rsid w:val="00233E4B"/>
    <w:rsid w:val="00233F3B"/>
    <w:rsid w:val="002347CD"/>
    <w:rsid w:val="0023522F"/>
    <w:rsid w:val="0023529E"/>
    <w:rsid w:val="0023596B"/>
    <w:rsid w:val="002366F0"/>
    <w:rsid w:val="00236764"/>
    <w:rsid w:val="00241D6A"/>
    <w:rsid w:val="00242DBF"/>
    <w:rsid w:val="00242E89"/>
    <w:rsid w:val="0024328C"/>
    <w:rsid w:val="00243A12"/>
    <w:rsid w:val="00244C2C"/>
    <w:rsid w:val="00245143"/>
    <w:rsid w:val="00245B2C"/>
    <w:rsid w:val="0024677E"/>
    <w:rsid w:val="00247B0F"/>
    <w:rsid w:val="00247D56"/>
    <w:rsid w:val="0025066C"/>
    <w:rsid w:val="00250954"/>
    <w:rsid w:val="0025226A"/>
    <w:rsid w:val="00252A56"/>
    <w:rsid w:val="00252F05"/>
    <w:rsid w:val="0025370D"/>
    <w:rsid w:val="00254270"/>
    <w:rsid w:val="00254AAD"/>
    <w:rsid w:val="00255B92"/>
    <w:rsid w:val="002560D2"/>
    <w:rsid w:val="00256E14"/>
    <w:rsid w:val="0025739D"/>
    <w:rsid w:val="0026014C"/>
    <w:rsid w:val="00262D13"/>
    <w:rsid w:val="00264050"/>
    <w:rsid w:val="00265E19"/>
    <w:rsid w:val="002661EF"/>
    <w:rsid w:val="002700B9"/>
    <w:rsid w:val="00270954"/>
    <w:rsid w:val="002715BD"/>
    <w:rsid w:val="00271611"/>
    <w:rsid w:val="00273432"/>
    <w:rsid w:val="00273E33"/>
    <w:rsid w:val="002756A8"/>
    <w:rsid w:val="00275B67"/>
    <w:rsid w:val="0027670C"/>
    <w:rsid w:val="00277D6C"/>
    <w:rsid w:val="00277FED"/>
    <w:rsid w:val="00280015"/>
    <w:rsid w:val="002805AE"/>
    <w:rsid w:val="00280A74"/>
    <w:rsid w:val="00280CF7"/>
    <w:rsid w:val="002811A6"/>
    <w:rsid w:val="00281550"/>
    <w:rsid w:val="00282E8F"/>
    <w:rsid w:val="0028312F"/>
    <w:rsid w:val="00285A07"/>
    <w:rsid w:val="002878BF"/>
    <w:rsid w:val="00290309"/>
    <w:rsid w:val="0029035B"/>
    <w:rsid w:val="00290C00"/>
    <w:rsid w:val="00291177"/>
    <w:rsid w:val="00291998"/>
    <w:rsid w:val="00291C8F"/>
    <w:rsid w:val="00292119"/>
    <w:rsid w:val="00293139"/>
    <w:rsid w:val="002937C5"/>
    <w:rsid w:val="00294CC6"/>
    <w:rsid w:val="002951BE"/>
    <w:rsid w:val="00295485"/>
    <w:rsid w:val="00295621"/>
    <w:rsid w:val="00295812"/>
    <w:rsid w:val="00296CBF"/>
    <w:rsid w:val="0029796B"/>
    <w:rsid w:val="002A010F"/>
    <w:rsid w:val="002A20F5"/>
    <w:rsid w:val="002A2243"/>
    <w:rsid w:val="002A2328"/>
    <w:rsid w:val="002A2E10"/>
    <w:rsid w:val="002A3048"/>
    <w:rsid w:val="002A3B95"/>
    <w:rsid w:val="002A6240"/>
    <w:rsid w:val="002B0C6A"/>
    <w:rsid w:val="002B2DDA"/>
    <w:rsid w:val="002B38AE"/>
    <w:rsid w:val="002B4734"/>
    <w:rsid w:val="002B572E"/>
    <w:rsid w:val="002B68C4"/>
    <w:rsid w:val="002B7534"/>
    <w:rsid w:val="002B7E44"/>
    <w:rsid w:val="002C094D"/>
    <w:rsid w:val="002C0B14"/>
    <w:rsid w:val="002C0D76"/>
    <w:rsid w:val="002C126E"/>
    <w:rsid w:val="002C234D"/>
    <w:rsid w:val="002C4155"/>
    <w:rsid w:val="002C50D9"/>
    <w:rsid w:val="002C56C6"/>
    <w:rsid w:val="002C6220"/>
    <w:rsid w:val="002C7186"/>
    <w:rsid w:val="002D020D"/>
    <w:rsid w:val="002D03BD"/>
    <w:rsid w:val="002D26C2"/>
    <w:rsid w:val="002D3C70"/>
    <w:rsid w:val="002E0948"/>
    <w:rsid w:val="002E1CC2"/>
    <w:rsid w:val="002E2E8D"/>
    <w:rsid w:val="002E36DD"/>
    <w:rsid w:val="002E4005"/>
    <w:rsid w:val="002E4A00"/>
    <w:rsid w:val="002E5704"/>
    <w:rsid w:val="002E571D"/>
    <w:rsid w:val="002E6844"/>
    <w:rsid w:val="002F00DB"/>
    <w:rsid w:val="002F01A5"/>
    <w:rsid w:val="002F179F"/>
    <w:rsid w:val="002F2CE3"/>
    <w:rsid w:val="002F43ED"/>
    <w:rsid w:val="002F440A"/>
    <w:rsid w:val="002F4805"/>
    <w:rsid w:val="002F4E10"/>
    <w:rsid w:val="002F5374"/>
    <w:rsid w:val="002F6464"/>
    <w:rsid w:val="002F67FF"/>
    <w:rsid w:val="002F6BBD"/>
    <w:rsid w:val="002F6F2A"/>
    <w:rsid w:val="002F7FAC"/>
    <w:rsid w:val="00300978"/>
    <w:rsid w:val="00300EFA"/>
    <w:rsid w:val="00302E10"/>
    <w:rsid w:val="003032D4"/>
    <w:rsid w:val="00304763"/>
    <w:rsid w:val="003047C4"/>
    <w:rsid w:val="00305057"/>
    <w:rsid w:val="0030546D"/>
    <w:rsid w:val="003059B8"/>
    <w:rsid w:val="00307AF9"/>
    <w:rsid w:val="00311E19"/>
    <w:rsid w:val="00312391"/>
    <w:rsid w:val="00312C8A"/>
    <w:rsid w:val="003138DE"/>
    <w:rsid w:val="00314833"/>
    <w:rsid w:val="0031487B"/>
    <w:rsid w:val="00315443"/>
    <w:rsid w:val="003161FC"/>
    <w:rsid w:val="00317636"/>
    <w:rsid w:val="00317940"/>
    <w:rsid w:val="00317B17"/>
    <w:rsid w:val="003201BA"/>
    <w:rsid w:val="0032152B"/>
    <w:rsid w:val="00322514"/>
    <w:rsid w:val="00322648"/>
    <w:rsid w:val="0032309A"/>
    <w:rsid w:val="00323189"/>
    <w:rsid w:val="00323AF2"/>
    <w:rsid w:val="00323E12"/>
    <w:rsid w:val="003240C7"/>
    <w:rsid w:val="00325B46"/>
    <w:rsid w:val="00325F64"/>
    <w:rsid w:val="003263B5"/>
    <w:rsid w:val="00326463"/>
    <w:rsid w:val="00326A8B"/>
    <w:rsid w:val="00330294"/>
    <w:rsid w:val="00331498"/>
    <w:rsid w:val="003314A2"/>
    <w:rsid w:val="00332D8F"/>
    <w:rsid w:val="003358C8"/>
    <w:rsid w:val="003361F4"/>
    <w:rsid w:val="00336A93"/>
    <w:rsid w:val="00337C60"/>
    <w:rsid w:val="003410EB"/>
    <w:rsid w:val="003413E0"/>
    <w:rsid w:val="00341602"/>
    <w:rsid w:val="00343645"/>
    <w:rsid w:val="00344765"/>
    <w:rsid w:val="00345731"/>
    <w:rsid w:val="00346259"/>
    <w:rsid w:val="00346C71"/>
    <w:rsid w:val="00346EAC"/>
    <w:rsid w:val="00351CE3"/>
    <w:rsid w:val="00354130"/>
    <w:rsid w:val="00354DA7"/>
    <w:rsid w:val="0035773F"/>
    <w:rsid w:val="003619FE"/>
    <w:rsid w:val="0036264B"/>
    <w:rsid w:val="003706F7"/>
    <w:rsid w:val="00370CDD"/>
    <w:rsid w:val="00371519"/>
    <w:rsid w:val="0037237E"/>
    <w:rsid w:val="00372511"/>
    <w:rsid w:val="0037256A"/>
    <w:rsid w:val="00372CFB"/>
    <w:rsid w:val="0037395B"/>
    <w:rsid w:val="00373F7F"/>
    <w:rsid w:val="00373F99"/>
    <w:rsid w:val="003751A1"/>
    <w:rsid w:val="00375EE8"/>
    <w:rsid w:val="00376489"/>
    <w:rsid w:val="00376DF5"/>
    <w:rsid w:val="003772CF"/>
    <w:rsid w:val="00377503"/>
    <w:rsid w:val="003779D1"/>
    <w:rsid w:val="00380BD5"/>
    <w:rsid w:val="00381A90"/>
    <w:rsid w:val="00381E7B"/>
    <w:rsid w:val="0038204B"/>
    <w:rsid w:val="003822EB"/>
    <w:rsid w:val="003837B3"/>
    <w:rsid w:val="0038427F"/>
    <w:rsid w:val="0038551C"/>
    <w:rsid w:val="00385891"/>
    <w:rsid w:val="00387806"/>
    <w:rsid w:val="00390814"/>
    <w:rsid w:val="00390E66"/>
    <w:rsid w:val="00391E18"/>
    <w:rsid w:val="003927E1"/>
    <w:rsid w:val="003929F6"/>
    <w:rsid w:val="00392B9C"/>
    <w:rsid w:val="00392F0E"/>
    <w:rsid w:val="0039321A"/>
    <w:rsid w:val="00393BAB"/>
    <w:rsid w:val="00393CEA"/>
    <w:rsid w:val="003942A7"/>
    <w:rsid w:val="003943D7"/>
    <w:rsid w:val="003944DD"/>
    <w:rsid w:val="00394EFF"/>
    <w:rsid w:val="0039518E"/>
    <w:rsid w:val="0039551F"/>
    <w:rsid w:val="0039560B"/>
    <w:rsid w:val="00395C83"/>
    <w:rsid w:val="003972DA"/>
    <w:rsid w:val="00397F36"/>
    <w:rsid w:val="003A23EC"/>
    <w:rsid w:val="003A316E"/>
    <w:rsid w:val="003A319C"/>
    <w:rsid w:val="003A4526"/>
    <w:rsid w:val="003A5778"/>
    <w:rsid w:val="003A5AE0"/>
    <w:rsid w:val="003A5D89"/>
    <w:rsid w:val="003A7540"/>
    <w:rsid w:val="003A7B8C"/>
    <w:rsid w:val="003B18BF"/>
    <w:rsid w:val="003B1CB7"/>
    <w:rsid w:val="003B31BD"/>
    <w:rsid w:val="003B3270"/>
    <w:rsid w:val="003B32BD"/>
    <w:rsid w:val="003B38A3"/>
    <w:rsid w:val="003B467D"/>
    <w:rsid w:val="003B6EB5"/>
    <w:rsid w:val="003C065B"/>
    <w:rsid w:val="003C0E3E"/>
    <w:rsid w:val="003C154B"/>
    <w:rsid w:val="003C1A4F"/>
    <w:rsid w:val="003C2A79"/>
    <w:rsid w:val="003C36F9"/>
    <w:rsid w:val="003C38CE"/>
    <w:rsid w:val="003C40A1"/>
    <w:rsid w:val="003C7880"/>
    <w:rsid w:val="003D0203"/>
    <w:rsid w:val="003D0B3A"/>
    <w:rsid w:val="003D0EA5"/>
    <w:rsid w:val="003D1A2C"/>
    <w:rsid w:val="003D3536"/>
    <w:rsid w:val="003D46AD"/>
    <w:rsid w:val="003D485B"/>
    <w:rsid w:val="003D4EDB"/>
    <w:rsid w:val="003E009B"/>
    <w:rsid w:val="003E0464"/>
    <w:rsid w:val="003E145F"/>
    <w:rsid w:val="003E1822"/>
    <w:rsid w:val="003E1F4C"/>
    <w:rsid w:val="003E27F1"/>
    <w:rsid w:val="003E31F3"/>
    <w:rsid w:val="003E3C49"/>
    <w:rsid w:val="003E4733"/>
    <w:rsid w:val="003E5502"/>
    <w:rsid w:val="003E63FF"/>
    <w:rsid w:val="003E7D3E"/>
    <w:rsid w:val="003E7DCC"/>
    <w:rsid w:val="003E7DFD"/>
    <w:rsid w:val="003F05B7"/>
    <w:rsid w:val="003F2D95"/>
    <w:rsid w:val="003F3565"/>
    <w:rsid w:val="003F3D4E"/>
    <w:rsid w:val="003F5503"/>
    <w:rsid w:val="003F5645"/>
    <w:rsid w:val="003F6358"/>
    <w:rsid w:val="003F6E0D"/>
    <w:rsid w:val="003F715E"/>
    <w:rsid w:val="003F7F38"/>
    <w:rsid w:val="004005AA"/>
    <w:rsid w:val="00400F60"/>
    <w:rsid w:val="004011B3"/>
    <w:rsid w:val="004025E6"/>
    <w:rsid w:val="00403345"/>
    <w:rsid w:val="004034BC"/>
    <w:rsid w:val="004034DE"/>
    <w:rsid w:val="004038E1"/>
    <w:rsid w:val="00404146"/>
    <w:rsid w:val="00404EAE"/>
    <w:rsid w:val="004050E0"/>
    <w:rsid w:val="004053B3"/>
    <w:rsid w:val="0040628A"/>
    <w:rsid w:val="00406FFF"/>
    <w:rsid w:val="0041097F"/>
    <w:rsid w:val="00410DB0"/>
    <w:rsid w:val="004115F0"/>
    <w:rsid w:val="004122AE"/>
    <w:rsid w:val="00413E22"/>
    <w:rsid w:val="00414F22"/>
    <w:rsid w:val="00415CAC"/>
    <w:rsid w:val="00416DD1"/>
    <w:rsid w:val="00416DDD"/>
    <w:rsid w:val="0041789F"/>
    <w:rsid w:val="00417FC8"/>
    <w:rsid w:val="0042020B"/>
    <w:rsid w:val="0042027C"/>
    <w:rsid w:val="004225B2"/>
    <w:rsid w:val="004226C4"/>
    <w:rsid w:val="00423604"/>
    <w:rsid w:val="00423EE3"/>
    <w:rsid w:val="00427116"/>
    <w:rsid w:val="004275A1"/>
    <w:rsid w:val="00430C74"/>
    <w:rsid w:val="00432673"/>
    <w:rsid w:val="00433D3A"/>
    <w:rsid w:val="00433FB4"/>
    <w:rsid w:val="00434B62"/>
    <w:rsid w:val="004356BA"/>
    <w:rsid w:val="00435AA5"/>
    <w:rsid w:val="00436D37"/>
    <w:rsid w:val="0043745A"/>
    <w:rsid w:val="00437FA6"/>
    <w:rsid w:val="00437FCA"/>
    <w:rsid w:val="0044033C"/>
    <w:rsid w:val="00442F8B"/>
    <w:rsid w:val="0044321D"/>
    <w:rsid w:val="004435FB"/>
    <w:rsid w:val="00444683"/>
    <w:rsid w:val="00444B61"/>
    <w:rsid w:val="00445ACC"/>
    <w:rsid w:val="0044692D"/>
    <w:rsid w:val="00446AE3"/>
    <w:rsid w:val="00446ED7"/>
    <w:rsid w:val="004515FF"/>
    <w:rsid w:val="00454812"/>
    <w:rsid w:val="00456947"/>
    <w:rsid w:val="00457BD5"/>
    <w:rsid w:val="00460870"/>
    <w:rsid w:val="00460C9B"/>
    <w:rsid w:val="00462CBC"/>
    <w:rsid w:val="00462F4C"/>
    <w:rsid w:val="004637D3"/>
    <w:rsid w:val="00463DFC"/>
    <w:rsid w:val="004663CD"/>
    <w:rsid w:val="00466776"/>
    <w:rsid w:val="00467191"/>
    <w:rsid w:val="00467DE7"/>
    <w:rsid w:val="00471D43"/>
    <w:rsid w:val="00472419"/>
    <w:rsid w:val="00473BB1"/>
    <w:rsid w:val="004744FC"/>
    <w:rsid w:val="00474910"/>
    <w:rsid w:val="00475619"/>
    <w:rsid w:val="00476136"/>
    <w:rsid w:val="004814E9"/>
    <w:rsid w:val="00482E8F"/>
    <w:rsid w:val="00483D18"/>
    <w:rsid w:val="004847F4"/>
    <w:rsid w:val="0048494C"/>
    <w:rsid w:val="00485D4A"/>
    <w:rsid w:val="00485D6D"/>
    <w:rsid w:val="00485F02"/>
    <w:rsid w:val="004879FC"/>
    <w:rsid w:val="00487A94"/>
    <w:rsid w:val="00490E54"/>
    <w:rsid w:val="0049102C"/>
    <w:rsid w:val="00492ABF"/>
    <w:rsid w:val="004930FB"/>
    <w:rsid w:val="00494FBD"/>
    <w:rsid w:val="0049526C"/>
    <w:rsid w:val="00495DCB"/>
    <w:rsid w:val="004A0F37"/>
    <w:rsid w:val="004A11B9"/>
    <w:rsid w:val="004A1482"/>
    <w:rsid w:val="004A14C3"/>
    <w:rsid w:val="004A1ABC"/>
    <w:rsid w:val="004A3D52"/>
    <w:rsid w:val="004A3FEB"/>
    <w:rsid w:val="004A402A"/>
    <w:rsid w:val="004A45B0"/>
    <w:rsid w:val="004A6EE3"/>
    <w:rsid w:val="004B0917"/>
    <w:rsid w:val="004B1586"/>
    <w:rsid w:val="004B208C"/>
    <w:rsid w:val="004B25B7"/>
    <w:rsid w:val="004B359B"/>
    <w:rsid w:val="004B3BC3"/>
    <w:rsid w:val="004B4FBA"/>
    <w:rsid w:val="004B5462"/>
    <w:rsid w:val="004B5D01"/>
    <w:rsid w:val="004B6E95"/>
    <w:rsid w:val="004B754D"/>
    <w:rsid w:val="004C0072"/>
    <w:rsid w:val="004C0610"/>
    <w:rsid w:val="004C0A81"/>
    <w:rsid w:val="004C115E"/>
    <w:rsid w:val="004C1242"/>
    <w:rsid w:val="004C2F70"/>
    <w:rsid w:val="004C340D"/>
    <w:rsid w:val="004C3790"/>
    <w:rsid w:val="004C4870"/>
    <w:rsid w:val="004C6980"/>
    <w:rsid w:val="004C6CD6"/>
    <w:rsid w:val="004C6FED"/>
    <w:rsid w:val="004C7442"/>
    <w:rsid w:val="004D054A"/>
    <w:rsid w:val="004D0648"/>
    <w:rsid w:val="004D0C8C"/>
    <w:rsid w:val="004D0E5B"/>
    <w:rsid w:val="004D1FDA"/>
    <w:rsid w:val="004D231A"/>
    <w:rsid w:val="004D36F9"/>
    <w:rsid w:val="004D3D46"/>
    <w:rsid w:val="004D44BB"/>
    <w:rsid w:val="004D4A97"/>
    <w:rsid w:val="004D50F1"/>
    <w:rsid w:val="004D6784"/>
    <w:rsid w:val="004D6801"/>
    <w:rsid w:val="004D7CDF"/>
    <w:rsid w:val="004D7D2B"/>
    <w:rsid w:val="004E17B8"/>
    <w:rsid w:val="004E2939"/>
    <w:rsid w:val="004E2981"/>
    <w:rsid w:val="004E30BD"/>
    <w:rsid w:val="004E34DC"/>
    <w:rsid w:val="004E420C"/>
    <w:rsid w:val="004E6652"/>
    <w:rsid w:val="004E6C99"/>
    <w:rsid w:val="004E742F"/>
    <w:rsid w:val="004F1770"/>
    <w:rsid w:val="004F34AF"/>
    <w:rsid w:val="004F3E80"/>
    <w:rsid w:val="004F460B"/>
    <w:rsid w:val="004F477F"/>
    <w:rsid w:val="004F7940"/>
    <w:rsid w:val="00500623"/>
    <w:rsid w:val="00501CB8"/>
    <w:rsid w:val="0050393B"/>
    <w:rsid w:val="00503BAA"/>
    <w:rsid w:val="00507649"/>
    <w:rsid w:val="0051020C"/>
    <w:rsid w:val="00511412"/>
    <w:rsid w:val="00512528"/>
    <w:rsid w:val="005129AE"/>
    <w:rsid w:val="00514C41"/>
    <w:rsid w:val="00517A6A"/>
    <w:rsid w:val="00517C1E"/>
    <w:rsid w:val="00521E66"/>
    <w:rsid w:val="0052386B"/>
    <w:rsid w:val="0052632C"/>
    <w:rsid w:val="0052656A"/>
    <w:rsid w:val="005316E7"/>
    <w:rsid w:val="00531C70"/>
    <w:rsid w:val="0053246D"/>
    <w:rsid w:val="005325B6"/>
    <w:rsid w:val="0053283B"/>
    <w:rsid w:val="00532A61"/>
    <w:rsid w:val="00532C1C"/>
    <w:rsid w:val="00534AE6"/>
    <w:rsid w:val="00534D0E"/>
    <w:rsid w:val="0053541C"/>
    <w:rsid w:val="00536628"/>
    <w:rsid w:val="00537785"/>
    <w:rsid w:val="00537F59"/>
    <w:rsid w:val="00540820"/>
    <w:rsid w:val="005410E1"/>
    <w:rsid w:val="005413C8"/>
    <w:rsid w:val="005428B5"/>
    <w:rsid w:val="00544BB6"/>
    <w:rsid w:val="00545D99"/>
    <w:rsid w:val="00546EA5"/>
    <w:rsid w:val="005473ED"/>
    <w:rsid w:val="00547EFF"/>
    <w:rsid w:val="00551D44"/>
    <w:rsid w:val="005524D3"/>
    <w:rsid w:val="0055339F"/>
    <w:rsid w:val="005535AE"/>
    <w:rsid w:val="005536DD"/>
    <w:rsid w:val="00553F7F"/>
    <w:rsid w:val="00555875"/>
    <w:rsid w:val="00556A91"/>
    <w:rsid w:val="00557CA4"/>
    <w:rsid w:val="00560013"/>
    <w:rsid w:val="00560219"/>
    <w:rsid w:val="00560F2B"/>
    <w:rsid w:val="00561990"/>
    <w:rsid w:val="00561CE0"/>
    <w:rsid w:val="0056253C"/>
    <w:rsid w:val="005625B6"/>
    <w:rsid w:val="0056339F"/>
    <w:rsid w:val="005646D1"/>
    <w:rsid w:val="00566905"/>
    <w:rsid w:val="00566A3C"/>
    <w:rsid w:val="005670F4"/>
    <w:rsid w:val="00567DE9"/>
    <w:rsid w:val="00570FE6"/>
    <w:rsid w:val="005710FF"/>
    <w:rsid w:val="005720A4"/>
    <w:rsid w:val="00572C78"/>
    <w:rsid w:val="0057397C"/>
    <w:rsid w:val="00573BC3"/>
    <w:rsid w:val="005744DE"/>
    <w:rsid w:val="005748FB"/>
    <w:rsid w:val="00574BAE"/>
    <w:rsid w:val="005815FA"/>
    <w:rsid w:val="005824FB"/>
    <w:rsid w:val="005827AA"/>
    <w:rsid w:val="0058289C"/>
    <w:rsid w:val="0058521A"/>
    <w:rsid w:val="005858E9"/>
    <w:rsid w:val="0058656D"/>
    <w:rsid w:val="00586CCA"/>
    <w:rsid w:val="005870C8"/>
    <w:rsid w:val="0059056A"/>
    <w:rsid w:val="00591A62"/>
    <w:rsid w:val="0059257A"/>
    <w:rsid w:val="0059334F"/>
    <w:rsid w:val="005950D4"/>
    <w:rsid w:val="00595A08"/>
    <w:rsid w:val="005967CB"/>
    <w:rsid w:val="0059765C"/>
    <w:rsid w:val="0059795A"/>
    <w:rsid w:val="005A1C2D"/>
    <w:rsid w:val="005A37EA"/>
    <w:rsid w:val="005A44E1"/>
    <w:rsid w:val="005A4AA0"/>
    <w:rsid w:val="005A51D8"/>
    <w:rsid w:val="005A7C32"/>
    <w:rsid w:val="005A7DD8"/>
    <w:rsid w:val="005B1500"/>
    <w:rsid w:val="005B1841"/>
    <w:rsid w:val="005B2143"/>
    <w:rsid w:val="005B2C1A"/>
    <w:rsid w:val="005B3574"/>
    <w:rsid w:val="005B4180"/>
    <w:rsid w:val="005B41F2"/>
    <w:rsid w:val="005B44FC"/>
    <w:rsid w:val="005B4DEA"/>
    <w:rsid w:val="005B4DF7"/>
    <w:rsid w:val="005B573B"/>
    <w:rsid w:val="005B5A88"/>
    <w:rsid w:val="005B5E75"/>
    <w:rsid w:val="005B662A"/>
    <w:rsid w:val="005B7811"/>
    <w:rsid w:val="005C032C"/>
    <w:rsid w:val="005C080F"/>
    <w:rsid w:val="005C2489"/>
    <w:rsid w:val="005C2622"/>
    <w:rsid w:val="005C3A40"/>
    <w:rsid w:val="005C48D6"/>
    <w:rsid w:val="005C51EC"/>
    <w:rsid w:val="005C5256"/>
    <w:rsid w:val="005C5FD4"/>
    <w:rsid w:val="005C7381"/>
    <w:rsid w:val="005C7D97"/>
    <w:rsid w:val="005D1C99"/>
    <w:rsid w:val="005D45BF"/>
    <w:rsid w:val="005D5917"/>
    <w:rsid w:val="005D59D7"/>
    <w:rsid w:val="005D5B73"/>
    <w:rsid w:val="005D5C8D"/>
    <w:rsid w:val="005D5F3D"/>
    <w:rsid w:val="005D7573"/>
    <w:rsid w:val="005E0605"/>
    <w:rsid w:val="005E231F"/>
    <w:rsid w:val="005E30B9"/>
    <w:rsid w:val="005E3135"/>
    <w:rsid w:val="005E33C2"/>
    <w:rsid w:val="005E4247"/>
    <w:rsid w:val="005E46FA"/>
    <w:rsid w:val="005E480E"/>
    <w:rsid w:val="005E51AD"/>
    <w:rsid w:val="005E5F26"/>
    <w:rsid w:val="005E7240"/>
    <w:rsid w:val="005E74A5"/>
    <w:rsid w:val="005E7717"/>
    <w:rsid w:val="005E78DA"/>
    <w:rsid w:val="005F30D7"/>
    <w:rsid w:val="005F6572"/>
    <w:rsid w:val="005F6F5F"/>
    <w:rsid w:val="005F6F8F"/>
    <w:rsid w:val="005F7674"/>
    <w:rsid w:val="006008FE"/>
    <w:rsid w:val="00601892"/>
    <w:rsid w:val="00601F9B"/>
    <w:rsid w:val="00602710"/>
    <w:rsid w:val="006028F6"/>
    <w:rsid w:val="00603E9C"/>
    <w:rsid w:val="006040BE"/>
    <w:rsid w:val="00604520"/>
    <w:rsid w:val="006045C4"/>
    <w:rsid w:val="00604BA7"/>
    <w:rsid w:val="00605316"/>
    <w:rsid w:val="0060577D"/>
    <w:rsid w:val="00607A68"/>
    <w:rsid w:val="00607DD9"/>
    <w:rsid w:val="006100BE"/>
    <w:rsid w:val="0061011D"/>
    <w:rsid w:val="006125D0"/>
    <w:rsid w:val="00612CA5"/>
    <w:rsid w:val="006134C2"/>
    <w:rsid w:val="00613D54"/>
    <w:rsid w:val="00615411"/>
    <w:rsid w:val="00615747"/>
    <w:rsid w:val="00616C75"/>
    <w:rsid w:val="006175A5"/>
    <w:rsid w:val="0062019F"/>
    <w:rsid w:val="00621059"/>
    <w:rsid w:val="00621431"/>
    <w:rsid w:val="00621BBB"/>
    <w:rsid w:val="00621BF0"/>
    <w:rsid w:val="00621D65"/>
    <w:rsid w:val="006239E4"/>
    <w:rsid w:val="006244BB"/>
    <w:rsid w:val="00625C47"/>
    <w:rsid w:val="00625EC0"/>
    <w:rsid w:val="00626374"/>
    <w:rsid w:val="006270BF"/>
    <w:rsid w:val="00627298"/>
    <w:rsid w:val="00627B91"/>
    <w:rsid w:val="00627FD5"/>
    <w:rsid w:val="006314DF"/>
    <w:rsid w:val="00631934"/>
    <w:rsid w:val="00631AF4"/>
    <w:rsid w:val="00632F49"/>
    <w:rsid w:val="00633BD1"/>
    <w:rsid w:val="00634EE1"/>
    <w:rsid w:val="00635CCC"/>
    <w:rsid w:val="006365F1"/>
    <w:rsid w:val="006376BC"/>
    <w:rsid w:val="006409F7"/>
    <w:rsid w:val="00642064"/>
    <w:rsid w:val="00643CE0"/>
    <w:rsid w:val="00644B1E"/>
    <w:rsid w:val="0064610F"/>
    <w:rsid w:val="00646CB1"/>
    <w:rsid w:val="006475F8"/>
    <w:rsid w:val="00647969"/>
    <w:rsid w:val="00650882"/>
    <w:rsid w:val="00651B70"/>
    <w:rsid w:val="0065566F"/>
    <w:rsid w:val="00656350"/>
    <w:rsid w:val="00657E79"/>
    <w:rsid w:val="00660A41"/>
    <w:rsid w:val="00660FEB"/>
    <w:rsid w:val="006612CA"/>
    <w:rsid w:val="006613BB"/>
    <w:rsid w:val="006623DA"/>
    <w:rsid w:val="0066273E"/>
    <w:rsid w:val="006630B6"/>
    <w:rsid w:val="0066319B"/>
    <w:rsid w:val="00663554"/>
    <w:rsid w:val="00663BD0"/>
    <w:rsid w:val="00663EC0"/>
    <w:rsid w:val="00664B3A"/>
    <w:rsid w:val="00664D90"/>
    <w:rsid w:val="00670FF5"/>
    <w:rsid w:val="00671A6B"/>
    <w:rsid w:val="00674210"/>
    <w:rsid w:val="006744EF"/>
    <w:rsid w:val="00677019"/>
    <w:rsid w:val="00680AF8"/>
    <w:rsid w:val="00682C54"/>
    <w:rsid w:val="00683413"/>
    <w:rsid w:val="00684249"/>
    <w:rsid w:val="00684267"/>
    <w:rsid w:val="00684803"/>
    <w:rsid w:val="00684C08"/>
    <w:rsid w:val="00684EC7"/>
    <w:rsid w:val="00685A40"/>
    <w:rsid w:val="00686B53"/>
    <w:rsid w:val="00686F1A"/>
    <w:rsid w:val="00690441"/>
    <w:rsid w:val="00690478"/>
    <w:rsid w:val="0069056F"/>
    <w:rsid w:val="00690C66"/>
    <w:rsid w:val="00690F4C"/>
    <w:rsid w:val="006924E2"/>
    <w:rsid w:val="0069253E"/>
    <w:rsid w:val="00692AB1"/>
    <w:rsid w:val="00696B1E"/>
    <w:rsid w:val="006A0B24"/>
    <w:rsid w:val="006A0EF2"/>
    <w:rsid w:val="006A183D"/>
    <w:rsid w:val="006A2366"/>
    <w:rsid w:val="006A2494"/>
    <w:rsid w:val="006A49AD"/>
    <w:rsid w:val="006A4C48"/>
    <w:rsid w:val="006A57EF"/>
    <w:rsid w:val="006A760D"/>
    <w:rsid w:val="006B0D29"/>
    <w:rsid w:val="006B214E"/>
    <w:rsid w:val="006B2205"/>
    <w:rsid w:val="006B3600"/>
    <w:rsid w:val="006B3C0E"/>
    <w:rsid w:val="006B50E3"/>
    <w:rsid w:val="006B6830"/>
    <w:rsid w:val="006B706A"/>
    <w:rsid w:val="006B7C94"/>
    <w:rsid w:val="006C28E7"/>
    <w:rsid w:val="006C2E3B"/>
    <w:rsid w:val="006C321B"/>
    <w:rsid w:val="006C36DA"/>
    <w:rsid w:val="006C4C87"/>
    <w:rsid w:val="006C5EF4"/>
    <w:rsid w:val="006C65AA"/>
    <w:rsid w:val="006C67E6"/>
    <w:rsid w:val="006C73CC"/>
    <w:rsid w:val="006C7D20"/>
    <w:rsid w:val="006C7D5A"/>
    <w:rsid w:val="006D1000"/>
    <w:rsid w:val="006D16FF"/>
    <w:rsid w:val="006D2511"/>
    <w:rsid w:val="006D2B5B"/>
    <w:rsid w:val="006D2D34"/>
    <w:rsid w:val="006D3206"/>
    <w:rsid w:val="006D3707"/>
    <w:rsid w:val="006D3BD9"/>
    <w:rsid w:val="006D3DEA"/>
    <w:rsid w:val="006D4AD3"/>
    <w:rsid w:val="006D5F79"/>
    <w:rsid w:val="006E0C00"/>
    <w:rsid w:val="006E25A7"/>
    <w:rsid w:val="006E32F5"/>
    <w:rsid w:val="006E370C"/>
    <w:rsid w:val="006E3D1A"/>
    <w:rsid w:val="006E446A"/>
    <w:rsid w:val="006E44DA"/>
    <w:rsid w:val="006E5366"/>
    <w:rsid w:val="006F0794"/>
    <w:rsid w:val="006F1774"/>
    <w:rsid w:val="006F29C8"/>
    <w:rsid w:val="006F3721"/>
    <w:rsid w:val="006F5BE8"/>
    <w:rsid w:val="006F5DF1"/>
    <w:rsid w:val="006F5EFC"/>
    <w:rsid w:val="006F71FA"/>
    <w:rsid w:val="00700A5B"/>
    <w:rsid w:val="00700EAB"/>
    <w:rsid w:val="00701EAD"/>
    <w:rsid w:val="00702874"/>
    <w:rsid w:val="00702B55"/>
    <w:rsid w:val="007030ED"/>
    <w:rsid w:val="00703B43"/>
    <w:rsid w:val="00704780"/>
    <w:rsid w:val="007059C0"/>
    <w:rsid w:val="00706580"/>
    <w:rsid w:val="00707FB3"/>
    <w:rsid w:val="0071166D"/>
    <w:rsid w:val="00711ECE"/>
    <w:rsid w:val="007123C7"/>
    <w:rsid w:val="0071373F"/>
    <w:rsid w:val="0071496B"/>
    <w:rsid w:val="007166FD"/>
    <w:rsid w:val="00716E2D"/>
    <w:rsid w:val="00717752"/>
    <w:rsid w:val="007203D9"/>
    <w:rsid w:val="00720F72"/>
    <w:rsid w:val="00720FC3"/>
    <w:rsid w:val="007216EA"/>
    <w:rsid w:val="00721F8D"/>
    <w:rsid w:val="00722793"/>
    <w:rsid w:val="00724635"/>
    <w:rsid w:val="00724DE8"/>
    <w:rsid w:val="00725787"/>
    <w:rsid w:val="00726267"/>
    <w:rsid w:val="007265BF"/>
    <w:rsid w:val="007278B2"/>
    <w:rsid w:val="00727EAB"/>
    <w:rsid w:val="00730030"/>
    <w:rsid w:val="007313E5"/>
    <w:rsid w:val="00731A1A"/>
    <w:rsid w:val="00731B5F"/>
    <w:rsid w:val="00734395"/>
    <w:rsid w:val="00734830"/>
    <w:rsid w:val="00735CC7"/>
    <w:rsid w:val="007365AB"/>
    <w:rsid w:val="007377BC"/>
    <w:rsid w:val="00740E50"/>
    <w:rsid w:val="007418B2"/>
    <w:rsid w:val="0074260E"/>
    <w:rsid w:val="00742A08"/>
    <w:rsid w:val="00746189"/>
    <w:rsid w:val="007466A2"/>
    <w:rsid w:val="00746BAC"/>
    <w:rsid w:val="00747188"/>
    <w:rsid w:val="00747E0D"/>
    <w:rsid w:val="0075092C"/>
    <w:rsid w:val="00750E6B"/>
    <w:rsid w:val="00750F88"/>
    <w:rsid w:val="00751B56"/>
    <w:rsid w:val="00751C2B"/>
    <w:rsid w:val="007520B7"/>
    <w:rsid w:val="00752161"/>
    <w:rsid w:val="007521B2"/>
    <w:rsid w:val="00752A48"/>
    <w:rsid w:val="007533A0"/>
    <w:rsid w:val="00754135"/>
    <w:rsid w:val="007546A6"/>
    <w:rsid w:val="007547F6"/>
    <w:rsid w:val="00756773"/>
    <w:rsid w:val="007567C8"/>
    <w:rsid w:val="00757477"/>
    <w:rsid w:val="00760047"/>
    <w:rsid w:val="00761225"/>
    <w:rsid w:val="007615B2"/>
    <w:rsid w:val="00761DC5"/>
    <w:rsid w:val="007629AC"/>
    <w:rsid w:val="00762B5C"/>
    <w:rsid w:val="007653BF"/>
    <w:rsid w:val="00765B5F"/>
    <w:rsid w:val="00765CBC"/>
    <w:rsid w:val="00765EF3"/>
    <w:rsid w:val="0076620E"/>
    <w:rsid w:val="007663D8"/>
    <w:rsid w:val="007664DE"/>
    <w:rsid w:val="00766845"/>
    <w:rsid w:val="007707A2"/>
    <w:rsid w:val="00771AB3"/>
    <w:rsid w:val="007734F7"/>
    <w:rsid w:val="00773A1E"/>
    <w:rsid w:val="00773EFF"/>
    <w:rsid w:val="00774C47"/>
    <w:rsid w:val="00775EFA"/>
    <w:rsid w:val="007762A8"/>
    <w:rsid w:val="007765CB"/>
    <w:rsid w:val="00777170"/>
    <w:rsid w:val="00780C75"/>
    <w:rsid w:val="007814DF"/>
    <w:rsid w:val="0078166B"/>
    <w:rsid w:val="00782030"/>
    <w:rsid w:val="007824BD"/>
    <w:rsid w:val="0078335F"/>
    <w:rsid w:val="0078337B"/>
    <w:rsid w:val="00785E15"/>
    <w:rsid w:val="007860FC"/>
    <w:rsid w:val="00790B1A"/>
    <w:rsid w:val="00790FBF"/>
    <w:rsid w:val="00791BFD"/>
    <w:rsid w:val="00791D70"/>
    <w:rsid w:val="00791DD3"/>
    <w:rsid w:val="00793DA8"/>
    <w:rsid w:val="00794360"/>
    <w:rsid w:val="0079471C"/>
    <w:rsid w:val="00796E05"/>
    <w:rsid w:val="00797252"/>
    <w:rsid w:val="007A0348"/>
    <w:rsid w:val="007A09B8"/>
    <w:rsid w:val="007A0B48"/>
    <w:rsid w:val="007A24B8"/>
    <w:rsid w:val="007A443A"/>
    <w:rsid w:val="007A4A8C"/>
    <w:rsid w:val="007A4ED2"/>
    <w:rsid w:val="007A56BE"/>
    <w:rsid w:val="007A5A59"/>
    <w:rsid w:val="007A5F31"/>
    <w:rsid w:val="007A612B"/>
    <w:rsid w:val="007A7887"/>
    <w:rsid w:val="007B0F67"/>
    <w:rsid w:val="007B1AC0"/>
    <w:rsid w:val="007B6587"/>
    <w:rsid w:val="007B7195"/>
    <w:rsid w:val="007B7DEA"/>
    <w:rsid w:val="007C0C50"/>
    <w:rsid w:val="007C168D"/>
    <w:rsid w:val="007C31F9"/>
    <w:rsid w:val="007C350A"/>
    <w:rsid w:val="007C5198"/>
    <w:rsid w:val="007C6F04"/>
    <w:rsid w:val="007C70E7"/>
    <w:rsid w:val="007C7A9A"/>
    <w:rsid w:val="007D20A7"/>
    <w:rsid w:val="007D2FAB"/>
    <w:rsid w:val="007D3618"/>
    <w:rsid w:val="007D476F"/>
    <w:rsid w:val="007D4B66"/>
    <w:rsid w:val="007D5A43"/>
    <w:rsid w:val="007E0777"/>
    <w:rsid w:val="007E1442"/>
    <w:rsid w:val="007E2661"/>
    <w:rsid w:val="007E2A8F"/>
    <w:rsid w:val="007E2DEC"/>
    <w:rsid w:val="007E33DE"/>
    <w:rsid w:val="007E39D4"/>
    <w:rsid w:val="007E50B7"/>
    <w:rsid w:val="007E5836"/>
    <w:rsid w:val="007F17FE"/>
    <w:rsid w:val="007F1ABD"/>
    <w:rsid w:val="007F1F1D"/>
    <w:rsid w:val="007F30F2"/>
    <w:rsid w:val="007F3597"/>
    <w:rsid w:val="007F6250"/>
    <w:rsid w:val="007F6C3F"/>
    <w:rsid w:val="007F78C2"/>
    <w:rsid w:val="007F7CB9"/>
    <w:rsid w:val="0080022A"/>
    <w:rsid w:val="008003B5"/>
    <w:rsid w:val="00801D50"/>
    <w:rsid w:val="00801E6F"/>
    <w:rsid w:val="00801FFA"/>
    <w:rsid w:val="00802AE7"/>
    <w:rsid w:val="00802C67"/>
    <w:rsid w:val="00803B2A"/>
    <w:rsid w:val="00803EF8"/>
    <w:rsid w:val="00803F3B"/>
    <w:rsid w:val="00804347"/>
    <w:rsid w:val="00804AF7"/>
    <w:rsid w:val="00804AFD"/>
    <w:rsid w:val="0080563C"/>
    <w:rsid w:val="00805C7C"/>
    <w:rsid w:val="00806234"/>
    <w:rsid w:val="00806298"/>
    <w:rsid w:val="00806644"/>
    <w:rsid w:val="008066B4"/>
    <w:rsid w:val="0080705C"/>
    <w:rsid w:val="00807BC2"/>
    <w:rsid w:val="0081090C"/>
    <w:rsid w:val="008111E4"/>
    <w:rsid w:val="00812A36"/>
    <w:rsid w:val="008136E2"/>
    <w:rsid w:val="00813DBE"/>
    <w:rsid w:val="008140CD"/>
    <w:rsid w:val="0081433C"/>
    <w:rsid w:val="008143BD"/>
    <w:rsid w:val="00814F68"/>
    <w:rsid w:val="0081500D"/>
    <w:rsid w:val="00815FD2"/>
    <w:rsid w:val="00816F2A"/>
    <w:rsid w:val="008171BC"/>
    <w:rsid w:val="00817C5D"/>
    <w:rsid w:val="00822492"/>
    <w:rsid w:val="00822C01"/>
    <w:rsid w:val="008248EF"/>
    <w:rsid w:val="008249AD"/>
    <w:rsid w:val="008271F9"/>
    <w:rsid w:val="00827F7D"/>
    <w:rsid w:val="0083036C"/>
    <w:rsid w:val="008310E0"/>
    <w:rsid w:val="00832FC9"/>
    <w:rsid w:val="00833572"/>
    <w:rsid w:val="00834076"/>
    <w:rsid w:val="00834407"/>
    <w:rsid w:val="008358AD"/>
    <w:rsid w:val="0083632B"/>
    <w:rsid w:val="0083680D"/>
    <w:rsid w:val="00836BE2"/>
    <w:rsid w:val="00840374"/>
    <w:rsid w:val="00840868"/>
    <w:rsid w:val="00840DA8"/>
    <w:rsid w:val="008410DE"/>
    <w:rsid w:val="00842AC4"/>
    <w:rsid w:val="0084421A"/>
    <w:rsid w:val="00844315"/>
    <w:rsid w:val="00846497"/>
    <w:rsid w:val="00846C18"/>
    <w:rsid w:val="00850040"/>
    <w:rsid w:val="008501A6"/>
    <w:rsid w:val="0085028A"/>
    <w:rsid w:val="008507F3"/>
    <w:rsid w:val="00850E2F"/>
    <w:rsid w:val="0085156B"/>
    <w:rsid w:val="00851F93"/>
    <w:rsid w:val="0085261B"/>
    <w:rsid w:val="00854234"/>
    <w:rsid w:val="00855A93"/>
    <w:rsid w:val="00856055"/>
    <w:rsid w:val="008564A4"/>
    <w:rsid w:val="00860B57"/>
    <w:rsid w:val="00860B7F"/>
    <w:rsid w:val="00861B83"/>
    <w:rsid w:val="00862C2A"/>
    <w:rsid w:val="00863FCE"/>
    <w:rsid w:val="008660D7"/>
    <w:rsid w:val="00867AC2"/>
    <w:rsid w:val="00867D2F"/>
    <w:rsid w:val="00871460"/>
    <w:rsid w:val="00872726"/>
    <w:rsid w:val="008728BD"/>
    <w:rsid w:val="0087336C"/>
    <w:rsid w:val="008735FE"/>
    <w:rsid w:val="00873876"/>
    <w:rsid w:val="00873BDC"/>
    <w:rsid w:val="00873DB7"/>
    <w:rsid w:val="00875750"/>
    <w:rsid w:val="00875D77"/>
    <w:rsid w:val="00876610"/>
    <w:rsid w:val="00876ED3"/>
    <w:rsid w:val="008772CC"/>
    <w:rsid w:val="00883316"/>
    <w:rsid w:val="00883D66"/>
    <w:rsid w:val="00884F3C"/>
    <w:rsid w:val="00887215"/>
    <w:rsid w:val="008872B2"/>
    <w:rsid w:val="0088751F"/>
    <w:rsid w:val="00892748"/>
    <w:rsid w:val="0089508C"/>
    <w:rsid w:val="00896E35"/>
    <w:rsid w:val="00896F94"/>
    <w:rsid w:val="008976E7"/>
    <w:rsid w:val="00897836"/>
    <w:rsid w:val="008A0345"/>
    <w:rsid w:val="008A1DD9"/>
    <w:rsid w:val="008A2CFB"/>
    <w:rsid w:val="008A3D55"/>
    <w:rsid w:val="008A48AF"/>
    <w:rsid w:val="008A491C"/>
    <w:rsid w:val="008A5C0A"/>
    <w:rsid w:val="008A6924"/>
    <w:rsid w:val="008A6C80"/>
    <w:rsid w:val="008A7421"/>
    <w:rsid w:val="008A7656"/>
    <w:rsid w:val="008B0269"/>
    <w:rsid w:val="008B2D2C"/>
    <w:rsid w:val="008B37DB"/>
    <w:rsid w:val="008B3970"/>
    <w:rsid w:val="008B3F78"/>
    <w:rsid w:val="008B43D6"/>
    <w:rsid w:val="008B4D74"/>
    <w:rsid w:val="008B55FF"/>
    <w:rsid w:val="008B6113"/>
    <w:rsid w:val="008B7721"/>
    <w:rsid w:val="008C2F7E"/>
    <w:rsid w:val="008C4D5F"/>
    <w:rsid w:val="008C52EF"/>
    <w:rsid w:val="008C5C67"/>
    <w:rsid w:val="008C67DF"/>
    <w:rsid w:val="008C6F0C"/>
    <w:rsid w:val="008D10D4"/>
    <w:rsid w:val="008D26C2"/>
    <w:rsid w:val="008D272B"/>
    <w:rsid w:val="008D30C6"/>
    <w:rsid w:val="008D6546"/>
    <w:rsid w:val="008D7DFE"/>
    <w:rsid w:val="008E0A74"/>
    <w:rsid w:val="008E1F0F"/>
    <w:rsid w:val="008E2D07"/>
    <w:rsid w:val="008E47AC"/>
    <w:rsid w:val="008E47B5"/>
    <w:rsid w:val="008E50FD"/>
    <w:rsid w:val="008E64C4"/>
    <w:rsid w:val="008E766C"/>
    <w:rsid w:val="008E76DA"/>
    <w:rsid w:val="008F0796"/>
    <w:rsid w:val="008F099E"/>
    <w:rsid w:val="008F0CEE"/>
    <w:rsid w:val="008F20A1"/>
    <w:rsid w:val="008F2722"/>
    <w:rsid w:val="008F3EBF"/>
    <w:rsid w:val="008F4797"/>
    <w:rsid w:val="008F60C2"/>
    <w:rsid w:val="008F66F7"/>
    <w:rsid w:val="00900106"/>
    <w:rsid w:val="00900C82"/>
    <w:rsid w:val="00901D6B"/>
    <w:rsid w:val="009032E9"/>
    <w:rsid w:val="0090451C"/>
    <w:rsid w:val="009060CB"/>
    <w:rsid w:val="009066CA"/>
    <w:rsid w:val="00907806"/>
    <w:rsid w:val="00907986"/>
    <w:rsid w:val="0091153F"/>
    <w:rsid w:val="0091179D"/>
    <w:rsid w:val="00912341"/>
    <w:rsid w:val="0091265F"/>
    <w:rsid w:val="00912DA8"/>
    <w:rsid w:val="0091333F"/>
    <w:rsid w:val="0091335B"/>
    <w:rsid w:val="0091442A"/>
    <w:rsid w:val="00914A78"/>
    <w:rsid w:val="0091536B"/>
    <w:rsid w:val="009162E6"/>
    <w:rsid w:val="00916DCD"/>
    <w:rsid w:val="00921147"/>
    <w:rsid w:val="00921EB9"/>
    <w:rsid w:val="00922AB8"/>
    <w:rsid w:val="00922B96"/>
    <w:rsid w:val="009233A9"/>
    <w:rsid w:val="009238A6"/>
    <w:rsid w:val="00924CA5"/>
    <w:rsid w:val="00926350"/>
    <w:rsid w:val="009278C0"/>
    <w:rsid w:val="00927C78"/>
    <w:rsid w:val="0093108D"/>
    <w:rsid w:val="00932128"/>
    <w:rsid w:val="00932767"/>
    <w:rsid w:val="0093463B"/>
    <w:rsid w:val="00934808"/>
    <w:rsid w:val="00935626"/>
    <w:rsid w:val="00936388"/>
    <w:rsid w:val="0094175A"/>
    <w:rsid w:val="00943FC4"/>
    <w:rsid w:val="00944345"/>
    <w:rsid w:val="009443F1"/>
    <w:rsid w:val="00945C03"/>
    <w:rsid w:val="009461C8"/>
    <w:rsid w:val="009464FD"/>
    <w:rsid w:val="00946913"/>
    <w:rsid w:val="00946F50"/>
    <w:rsid w:val="00947562"/>
    <w:rsid w:val="00947681"/>
    <w:rsid w:val="0095049B"/>
    <w:rsid w:val="00950B56"/>
    <w:rsid w:val="009528C8"/>
    <w:rsid w:val="00953133"/>
    <w:rsid w:val="0095344E"/>
    <w:rsid w:val="0095527E"/>
    <w:rsid w:val="00955C1E"/>
    <w:rsid w:val="009608D9"/>
    <w:rsid w:val="00960AA1"/>
    <w:rsid w:val="0096288B"/>
    <w:rsid w:val="00963002"/>
    <w:rsid w:val="009631CA"/>
    <w:rsid w:val="0096327C"/>
    <w:rsid w:val="0096366C"/>
    <w:rsid w:val="00963D04"/>
    <w:rsid w:val="00964A59"/>
    <w:rsid w:val="009657F4"/>
    <w:rsid w:val="00965823"/>
    <w:rsid w:val="009673B6"/>
    <w:rsid w:val="009674B4"/>
    <w:rsid w:val="00967517"/>
    <w:rsid w:val="00967679"/>
    <w:rsid w:val="00967872"/>
    <w:rsid w:val="00967C8E"/>
    <w:rsid w:val="00970D37"/>
    <w:rsid w:val="00970EF0"/>
    <w:rsid w:val="00971997"/>
    <w:rsid w:val="00971AE7"/>
    <w:rsid w:val="00971B73"/>
    <w:rsid w:val="00971D5A"/>
    <w:rsid w:val="009724E1"/>
    <w:rsid w:val="00974550"/>
    <w:rsid w:val="00974AFC"/>
    <w:rsid w:val="00974DBA"/>
    <w:rsid w:val="00977A10"/>
    <w:rsid w:val="00977B27"/>
    <w:rsid w:val="009801FC"/>
    <w:rsid w:val="009810B5"/>
    <w:rsid w:val="0098171C"/>
    <w:rsid w:val="00981AED"/>
    <w:rsid w:val="00982729"/>
    <w:rsid w:val="00984BFA"/>
    <w:rsid w:val="00987323"/>
    <w:rsid w:val="00990A0E"/>
    <w:rsid w:val="00990A5D"/>
    <w:rsid w:val="00991680"/>
    <w:rsid w:val="00993270"/>
    <w:rsid w:val="00993D37"/>
    <w:rsid w:val="009944F4"/>
    <w:rsid w:val="009951CE"/>
    <w:rsid w:val="009951DC"/>
    <w:rsid w:val="00995E63"/>
    <w:rsid w:val="00995F2D"/>
    <w:rsid w:val="0099635A"/>
    <w:rsid w:val="00996450"/>
    <w:rsid w:val="00996BD2"/>
    <w:rsid w:val="009A1FCE"/>
    <w:rsid w:val="009A209A"/>
    <w:rsid w:val="009A23F5"/>
    <w:rsid w:val="009A25E6"/>
    <w:rsid w:val="009A4287"/>
    <w:rsid w:val="009A43A4"/>
    <w:rsid w:val="009A4A1B"/>
    <w:rsid w:val="009A5158"/>
    <w:rsid w:val="009A5C0C"/>
    <w:rsid w:val="009A6C7E"/>
    <w:rsid w:val="009A733A"/>
    <w:rsid w:val="009B0498"/>
    <w:rsid w:val="009B0921"/>
    <w:rsid w:val="009B0D77"/>
    <w:rsid w:val="009B1498"/>
    <w:rsid w:val="009B16FB"/>
    <w:rsid w:val="009B1A12"/>
    <w:rsid w:val="009B22ED"/>
    <w:rsid w:val="009B554E"/>
    <w:rsid w:val="009B5BCA"/>
    <w:rsid w:val="009B5D4E"/>
    <w:rsid w:val="009B6CA6"/>
    <w:rsid w:val="009B7022"/>
    <w:rsid w:val="009B7898"/>
    <w:rsid w:val="009C00D0"/>
    <w:rsid w:val="009C1D87"/>
    <w:rsid w:val="009C214A"/>
    <w:rsid w:val="009C254A"/>
    <w:rsid w:val="009C2B7F"/>
    <w:rsid w:val="009C456E"/>
    <w:rsid w:val="009C4F9F"/>
    <w:rsid w:val="009C6E12"/>
    <w:rsid w:val="009C70E9"/>
    <w:rsid w:val="009C70EA"/>
    <w:rsid w:val="009C70F7"/>
    <w:rsid w:val="009D00F8"/>
    <w:rsid w:val="009D03BA"/>
    <w:rsid w:val="009D165E"/>
    <w:rsid w:val="009D1DDC"/>
    <w:rsid w:val="009D1F27"/>
    <w:rsid w:val="009D3457"/>
    <w:rsid w:val="009D3689"/>
    <w:rsid w:val="009D37F7"/>
    <w:rsid w:val="009D38E7"/>
    <w:rsid w:val="009D4B7F"/>
    <w:rsid w:val="009D615F"/>
    <w:rsid w:val="009D6686"/>
    <w:rsid w:val="009D66E9"/>
    <w:rsid w:val="009D68EF"/>
    <w:rsid w:val="009D6A23"/>
    <w:rsid w:val="009D71F4"/>
    <w:rsid w:val="009D75A4"/>
    <w:rsid w:val="009E04D2"/>
    <w:rsid w:val="009E157E"/>
    <w:rsid w:val="009E201E"/>
    <w:rsid w:val="009E24A3"/>
    <w:rsid w:val="009E29BD"/>
    <w:rsid w:val="009E3BB0"/>
    <w:rsid w:val="009E4262"/>
    <w:rsid w:val="009E4C37"/>
    <w:rsid w:val="009E5E2A"/>
    <w:rsid w:val="009E5EA9"/>
    <w:rsid w:val="009E60E7"/>
    <w:rsid w:val="009E7495"/>
    <w:rsid w:val="009F0A84"/>
    <w:rsid w:val="009F0F96"/>
    <w:rsid w:val="009F153B"/>
    <w:rsid w:val="009F2DBE"/>
    <w:rsid w:val="009F3B5F"/>
    <w:rsid w:val="009F4717"/>
    <w:rsid w:val="009F49C1"/>
    <w:rsid w:val="009F4EB8"/>
    <w:rsid w:val="009F558C"/>
    <w:rsid w:val="009F6959"/>
    <w:rsid w:val="00A00829"/>
    <w:rsid w:val="00A00AB2"/>
    <w:rsid w:val="00A00D2B"/>
    <w:rsid w:val="00A03355"/>
    <w:rsid w:val="00A03DBA"/>
    <w:rsid w:val="00A047EF"/>
    <w:rsid w:val="00A05F7A"/>
    <w:rsid w:val="00A11508"/>
    <w:rsid w:val="00A12699"/>
    <w:rsid w:val="00A138D2"/>
    <w:rsid w:val="00A14418"/>
    <w:rsid w:val="00A14FE3"/>
    <w:rsid w:val="00A16681"/>
    <w:rsid w:val="00A201DE"/>
    <w:rsid w:val="00A2065B"/>
    <w:rsid w:val="00A21244"/>
    <w:rsid w:val="00A217F6"/>
    <w:rsid w:val="00A219FE"/>
    <w:rsid w:val="00A2255F"/>
    <w:rsid w:val="00A2415E"/>
    <w:rsid w:val="00A24E81"/>
    <w:rsid w:val="00A24F93"/>
    <w:rsid w:val="00A25045"/>
    <w:rsid w:val="00A2523F"/>
    <w:rsid w:val="00A2665C"/>
    <w:rsid w:val="00A27BDB"/>
    <w:rsid w:val="00A32F80"/>
    <w:rsid w:val="00A337B8"/>
    <w:rsid w:val="00A33CBF"/>
    <w:rsid w:val="00A36097"/>
    <w:rsid w:val="00A37052"/>
    <w:rsid w:val="00A37203"/>
    <w:rsid w:val="00A3742D"/>
    <w:rsid w:val="00A41735"/>
    <w:rsid w:val="00A42A19"/>
    <w:rsid w:val="00A42C5E"/>
    <w:rsid w:val="00A44968"/>
    <w:rsid w:val="00A450FC"/>
    <w:rsid w:val="00A451B4"/>
    <w:rsid w:val="00A45D13"/>
    <w:rsid w:val="00A461E7"/>
    <w:rsid w:val="00A4659F"/>
    <w:rsid w:val="00A467CE"/>
    <w:rsid w:val="00A46D20"/>
    <w:rsid w:val="00A5002B"/>
    <w:rsid w:val="00A52286"/>
    <w:rsid w:val="00A5296E"/>
    <w:rsid w:val="00A52D73"/>
    <w:rsid w:val="00A52E52"/>
    <w:rsid w:val="00A53AE3"/>
    <w:rsid w:val="00A54C72"/>
    <w:rsid w:val="00A54F81"/>
    <w:rsid w:val="00A55C32"/>
    <w:rsid w:val="00A5600B"/>
    <w:rsid w:val="00A56A6A"/>
    <w:rsid w:val="00A5788E"/>
    <w:rsid w:val="00A57DE8"/>
    <w:rsid w:val="00A57F06"/>
    <w:rsid w:val="00A60272"/>
    <w:rsid w:val="00A60CC7"/>
    <w:rsid w:val="00A63053"/>
    <w:rsid w:val="00A63E38"/>
    <w:rsid w:val="00A63F3B"/>
    <w:rsid w:val="00A6466C"/>
    <w:rsid w:val="00A655AC"/>
    <w:rsid w:val="00A65D4E"/>
    <w:rsid w:val="00A660CD"/>
    <w:rsid w:val="00A664D0"/>
    <w:rsid w:val="00A676A4"/>
    <w:rsid w:val="00A677EA"/>
    <w:rsid w:val="00A7083E"/>
    <w:rsid w:val="00A740F3"/>
    <w:rsid w:val="00A74AC4"/>
    <w:rsid w:val="00A74B34"/>
    <w:rsid w:val="00A76F27"/>
    <w:rsid w:val="00A77F99"/>
    <w:rsid w:val="00A81FC1"/>
    <w:rsid w:val="00A824DF"/>
    <w:rsid w:val="00A82AAD"/>
    <w:rsid w:val="00A82B61"/>
    <w:rsid w:val="00A83B54"/>
    <w:rsid w:val="00A84478"/>
    <w:rsid w:val="00A84542"/>
    <w:rsid w:val="00A845AE"/>
    <w:rsid w:val="00A846ED"/>
    <w:rsid w:val="00A854D3"/>
    <w:rsid w:val="00A8698C"/>
    <w:rsid w:val="00A87505"/>
    <w:rsid w:val="00A875DC"/>
    <w:rsid w:val="00A877E7"/>
    <w:rsid w:val="00A90898"/>
    <w:rsid w:val="00A9158D"/>
    <w:rsid w:val="00A915AF"/>
    <w:rsid w:val="00A93097"/>
    <w:rsid w:val="00A935F7"/>
    <w:rsid w:val="00A93B89"/>
    <w:rsid w:val="00A94797"/>
    <w:rsid w:val="00A9535B"/>
    <w:rsid w:val="00A95B98"/>
    <w:rsid w:val="00AA0E77"/>
    <w:rsid w:val="00AA1478"/>
    <w:rsid w:val="00AA1D1C"/>
    <w:rsid w:val="00AA23BE"/>
    <w:rsid w:val="00AA3DB8"/>
    <w:rsid w:val="00AA42F8"/>
    <w:rsid w:val="00AA5CA1"/>
    <w:rsid w:val="00AA6C67"/>
    <w:rsid w:val="00AB0478"/>
    <w:rsid w:val="00AB1693"/>
    <w:rsid w:val="00AB2B04"/>
    <w:rsid w:val="00AB39C0"/>
    <w:rsid w:val="00AB4A4D"/>
    <w:rsid w:val="00AB5F8E"/>
    <w:rsid w:val="00AB5FFF"/>
    <w:rsid w:val="00AB6161"/>
    <w:rsid w:val="00AB65F2"/>
    <w:rsid w:val="00AB742C"/>
    <w:rsid w:val="00AB749F"/>
    <w:rsid w:val="00AC1ACB"/>
    <w:rsid w:val="00AC2E97"/>
    <w:rsid w:val="00AC2EBF"/>
    <w:rsid w:val="00AC45D7"/>
    <w:rsid w:val="00AC4EA5"/>
    <w:rsid w:val="00AC5D1B"/>
    <w:rsid w:val="00AC67CC"/>
    <w:rsid w:val="00AC6E9B"/>
    <w:rsid w:val="00AD1FEA"/>
    <w:rsid w:val="00AD2438"/>
    <w:rsid w:val="00AD2657"/>
    <w:rsid w:val="00AD338B"/>
    <w:rsid w:val="00AD383A"/>
    <w:rsid w:val="00AD48FC"/>
    <w:rsid w:val="00AD4C08"/>
    <w:rsid w:val="00AD5347"/>
    <w:rsid w:val="00AD54DE"/>
    <w:rsid w:val="00AD6342"/>
    <w:rsid w:val="00AD68BA"/>
    <w:rsid w:val="00AD6B4C"/>
    <w:rsid w:val="00AD6C39"/>
    <w:rsid w:val="00AD7F34"/>
    <w:rsid w:val="00AE004C"/>
    <w:rsid w:val="00AE0113"/>
    <w:rsid w:val="00AE14CF"/>
    <w:rsid w:val="00AE217C"/>
    <w:rsid w:val="00AE3156"/>
    <w:rsid w:val="00AE316F"/>
    <w:rsid w:val="00AE3468"/>
    <w:rsid w:val="00AE40C3"/>
    <w:rsid w:val="00AE47A8"/>
    <w:rsid w:val="00AE4992"/>
    <w:rsid w:val="00AE626A"/>
    <w:rsid w:val="00AE68D8"/>
    <w:rsid w:val="00AE6A5B"/>
    <w:rsid w:val="00AE7B1C"/>
    <w:rsid w:val="00AE7F59"/>
    <w:rsid w:val="00AF0B56"/>
    <w:rsid w:val="00AF1038"/>
    <w:rsid w:val="00AF1B9E"/>
    <w:rsid w:val="00AF20F2"/>
    <w:rsid w:val="00AF4C2E"/>
    <w:rsid w:val="00AF4E9D"/>
    <w:rsid w:val="00AF60C2"/>
    <w:rsid w:val="00AF79B1"/>
    <w:rsid w:val="00B00331"/>
    <w:rsid w:val="00B013F0"/>
    <w:rsid w:val="00B02052"/>
    <w:rsid w:val="00B02CFA"/>
    <w:rsid w:val="00B03150"/>
    <w:rsid w:val="00B0499B"/>
    <w:rsid w:val="00B051EF"/>
    <w:rsid w:val="00B0542E"/>
    <w:rsid w:val="00B06AD0"/>
    <w:rsid w:val="00B0798D"/>
    <w:rsid w:val="00B07ECA"/>
    <w:rsid w:val="00B10E32"/>
    <w:rsid w:val="00B12185"/>
    <w:rsid w:val="00B123ED"/>
    <w:rsid w:val="00B14800"/>
    <w:rsid w:val="00B14A4B"/>
    <w:rsid w:val="00B15758"/>
    <w:rsid w:val="00B16044"/>
    <w:rsid w:val="00B20896"/>
    <w:rsid w:val="00B2124C"/>
    <w:rsid w:val="00B222B8"/>
    <w:rsid w:val="00B22616"/>
    <w:rsid w:val="00B23976"/>
    <w:rsid w:val="00B23CA1"/>
    <w:rsid w:val="00B24D30"/>
    <w:rsid w:val="00B26474"/>
    <w:rsid w:val="00B26A0C"/>
    <w:rsid w:val="00B30C4D"/>
    <w:rsid w:val="00B32387"/>
    <w:rsid w:val="00B324B5"/>
    <w:rsid w:val="00B337FF"/>
    <w:rsid w:val="00B33A6E"/>
    <w:rsid w:val="00B35022"/>
    <w:rsid w:val="00B35A27"/>
    <w:rsid w:val="00B36874"/>
    <w:rsid w:val="00B369B5"/>
    <w:rsid w:val="00B36CE6"/>
    <w:rsid w:val="00B36FF6"/>
    <w:rsid w:val="00B375CD"/>
    <w:rsid w:val="00B4073B"/>
    <w:rsid w:val="00B40BB9"/>
    <w:rsid w:val="00B40C5B"/>
    <w:rsid w:val="00B43B1B"/>
    <w:rsid w:val="00B44B2B"/>
    <w:rsid w:val="00B4513A"/>
    <w:rsid w:val="00B456FA"/>
    <w:rsid w:val="00B46164"/>
    <w:rsid w:val="00B467C2"/>
    <w:rsid w:val="00B470F4"/>
    <w:rsid w:val="00B473E6"/>
    <w:rsid w:val="00B5066A"/>
    <w:rsid w:val="00B5297B"/>
    <w:rsid w:val="00B5311A"/>
    <w:rsid w:val="00B5522B"/>
    <w:rsid w:val="00B558BA"/>
    <w:rsid w:val="00B6125C"/>
    <w:rsid w:val="00B6261E"/>
    <w:rsid w:val="00B6378E"/>
    <w:rsid w:val="00B64F88"/>
    <w:rsid w:val="00B657BC"/>
    <w:rsid w:val="00B65BB0"/>
    <w:rsid w:val="00B73269"/>
    <w:rsid w:val="00B735A1"/>
    <w:rsid w:val="00B7416D"/>
    <w:rsid w:val="00B7478E"/>
    <w:rsid w:val="00B75A60"/>
    <w:rsid w:val="00B760C4"/>
    <w:rsid w:val="00B76244"/>
    <w:rsid w:val="00B76723"/>
    <w:rsid w:val="00B76DD7"/>
    <w:rsid w:val="00B805F5"/>
    <w:rsid w:val="00B815A2"/>
    <w:rsid w:val="00B8194B"/>
    <w:rsid w:val="00B81CAA"/>
    <w:rsid w:val="00B82A3C"/>
    <w:rsid w:val="00B851F5"/>
    <w:rsid w:val="00B86E02"/>
    <w:rsid w:val="00B87E3B"/>
    <w:rsid w:val="00B90952"/>
    <w:rsid w:val="00B9098A"/>
    <w:rsid w:val="00B90AA1"/>
    <w:rsid w:val="00B914F1"/>
    <w:rsid w:val="00B92120"/>
    <w:rsid w:val="00B9221A"/>
    <w:rsid w:val="00B922F4"/>
    <w:rsid w:val="00B92A6D"/>
    <w:rsid w:val="00B954E1"/>
    <w:rsid w:val="00B955CB"/>
    <w:rsid w:val="00B973F0"/>
    <w:rsid w:val="00B97422"/>
    <w:rsid w:val="00B97695"/>
    <w:rsid w:val="00B97892"/>
    <w:rsid w:val="00BA096E"/>
    <w:rsid w:val="00BA0F98"/>
    <w:rsid w:val="00BA1804"/>
    <w:rsid w:val="00BA20FE"/>
    <w:rsid w:val="00BA2A36"/>
    <w:rsid w:val="00BA2CF5"/>
    <w:rsid w:val="00BA2E9A"/>
    <w:rsid w:val="00BA3056"/>
    <w:rsid w:val="00BA3447"/>
    <w:rsid w:val="00BA4245"/>
    <w:rsid w:val="00BA48B7"/>
    <w:rsid w:val="00BA5CD9"/>
    <w:rsid w:val="00BA7A96"/>
    <w:rsid w:val="00BB1896"/>
    <w:rsid w:val="00BB31B2"/>
    <w:rsid w:val="00BB3E31"/>
    <w:rsid w:val="00BB5257"/>
    <w:rsid w:val="00BB59C2"/>
    <w:rsid w:val="00BB6B3D"/>
    <w:rsid w:val="00BB7949"/>
    <w:rsid w:val="00BB7999"/>
    <w:rsid w:val="00BB7B08"/>
    <w:rsid w:val="00BB7C54"/>
    <w:rsid w:val="00BC040B"/>
    <w:rsid w:val="00BC10DC"/>
    <w:rsid w:val="00BC10E6"/>
    <w:rsid w:val="00BC1704"/>
    <w:rsid w:val="00BC1FC1"/>
    <w:rsid w:val="00BC2464"/>
    <w:rsid w:val="00BC43B0"/>
    <w:rsid w:val="00BC51FA"/>
    <w:rsid w:val="00BC5227"/>
    <w:rsid w:val="00BC5288"/>
    <w:rsid w:val="00BC5AF2"/>
    <w:rsid w:val="00BC5C6D"/>
    <w:rsid w:val="00BC7D40"/>
    <w:rsid w:val="00BD03F7"/>
    <w:rsid w:val="00BD09F6"/>
    <w:rsid w:val="00BD1265"/>
    <w:rsid w:val="00BD1CAF"/>
    <w:rsid w:val="00BD3628"/>
    <w:rsid w:val="00BD3D40"/>
    <w:rsid w:val="00BD61EE"/>
    <w:rsid w:val="00BD6288"/>
    <w:rsid w:val="00BD688C"/>
    <w:rsid w:val="00BD7E00"/>
    <w:rsid w:val="00BE0D5C"/>
    <w:rsid w:val="00BE19CA"/>
    <w:rsid w:val="00BE2635"/>
    <w:rsid w:val="00BE2C63"/>
    <w:rsid w:val="00BE323E"/>
    <w:rsid w:val="00BE325F"/>
    <w:rsid w:val="00BE3944"/>
    <w:rsid w:val="00BE4837"/>
    <w:rsid w:val="00BE4FAF"/>
    <w:rsid w:val="00BE5937"/>
    <w:rsid w:val="00BE66ED"/>
    <w:rsid w:val="00BE6DD3"/>
    <w:rsid w:val="00BE7239"/>
    <w:rsid w:val="00BE76DF"/>
    <w:rsid w:val="00BF1772"/>
    <w:rsid w:val="00BF1D3B"/>
    <w:rsid w:val="00BF1F25"/>
    <w:rsid w:val="00BF2F57"/>
    <w:rsid w:val="00BF33AE"/>
    <w:rsid w:val="00BF3917"/>
    <w:rsid w:val="00BF41B7"/>
    <w:rsid w:val="00BF477D"/>
    <w:rsid w:val="00BF5BCB"/>
    <w:rsid w:val="00BF76ED"/>
    <w:rsid w:val="00C0138D"/>
    <w:rsid w:val="00C017A3"/>
    <w:rsid w:val="00C01DAA"/>
    <w:rsid w:val="00C02739"/>
    <w:rsid w:val="00C0291C"/>
    <w:rsid w:val="00C043BA"/>
    <w:rsid w:val="00C043D0"/>
    <w:rsid w:val="00C04C4A"/>
    <w:rsid w:val="00C04FF2"/>
    <w:rsid w:val="00C051C1"/>
    <w:rsid w:val="00C05C83"/>
    <w:rsid w:val="00C07D89"/>
    <w:rsid w:val="00C1189D"/>
    <w:rsid w:val="00C11D92"/>
    <w:rsid w:val="00C11EFD"/>
    <w:rsid w:val="00C11FA5"/>
    <w:rsid w:val="00C127F1"/>
    <w:rsid w:val="00C153B9"/>
    <w:rsid w:val="00C15601"/>
    <w:rsid w:val="00C159E1"/>
    <w:rsid w:val="00C169CC"/>
    <w:rsid w:val="00C1747B"/>
    <w:rsid w:val="00C1749E"/>
    <w:rsid w:val="00C17D23"/>
    <w:rsid w:val="00C20B55"/>
    <w:rsid w:val="00C21EA1"/>
    <w:rsid w:val="00C236CA"/>
    <w:rsid w:val="00C23ED2"/>
    <w:rsid w:val="00C25E0C"/>
    <w:rsid w:val="00C277AF"/>
    <w:rsid w:val="00C27B94"/>
    <w:rsid w:val="00C30336"/>
    <w:rsid w:val="00C30DB6"/>
    <w:rsid w:val="00C31929"/>
    <w:rsid w:val="00C31A2F"/>
    <w:rsid w:val="00C338D1"/>
    <w:rsid w:val="00C340D2"/>
    <w:rsid w:val="00C3573B"/>
    <w:rsid w:val="00C3604E"/>
    <w:rsid w:val="00C401C4"/>
    <w:rsid w:val="00C404F4"/>
    <w:rsid w:val="00C40B80"/>
    <w:rsid w:val="00C412E6"/>
    <w:rsid w:val="00C41ADB"/>
    <w:rsid w:val="00C41AF7"/>
    <w:rsid w:val="00C41B3F"/>
    <w:rsid w:val="00C43D2A"/>
    <w:rsid w:val="00C44A43"/>
    <w:rsid w:val="00C44C23"/>
    <w:rsid w:val="00C44D39"/>
    <w:rsid w:val="00C4506C"/>
    <w:rsid w:val="00C45194"/>
    <w:rsid w:val="00C4590F"/>
    <w:rsid w:val="00C46997"/>
    <w:rsid w:val="00C46AA2"/>
    <w:rsid w:val="00C46E59"/>
    <w:rsid w:val="00C47C3D"/>
    <w:rsid w:val="00C5171D"/>
    <w:rsid w:val="00C518A6"/>
    <w:rsid w:val="00C51DFA"/>
    <w:rsid w:val="00C529E5"/>
    <w:rsid w:val="00C529FA"/>
    <w:rsid w:val="00C52C6C"/>
    <w:rsid w:val="00C531E8"/>
    <w:rsid w:val="00C53490"/>
    <w:rsid w:val="00C534B1"/>
    <w:rsid w:val="00C535E0"/>
    <w:rsid w:val="00C545A8"/>
    <w:rsid w:val="00C56EEB"/>
    <w:rsid w:val="00C61447"/>
    <w:rsid w:val="00C617B1"/>
    <w:rsid w:val="00C61878"/>
    <w:rsid w:val="00C625A0"/>
    <w:rsid w:val="00C64418"/>
    <w:rsid w:val="00C64D01"/>
    <w:rsid w:val="00C65366"/>
    <w:rsid w:val="00C6667A"/>
    <w:rsid w:val="00C66927"/>
    <w:rsid w:val="00C674D0"/>
    <w:rsid w:val="00C67832"/>
    <w:rsid w:val="00C67D60"/>
    <w:rsid w:val="00C70EF6"/>
    <w:rsid w:val="00C71F91"/>
    <w:rsid w:val="00C72B80"/>
    <w:rsid w:val="00C75564"/>
    <w:rsid w:val="00C75C01"/>
    <w:rsid w:val="00C75D8B"/>
    <w:rsid w:val="00C7651F"/>
    <w:rsid w:val="00C76979"/>
    <w:rsid w:val="00C76B9B"/>
    <w:rsid w:val="00C80628"/>
    <w:rsid w:val="00C80677"/>
    <w:rsid w:val="00C84805"/>
    <w:rsid w:val="00C8497C"/>
    <w:rsid w:val="00C849FF"/>
    <w:rsid w:val="00C84D83"/>
    <w:rsid w:val="00C85253"/>
    <w:rsid w:val="00C85BE7"/>
    <w:rsid w:val="00C86DE0"/>
    <w:rsid w:val="00C90507"/>
    <w:rsid w:val="00C90D6B"/>
    <w:rsid w:val="00C91CA8"/>
    <w:rsid w:val="00C9436B"/>
    <w:rsid w:val="00C94788"/>
    <w:rsid w:val="00C96B8D"/>
    <w:rsid w:val="00C97764"/>
    <w:rsid w:val="00CA010B"/>
    <w:rsid w:val="00CA0315"/>
    <w:rsid w:val="00CA0543"/>
    <w:rsid w:val="00CA175F"/>
    <w:rsid w:val="00CA499F"/>
    <w:rsid w:val="00CA4B3A"/>
    <w:rsid w:val="00CA5676"/>
    <w:rsid w:val="00CA5849"/>
    <w:rsid w:val="00CA5C94"/>
    <w:rsid w:val="00CA6114"/>
    <w:rsid w:val="00CA6825"/>
    <w:rsid w:val="00CA77C7"/>
    <w:rsid w:val="00CB2448"/>
    <w:rsid w:val="00CB339A"/>
    <w:rsid w:val="00CB396F"/>
    <w:rsid w:val="00CB3F06"/>
    <w:rsid w:val="00CB4A47"/>
    <w:rsid w:val="00CB55F4"/>
    <w:rsid w:val="00CB5DAF"/>
    <w:rsid w:val="00CB7371"/>
    <w:rsid w:val="00CB75D2"/>
    <w:rsid w:val="00CB7D5C"/>
    <w:rsid w:val="00CB7E95"/>
    <w:rsid w:val="00CC0B6B"/>
    <w:rsid w:val="00CC21C1"/>
    <w:rsid w:val="00CC2BF4"/>
    <w:rsid w:val="00CC4900"/>
    <w:rsid w:val="00CC548A"/>
    <w:rsid w:val="00CC6C8F"/>
    <w:rsid w:val="00CC6F43"/>
    <w:rsid w:val="00CC7DEE"/>
    <w:rsid w:val="00CD0DE5"/>
    <w:rsid w:val="00CD1907"/>
    <w:rsid w:val="00CD5785"/>
    <w:rsid w:val="00CD66D8"/>
    <w:rsid w:val="00CD694F"/>
    <w:rsid w:val="00CD7263"/>
    <w:rsid w:val="00CD7571"/>
    <w:rsid w:val="00CD7634"/>
    <w:rsid w:val="00CD77A1"/>
    <w:rsid w:val="00CD7B6C"/>
    <w:rsid w:val="00CE17C7"/>
    <w:rsid w:val="00CE20F5"/>
    <w:rsid w:val="00CE2F8A"/>
    <w:rsid w:val="00CE479D"/>
    <w:rsid w:val="00CE4AA3"/>
    <w:rsid w:val="00CE5C4B"/>
    <w:rsid w:val="00CE5FF4"/>
    <w:rsid w:val="00CE6289"/>
    <w:rsid w:val="00CE71B1"/>
    <w:rsid w:val="00CF3B59"/>
    <w:rsid w:val="00CF3C6E"/>
    <w:rsid w:val="00CF3EDC"/>
    <w:rsid w:val="00CF4331"/>
    <w:rsid w:val="00CF78B6"/>
    <w:rsid w:val="00CF7B9A"/>
    <w:rsid w:val="00D00ACA"/>
    <w:rsid w:val="00D00E91"/>
    <w:rsid w:val="00D01302"/>
    <w:rsid w:val="00D014A1"/>
    <w:rsid w:val="00D015A6"/>
    <w:rsid w:val="00D01F7E"/>
    <w:rsid w:val="00D024ED"/>
    <w:rsid w:val="00D04379"/>
    <w:rsid w:val="00D0501A"/>
    <w:rsid w:val="00D0591D"/>
    <w:rsid w:val="00D06B00"/>
    <w:rsid w:val="00D10330"/>
    <w:rsid w:val="00D107BD"/>
    <w:rsid w:val="00D10A67"/>
    <w:rsid w:val="00D11267"/>
    <w:rsid w:val="00D119B9"/>
    <w:rsid w:val="00D12059"/>
    <w:rsid w:val="00D1225B"/>
    <w:rsid w:val="00D12D42"/>
    <w:rsid w:val="00D133B2"/>
    <w:rsid w:val="00D135F4"/>
    <w:rsid w:val="00D15045"/>
    <w:rsid w:val="00D163E5"/>
    <w:rsid w:val="00D1647A"/>
    <w:rsid w:val="00D166DB"/>
    <w:rsid w:val="00D17D7B"/>
    <w:rsid w:val="00D20816"/>
    <w:rsid w:val="00D21445"/>
    <w:rsid w:val="00D21E6B"/>
    <w:rsid w:val="00D235AE"/>
    <w:rsid w:val="00D2361F"/>
    <w:rsid w:val="00D23C76"/>
    <w:rsid w:val="00D253E4"/>
    <w:rsid w:val="00D259EB"/>
    <w:rsid w:val="00D26490"/>
    <w:rsid w:val="00D27FA3"/>
    <w:rsid w:val="00D30736"/>
    <w:rsid w:val="00D31C00"/>
    <w:rsid w:val="00D3270D"/>
    <w:rsid w:val="00D33EFC"/>
    <w:rsid w:val="00D34C35"/>
    <w:rsid w:val="00D34C91"/>
    <w:rsid w:val="00D34D03"/>
    <w:rsid w:val="00D351F3"/>
    <w:rsid w:val="00D3583E"/>
    <w:rsid w:val="00D35FD4"/>
    <w:rsid w:val="00D3656A"/>
    <w:rsid w:val="00D369C1"/>
    <w:rsid w:val="00D3711A"/>
    <w:rsid w:val="00D37558"/>
    <w:rsid w:val="00D375A6"/>
    <w:rsid w:val="00D3785F"/>
    <w:rsid w:val="00D3799E"/>
    <w:rsid w:val="00D4268C"/>
    <w:rsid w:val="00D428A2"/>
    <w:rsid w:val="00D45BEF"/>
    <w:rsid w:val="00D46376"/>
    <w:rsid w:val="00D46B1A"/>
    <w:rsid w:val="00D47A42"/>
    <w:rsid w:val="00D50282"/>
    <w:rsid w:val="00D51332"/>
    <w:rsid w:val="00D52083"/>
    <w:rsid w:val="00D5218E"/>
    <w:rsid w:val="00D521DC"/>
    <w:rsid w:val="00D526B8"/>
    <w:rsid w:val="00D52784"/>
    <w:rsid w:val="00D52AE4"/>
    <w:rsid w:val="00D53031"/>
    <w:rsid w:val="00D53248"/>
    <w:rsid w:val="00D53F80"/>
    <w:rsid w:val="00D553E7"/>
    <w:rsid w:val="00D562EC"/>
    <w:rsid w:val="00D56E0E"/>
    <w:rsid w:val="00D577BB"/>
    <w:rsid w:val="00D578A6"/>
    <w:rsid w:val="00D615A8"/>
    <w:rsid w:val="00D6186A"/>
    <w:rsid w:val="00D61D70"/>
    <w:rsid w:val="00D622A4"/>
    <w:rsid w:val="00D64628"/>
    <w:rsid w:val="00D656D0"/>
    <w:rsid w:val="00D71919"/>
    <w:rsid w:val="00D71C6D"/>
    <w:rsid w:val="00D72127"/>
    <w:rsid w:val="00D72196"/>
    <w:rsid w:val="00D73539"/>
    <w:rsid w:val="00D74058"/>
    <w:rsid w:val="00D7505E"/>
    <w:rsid w:val="00D764AC"/>
    <w:rsid w:val="00D76750"/>
    <w:rsid w:val="00D773D6"/>
    <w:rsid w:val="00D776E7"/>
    <w:rsid w:val="00D8041F"/>
    <w:rsid w:val="00D805B0"/>
    <w:rsid w:val="00D832DF"/>
    <w:rsid w:val="00D83E25"/>
    <w:rsid w:val="00D85A65"/>
    <w:rsid w:val="00D85CC1"/>
    <w:rsid w:val="00D85D3C"/>
    <w:rsid w:val="00D87D64"/>
    <w:rsid w:val="00D87FC4"/>
    <w:rsid w:val="00D905AC"/>
    <w:rsid w:val="00D90964"/>
    <w:rsid w:val="00D90B09"/>
    <w:rsid w:val="00D90CAD"/>
    <w:rsid w:val="00D91E34"/>
    <w:rsid w:val="00D9347E"/>
    <w:rsid w:val="00D93B1D"/>
    <w:rsid w:val="00D93E44"/>
    <w:rsid w:val="00D95913"/>
    <w:rsid w:val="00D9595F"/>
    <w:rsid w:val="00D96AB6"/>
    <w:rsid w:val="00D9764F"/>
    <w:rsid w:val="00D979AE"/>
    <w:rsid w:val="00DA0B63"/>
    <w:rsid w:val="00DA0C69"/>
    <w:rsid w:val="00DA0EEE"/>
    <w:rsid w:val="00DA2C38"/>
    <w:rsid w:val="00DA3E45"/>
    <w:rsid w:val="00DA4B85"/>
    <w:rsid w:val="00DA5052"/>
    <w:rsid w:val="00DA7DF1"/>
    <w:rsid w:val="00DB13AF"/>
    <w:rsid w:val="00DB29F0"/>
    <w:rsid w:val="00DB3B6A"/>
    <w:rsid w:val="00DB4A02"/>
    <w:rsid w:val="00DB5032"/>
    <w:rsid w:val="00DB5754"/>
    <w:rsid w:val="00DB59A6"/>
    <w:rsid w:val="00DB5FA8"/>
    <w:rsid w:val="00DB62D2"/>
    <w:rsid w:val="00DB631D"/>
    <w:rsid w:val="00DB6523"/>
    <w:rsid w:val="00DB6CB0"/>
    <w:rsid w:val="00DB7432"/>
    <w:rsid w:val="00DC0A1D"/>
    <w:rsid w:val="00DC1005"/>
    <w:rsid w:val="00DC11BF"/>
    <w:rsid w:val="00DC267D"/>
    <w:rsid w:val="00DC26A3"/>
    <w:rsid w:val="00DC2BF6"/>
    <w:rsid w:val="00DC2D30"/>
    <w:rsid w:val="00DC2E5E"/>
    <w:rsid w:val="00DC31FE"/>
    <w:rsid w:val="00DC5542"/>
    <w:rsid w:val="00DC55EB"/>
    <w:rsid w:val="00DC5C00"/>
    <w:rsid w:val="00DC5C08"/>
    <w:rsid w:val="00DC609F"/>
    <w:rsid w:val="00DC62E1"/>
    <w:rsid w:val="00DC6841"/>
    <w:rsid w:val="00DC6AFC"/>
    <w:rsid w:val="00DC6BB1"/>
    <w:rsid w:val="00DC7E9A"/>
    <w:rsid w:val="00DD02AA"/>
    <w:rsid w:val="00DD0A20"/>
    <w:rsid w:val="00DD1777"/>
    <w:rsid w:val="00DD21C1"/>
    <w:rsid w:val="00DD3C29"/>
    <w:rsid w:val="00DD3FDB"/>
    <w:rsid w:val="00DD4683"/>
    <w:rsid w:val="00DD4B93"/>
    <w:rsid w:val="00DD56BB"/>
    <w:rsid w:val="00DD58B8"/>
    <w:rsid w:val="00DD7416"/>
    <w:rsid w:val="00DD753C"/>
    <w:rsid w:val="00DE3AB5"/>
    <w:rsid w:val="00DE3CAB"/>
    <w:rsid w:val="00DE47AD"/>
    <w:rsid w:val="00DE4A6D"/>
    <w:rsid w:val="00DE4BE4"/>
    <w:rsid w:val="00DE514E"/>
    <w:rsid w:val="00DE6922"/>
    <w:rsid w:val="00DE6F55"/>
    <w:rsid w:val="00DE7878"/>
    <w:rsid w:val="00DF0C16"/>
    <w:rsid w:val="00DF2A21"/>
    <w:rsid w:val="00DF3500"/>
    <w:rsid w:val="00DF4B0C"/>
    <w:rsid w:val="00DF5257"/>
    <w:rsid w:val="00DF5799"/>
    <w:rsid w:val="00DF723F"/>
    <w:rsid w:val="00DF7285"/>
    <w:rsid w:val="00DF774F"/>
    <w:rsid w:val="00DF7B57"/>
    <w:rsid w:val="00E00626"/>
    <w:rsid w:val="00E01A59"/>
    <w:rsid w:val="00E02BD6"/>
    <w:rsid w:val="00E0345C"/>
    <w:rsid w:val="00E03F44"/>
    <w:rsid w:val="00E04575"/>
    <w:rsid w:val="00E04A92"/>
    <w:rsid w:val="00E04B70"/>
    <w:rsid w:val="00E04D51"/>
    <w:rsid w:val="00E0770D"/>
    <w:rsid w:val="00E07E1D"/>
    <w:rsid w:val="00E103C6"/>
    <w:rsid w:val="00E10ACF"/>
    <w:rsid w:val="00E11664"/>
    <w:rsid w:val="00E1245E"/>
    <w:rsid w:val="00E12920"/>
    <w:rsid w:val="00E15567"/>
    <w:rsid w:val="00E1653B"/>
    <w:rsid w:val="00E17518"/>
    <w:rsid w:val="00E1763D"/>
    <w:rsid w:val="00E178BE"/>
    <w:rsid w:val="00E17DA7"/>
    <w:rsid w:val="00E20612"/>
    <w:rsid w:val="00E20887"/>
    <w:rsid w:val="00E2127C"/>
    <w:rsid w:val="00E22AB0"/>
    <w:rsid w:val="00E23798"/>
    <w:rsid w:val="00E25F2D"/>
    <w:rsid w:val="00E27FBD"/>
    <w:rsid w:val="00E31A51"/>
    <w:rsid w:val="00E31AB6"/>
    <w:rsid w:val="00E32375"/>
    <w:rsid w:val="00E32576"/>
    <w:rsid w:val="00E32B8B"/>
    <w:rsid w:val="00E33ED5"/>
    <w:rsid w:val="00E35396"/>
    <w:rsid w:val="00E367AD"/>
    <w:rsid w:val="00E4010B"/>
    <w:rsid w:val="00E40240"/>
    <w:rsid w:val="00E40D02"/>
    <w:rsid w:val="00E40E4C"/>
    <w:rsid w:val="00E4268C"/>
    <w:rsid w:val="00E42903"/>
    <w:rsid w:val="00E42F3B"/>
    <w:rsid w:val="00E4375A"/>
    <w:rsid w:val="00E4389F"/>
    <w:rsid w:val="00E46224"/>
    <w:rsid w:val="00E46360"/>
    <w:rsid w:val="00E466A2"/>
    <w:rsid w:val="00E47579"/>
    <w:rsid w:val="00E537EE"/>
    <w:rsid w:val="00E55A80"/>
    <w:rsid w:val="00E55FA1"/>
    <w:rsid w:val="00E56F5E"/>
    <w:rsid w:val="00E571D9"/>
    <w:rsid w:val="00E57DE4"/>
    <w:rsid w:val="00E6135F"/>
    <w:rsid w:val="00E62157"/>
    <w:rsid w:val="00E631FD"/>
    <w:rsid w:val="00E643C4"/>
    <w:rsid w:val="00E65152"/>
    <w:rsid w:val="00E65D9B"/>
    <w:rsid w:val="00E66377"/>
    <w:rsid w:val="00E6765C"/>
    <w:rsid w:val="00E678D9"/>
    <w:rsid w:val="00E67E00"/>
    <w:rsid w:val="00E70172"/>
    <w:rsid w:val="00E712CF"/>
    <w:rsid w:val="00E71BA7"/>
    <w:rsid w:val="00E71F34"/>
    <w:rsid w:val="00E72E2E"/>
    <w:rsid w:val="00E72F93"/>
    <w:rsid w:val="00E73423"/>
    <w:rsid w:val="00E73A2F"/>
    <w:rsid w:val="00E73CF8"/>
    <w:rsid w:val="00E748C6"/>
    <w:rsid w:val="00E74DD9"/>
    <w:rsid w:val="00E75D41"/>
    <w:rsid w:val="00E80164"/>
    <w:rsid w:val="00E83023"/>
    <w:rsid w:val="00E85953"/>
    <w:rsid w:val="00E85BA9"/>
    <w:rsid w:val="00E86C9B"/>
    <w:rsid w:val="00E87185"/>
    <w:rsid w:val="00E9139E"/>
    <w:rsid w:val="00E9218E"/>
    <w:rsid w:val="00E92A55"/>
    <w:rsid w:val="00E93265"/>
    <w:rsid w:val="00E95739"/>
    <w:rsid w:val="00E96065"/>
    <w:rsid w:val="00E96D62"/>
    <w:rsid w:val="00E971E3"/>
    <w:rsid w:val="00EA0586"/>
    <w:rsid w:val="00EA1277"/>
    <w:rsid w:val="00EA1496"/>
    <w:rsid w:val="00EA2427"/>
    <w:rsid w:val="00EA3CF3"/>
    <w:rsid w:val="00EA6F5D"/>
    <w:rsid w:val="00EA7D49"/>
    <w:rsid w:val="00EB0014"/>
    <w:rsid w:val="00EB0E2F"/>
    <w:rsid w:val="00EB113E"/>
    <w:rsid w:val="00EB122E"/>
    <w:rsid w:val="00EB197A"/>
    <w:rsid w:val="00EB1BF9"/>
    <w:rsid w:val="00EB2C1E"/>
    <w:rsid w:val="00EB4154"/>
    <w:rsid w:val="00EB415E"/>
    <w:rsid w:val="00EB4762"/>
    <w:rsid w:val="00EB5565"/>
    <w:rsid w:val="00EB583C"/>
    <w:rsid w:val="00EB5FA6"/>
    <w:rsid w:val="00EB6612"/>
    <w:rsid w:val="00EC19DD"/>
    <w:rsid w:val="00EC3C80"/>
    <w:rsid w:val="00EC3E53"/>
    <w:rsid w:val="00EC3F58"/>
    <w:rsid w:val="00EC4948"/>
    <w:rsid w:val="00EC4ED3"/>
    <w:rsid w:val="00EC5166"/>
    <w:rsid w:val="00EC575F"/>
    <w:rsid w:val="00EC5771"/>
    <w:rsid w:val="00EC77F7"/>
    <w:rsid w:val="00ED0100"/>
    <w:rsid w:val="00ED0789"/>
    <w:rsid w:val="00ED259F"/>
    <w:rsid w:val="00ED311A"/>
    <w:rsid w:val="00ED52D7"/>
    <w:rsid w:val="00EE0185"/>
    <w:rsid w:val="00EE1BD0"/>
    <w:rsid w:val="00EE2709"/>
    <w:rsid w:val="00EE4688"/>
    <w:rsid w:val="00EE47D3"/>
    <w:rsid w:val="00EE595F"/>
    <w:rsid w:val="00EE5AED"/>
    <w:rsid w:val="00EE73B8"/>
    <w:rsid w:val="00EE7586"/>
    <w:rsid w:val="00EF0DBD"/>
    <w:rsid w:val="00EF0E64"/>
    <w:rsid w:val="00EF1359"/>
    <w:rsid w:val="00EF339E"/>
    <w:rsid w:val="00EF3544"/>
    <w:rsid w:val="00EF4274"/>
    <w:rsid w:val="00EF48CE"/>
    <w:rsid w:val="00EF49CD"/>
    <w:rsid w:val="00EF562F"/>
    <w:rsid w:val="00EF651B"/>
    <w:rsid w:val="00F010BD"/>
    <w:rsid w:val="00F01109"/>
    <w:rsid w:val="00F012EC"/>
    <w:rsid w:val="00F018AA"/>
    <w:rsid w:val="00F018C7"/>
    <w:rsid w:val="00F02BF5"/>
    <w:rsid w:val="00F0317F"/>
    <w:rsid w:val="00F03FA4"/>
    <w:rsid w:val="00F06522"/>
    <w:rsid w:val="00F11FA8"/>
    <w:rsid w:val="00F13BA4"/>
    <w:rsid w:val="00F15263"/>
    <w:rsid w:val="00F15C1A"/>
    <w:rsid w:val="00F16842"/>
    <w:rsid w:val="00F16984"/>
    <w:rsid w:val="00F174C5"/>
    <w:rsid w:val="00F17E5F"/>
    <w:rsid w:val="00F2109E"/>
    <w:rsid w:val="00F23047"/>
    <w:rsid w:val="00F23CEB"/>
    <w:rsid w:val="00F2594C"/>
    <w:rsid w:val="00F25D4F"/>
    <w:rsid w:val="00F25EEE"/>
    <w:rsid w:val="00F26045"/>
    <w:rsid w:val="00F26454"/>
    <w:rsid w:val="00F27329"/>
    <w:rsid w:val="00F273A5"/>
    <w:rsid w:val="00F30B6F"/>
    <w:rsid w:val="00F36C9C"/>
    <w:rsid w:val="00F37935"/>
    <w:rsid w:val="00F37F05"/>
    <w:rsid w:val="00F40FEF"/>
    <w:rsid w:val="00F418AB"/>
    <w:rsid w:val="00F43DF7"/>
    <w:rsid w:val="00F5078F"/>
    <w:rsid w:val="00F51A3D"/>
    <w:rsid w:val="00F5379A"/>
    <w:rsid w:val="00F542C8"/>
    <w:rsid w:val="00F54A71"/>
    <w:rsid w:val="00F54ACE"/>
    <w:rsid w:val="00F5512A"/>
    <w:rsid w:val="00F55425"/>
    <w:rsid w:val="00F55C3E"/>
    <w:rsid w:val="00F55D14"/>
    <w:rsid w:val="00F5632B"/>
    <w:rsid w:val="00F57F82"/>
    <w:rsid w:val="00F6092D"/>
    <w:rsid w:val="00F60F9B"/>
    <w:rsid w:val="00F6130D"/>
    <w:rsid w:val="00F614AF"/>
    <w:rsid w:val="00F615D0"/>
    <w:rsid w:val="00F65961"/>
    <w:rsid w:val="00F65BC4"/>
    <w:rsid w:val="00F65D7C"/>
    <w:rsid w:val="00F6644D"/>
    <w:rsid w:val="00F664E8"/>
    <w:rsid w:val="00F66521"/>
    <w:rsid w:val="00F66DAC"/>
    <w:rsid w:val="00F7011F"/>
    <w:rsid w:val="00F737C2"/>
    <w:rsid w:val="00F75FD1"/>
    <w:rsid w:val="00F76535"/>
    <w:rsid w:val="00F77D60"/>
    <w:rsid w:val="00F8045D"/>
    <w:rsid w:val="00F819FE"/>
    <w:rsid w:val="00F82133"/>
    <w:rsid w:val="00F82354"/>
    <w:rsid w:val="00F8255F"/>
    <w:rsid w:val="00F82A79"/>
    <w:rsid w:val="00F82DF7"/>
    <w:rsid w:val="00F8528D"/>
    <w:rsid w:val="00F85AD8"/>
    <w:rsid w:val="00F85C50"/>
    <w:rsid w:val="00F87014"/>
    <w:rsid w:val="00F87C38"/>
    <w:rsid w:val="00F912CC"/>
    <w:rsid w:val="00F93CD7"/>
    <w:rsid w:val="00F93DC5"/>
    <w:rsid w:val="00F93E0F"/>
    <w:rsid w:val="00F969BF"/>
    <w:rsid w:val="00F972C6"/>
    <w:rsid w:val="00F97488"/>
    <w:rsid w:val="00FA11D5"/>
    <w:rsid w:val="00FA147C"/>
    <w:rsid w:val="00FA1A9B"/>
    <w:rsid w:val="00FA1B0B"/>
    <w:rsid w:val="00FA32A3"/>
    <w:rsid w:val="00FA3567"/>
    <w:rsid w:val="00FA3B2C"/>
    <w:rsid w:val="00FA5CDA"/>
    <w:rsid w:val="00FA7487"/>
    <w:rsid w:val="00FA78E0"/>
    <w:rsid w:val="00FA7AF9"/>
    <w:rsid w:val="00FB0350"/>
    <w:rsid w:val="00FB0550"/>
    <w:rsid w:val="00FB0962"/>
    <w:rsid w:val="00FB0B75"/>
    <w:rsid w:val="00FB0BE8"/>
    <w:rsid w:val="00FB137B"/>
    <w:rsid w:val="00FB16AC"/>
    <w:rsid w:val="00FB17D7"/>
    <w:rsid w:val="00FB32C2"/>
    <w:rsid w:val="00FB347E"/>
    <w:rsid w:val="00FB38C9"/>
    <w:rsid w:val="00FB3CFB"/>
    <w:rsid w:val="00FB3D1D"/>
    <w:rsid w:val="00FB3D4E"/>
    <w:rsid w:val="00FB4155"/>
    <w:rsid w:val="00FB43BF"/>
    <w:rsid w:val="00FB4FF2"/>
    <w:rsid w:val="00FB5195"/>
    <w:rsid w:val="00FB78E3"/>
    <w:rsid w:val="00FB7A03"/>
    <w:rsid w:val="00FB7DA5"/>
    <w:rsid w:val="00FC04D6"/>
    <w:rsid w:val="00FC13D4"/>
    <w:rsid w:val="00FC3059"/>
    <w:rsid w:val="00FC312B"/>
    <w:rsid w:val="00FC3411"/>
    <w:rsid w:val="00FC4A16"/>
    <w:rsid w:val="00FC66CF"/>
    <w:rsid w:val="00FD021A"/>
    <w:rsid w:val="00FD0A7A"/>
    <w:rsid w:val="00FD0ED7"/>
    <w:rsid w:val="00FD1547"/>
    <w:rsid w:val="00FD1591"/>
    <w:rsid w:val="00FD3A89"/>
    <w:rsid w:val="00FD5BBF"/>
    <w:rsid w:val="00FD65DA"/>
    <w:rsid w:val="00FD67D6"/>
    <w:rsid w:val="00FD79AA"/>
    <w:rsid w:val="00FE0A01"/>
    <w:rsid w:val="00FE1267"/>
    <w:rsid w:val="00FE2FDC"/>
    <w:rsid w:val="00FE430C"/>
    <w:rsid w:val="00FE4A8C"/>
    <w:rsid w:val="00FE5B05"/>
    <w:rsid w:val="00FE7953"/>
    <w:rsid w:val="00FE7CE7"/>
    <w:rsid w:val="00FF0576"/>
    <w:rsid w:val="00FF1B18"/>
    <w:rsid w:val="00FF1DF7"/>
    <w:rsid w:val="00FF1FC9"/>
    <w:rsid w:val="00FF29D2"/>
    <w:rsid w:val="00FF2B0C"/>
    <w:rsid w:val="00FF3B6C"/>
    <w:rsid w:val="00FF40AB"/>
    <w:rsid w:val="00FF68C7"/>
    <w:rsid w:val="00FF6E1D"/>
    <w:rsid w:val="00FF7964"/>
    <w:rsid w:val="0167398B"/>
    <w:rsid w:val="02EE2FE1"/>
    <w:rsid w:val="04D550AF"/>
    <w:rsid w:val="055B3806"/>
    <w:rsid w:val="084560A8"/>
    <w:rsid w:val="09B07E99"/>
    <w:rsid w:val="09BF2894"/>
    <w:rsid w:val="0A8E0343"/>
    <w:rsid w:val="0C5E4C02"/>
    <w:rsid w:val="0C7F06E6"/>
    <w:rsid w:val="0D2715CF"/>
    <w:rsid w:val="0FDE14E6"/>
    <w:rsid w:val="10913462"/>
    <w:rsid w:val="11515ABE"/>
    <w:rsid w:val="11F13A8A"/>
    <w:rsid w:val="12462D45"/>
    <w:rsid w:val="12F977F0"/>
    <w:rsid w:val="14542387"/>
    <w:rsid w:val="14883A11"/>
    <w:rsid w:val="15BF393E"/>
    <w:rsid w:val="15DB004C"/>
    <w:rsid w:val="16014611"/>
    <w:rsid w:val="167FA4C3"/>
    <w:rsid w:val="16C71359"/>
    <w:rsid w:val="17BC2D1E"/>
    <w:rsid w:val="1946257C"/>
    <w:rsid w:val="1A523668"/>
    <w:rsid w:val="1AA41354"/>
    <w:rsid w:val="1C694603"/>
    <w:rsid w:val="1D37025D"/>
    <w:rsid w:val="1F7A03BD"/>
    <w:rsid w:val="20540B11"/>
    <w:rsid w:val="21B71F52"/>
    <w:rsid w:val="220F79FB"/>
    <w:rsid w:val="231E732C"/>
    <w:rsid w:val="24831FDA"/>
    <w:rsid w:val="253908EB"/>
    <w:rsid w:val="276E41F0"/>
    <w:rsid w:val="277B168E"/>
    <w:rsid w:val="27FF1E77"/>
    <w:rsid w:val="28AD1D1C"/>
    <w:rsid w:val="297E3C0D"/>
    <w:rsid w:val="299F0CDF"/>
    <w:rsid w:val="2A9767DF"/>
    <w:rsid w:val="2D7330B7"/>
    <w:rsid w:val="2ED27DE6"/>
    <w:rsid w:val="30C360AF"/>
    <w:rsid w:val="31ED445D"/>
    <w:rsid w:val="32194741"/>
    <w:rsid w:val="32230959"/>
    <w:rsid w:val="333353B4"/>
    <w:rsid w:val="33C22F56"/>
    <w:rsid w:val="33F41B5E"/>
    <w:rsid w:val="377432D3"/>
    <w:rsid w:val="3B5A188F"/>
    <w:rsid w:val="3D2C126C"/>
    <w:rsid w:val="3D9A2417"/>
    <w:rsid w:val="3DF2315D"/>
    <w:rsid w:val="3E037C4A"/>
    <w:rsid w:val="3F3378EB"/>
    <w:rsid w:val="3F443A6A"/>
    <w:rsid w:val="3F7647BE"/>
    <w:rsid w:val="3FCF794B"/>
    <w:rsid w:val="40813757"/>
    <w:rsid w:val="409809E3"/>
    <w:rsid w:val="41FB36A0"/>
    <w:rsid w:val="44421112"/>
    <w:rsid w:val="46150CCA"/>
    <w:rsid w:val="46236D21"/>
    <w:rsid w:val="472E26FC"/>
    <w:rsid w:val="47AD2D46"/>
    <w:rsid w:val="49E571DC"/>
    <w:rsid w:val="4B2110DC"/>
    <w:rsid w:val="4D9B7423"/>
    <w:rsid w:val="4DAD07E4"/>
    <w:rsid w:val="4E564138"/>
    <w:rsid w:val="4F070A54"/>
    <w:rsid w:val="4F3E3957"/>
    <w:rsid w:val="4F520406"/>
    <w:rsid w:val="509F251E"/>
    <w:rsid w:val="51006AC6"/>
    <w:rsid w:val="5109637F"/>
    <w:rsid w:val="537F7C8D"/>
    <w:rsid w:val="544019D4"/>
    <w:rsid w:val="553BE3CE"/>
    <w:rsid w:val="55915A56"/>
    <w:rsid w:val="5658594D"/>
    <w:rsid w:val="569D042A"/>
    <w:rsid w:val="5AF3DD9C"/>
    <w:rsid w:val="5B1121C0"/>
    <w:rsid w:val="5B5E3A89"/>
    <w:rsid w:val="5BF3E6B8"/>
    <w:rsid w:val="5CAD5202"/>
    <w:rsid w:val="5F4DE6C0"/>
    <w:rsid w:val="5FDBC1AD"/>
    <w:rsid w:val="61320103"/>
    <w:rsid w:val="62141232"/>
    <w:rsid w:val="645B7BDD"/>
    <w:rsid w:val="651D5558"/>
    <w:rsid w:val="66687B0D"/>
    <w:rsid w:val="67114C48"/>
    <w:rsid w:val="681A18DB"/>
    <w:rsid w:val="6B1765A5"/>
    <w:rsid w:val="6CF218E5"/>
    <w:rsid w:val="6D0449D5"/>
    <w:rsid w:val="6D292B9E"/>
    <w:rsid w:val="6F3F3D05"/>
    <w:rsid w:val="6F5EA118"/>
    <w:rsid w:val="6F5F10B3"/>
    <w:rsid w:val="6F6349E8"/>
    <w:rsid w:val="6F9401C4"/>
    <w:rsid w:val="6FABADDF"/>
    <w:rsid w:val="6FBD4BAA"/>
    <w:rsid w:val="6FEF2D87"/>
    <w:rsid w:val="70187047"/>
    <w:rsid w:val="708B760A"/>
    <w:rsid w:val="74733D42"/>
    <w:rsid w:val="75260B82"/>
    <w:rsid w:val="76432944"/>
    <w:rsid w:val="779360F2"/>
    <w:rsid w:val="77FD5731"/>
    <w:rsid w:val="79670A84"/>
    <w:rsid w:val="796C3F60"/>
    <w:rsid w:val="7A7F4D4B"/>
    <w:rsid w:val="7AE85B25"/>
    <w:rsid w:val="7AFD5B01"/>
    <w:rsid w:val="7B0E1EDF"/>
    <w:rsid w:val="7B2C39A7"/>
    <w:rsid w:val="7BB78554"/>
    <w:rsid w:val="7BCE23C7"/>
    <w:rsid w:val="7BE129E3"/>
    <w:rsid w:val="7CB853B5"/>
    <w:rsid w:val="7DC44649"/>
    <w:rsid w:val="7EE99B0B"/>
    <w:rsid w:val="7EEF3CDB"/>
    <w:rsid w:val="7F9458D1"/>
    <w:rsid w:val="7FB97930"/>
    <w:rsid w:val="9D7B826C"/>
    <w:rsid w:val="A537C1EC"/>
    <w:rsid w:val="BBDF246A"/>
    <w:rsid w:val="BCFDAD78"/>
    <w:rsid w:val="BFB56004"/>
    <w:rsid w:val="BFB8390D"/>
    <w:rsid w:val="BFF7F7EC"/>
    <w:rsid w:val="D7F945B9"/>
    <w:rsid w:val="DF3AE4CE"/>
    <w:rsid w:val="EAEC179F"/>
    <w:rsid w:val="EE6B68B7"/>
    <w:rsid w:val="EFEBE7AB"/>
    <w:rsid w:val="FC7B478A"/>
    <w:rsid w:val="FDFD454F"/>
    <w:rsid w:val="FE5FDBBF"/>
    <w:rsid w:val="FE7A966D"/>
    <w:rsid w:val="FE7F5B46"/>
    <w:rsid w:val="FEBF85CF"/>
    <w:rsid w:val="FF9E62E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iPriority="99" w:semiHidden="0" w:name="footer"/>
    <w:lsdException w:qFormat="1"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44"/>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rFonts w:eastAsia="宋体"/>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rFonts w:eastAsia="宋体"/>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 w:val="21"/>
      <w:szCs w:val="21"/>
    </w:rPr>
  </w:style>
  <w:style w:type="character" w:default="1" w:styleId="39">
    <w:name w:val="Default Paragraph Font"/>
    <w:semiHidden/>
    <w:qFormat/>
    <w:uiPriority w:val="0"/>
  </w:style>
  <w:style w:type="table" w:default="1" w:styleId="37">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0"/>
    <w:pPr>
      <w:ind w:left="1800"/>
      <w:jc w:val="left"/>
    </w:pPr>
    <w:rPr>
      <w:rFonts w:ascii="Calibri" w:hAnsi="Calibri" w:cs="Calibri"/>
      <w:sz w:val="18"/>
      <w:szCs w:val="18"/>
    </w:rPr>
  </w:style>
  <w:style w:type="paragraph" w:styleId="12">
    <w:name w:val="Normal Indent"/>
    <w:basedOn w:val="1"/>
    <w:qFormat/>
    <w:uiPriority w:val="0"/>
    <w:pPr>
      <w:autoSpaceDE w:val="0"/>
      <w:autoSpaceDN w:val="0"/>
      <w:adjustRightInd w:val="0"/>
      <w:ind w:firstLine="420"/>
      <w:jc w:val="left"/>
    </w:pPr>
    <w:rPr>
      <w:rFonts w:ascii="宋体"/>
      <w:kern w:val="0"/>
      <w:sz w:val="24"/>
      <w:szCs w:val="20"/>
    </w:rPr>
  </w:style>
  <w:style w:type="paragraph" w:styleId="13">
    <w:name w:val="Document Map"/>
    <w:basedOn w:val="1"/>
    <w:semiHidden/>
    <w:qFormat/>
    <w:uiPriority w:val="0"/>
    <w:pPr>
      <w:shd w:val="clear" w:color="auto" w:fill="000080"/>
    </w:pPr>
  </w:style>
  <w:style w:type="paragraph" w:styleId="14">
    <w:name w:val="annotation text"/>
    <w:basedOn w:val="1"/>
    <w:link w:val="45"/>
    <w:qFormat/>
    <w:uiPriority w:val="0"/>
    <w:pPr>
      <w:jc w:val="left"/>
    </w:pPr>
  </w:style>
  <w:style w:type="paragraph" w:styleId="15">
    <w:name w:val="Body Text"/>
    <w:basedOn w:val="1"/>
    <w:qFormat/>
    <w:uiPriority w:val="0"/>
    <w:pPr>
      <w:numPr>
        <w:ilvl w:val="0"/>
        <w:numId w:val="1"/>
      </w:numPr>
      <w:spacing w:after="120"/>
    </w:pPr>
    <w:rPr>
      <w:rFonts w:ascii="Calibri" w:hAnsi="Calibri" w:eastAsia="宋体"/>
      <w:sz w:val="21"/>
      <w:szCs w:val="22"/>
    </w:rPr>
  </w:style>
  <w:style w:type="paragraph" w:styleId="16">
    <w:name w:val="Body Text Indent"/>
    <w:basedOn w:val="1"/>
    <w:qFormat/>
    <w:uiPriority w:val="0"/>
    <w:pPr>
      <w:spacing w:after="120"/>
      <w:ind w:left="420" w:leftChars="200"/>
    </w:pPr>
  </w:style>
  <w:style w:type="paragraph" w:styleId="17">
    <w:name w:val="toc 5"/>
    <w:basedOn w:val="1"/>
    <w:next w:val="1"/>
    <w:qFormat/>
    <w:uiPriority w:val="0"/>
    <w:pPr>
      <w:ind w:left="1200"/>
      <w:jc w:val="left"/>
    </w:pPr>
    <w:rPr>
      <w:rFonts w:ascii="Calibri" w:hAnsi="Calibri" w:cs="Calibri"/>
      <w:sz w:val="18"/>
      <w:szCs w:val="18"/>
    </w:rPr>
  </w:style>
  <w:style w:type="paragraph" w:styleId="18">
    <w:name w:val="toc 3"/>
    <w:basedOn w:val="1"/>
    <w:next w:val="1"/>
    <w:unhideWhenUsed/>
    <w:qFormat/>
    <w:uiPriority w:val="39"/>
    <w:pPr>
      <w:ind w:left="600"/>
      <w:jc w:val="left"/>
    </w:pPr>
    <w:rPr>
      <w:rFonts w:ascii="Calibri" w:hAnsi="Calibri" w:cs="Calibri"/>
      <w:i/>
      <w:iCs/>
      <w:sz w:val="20"/>
      <w:szCs w:val="20"/>
    </w:rPr>
  </w:style>
  <w:style w:type="paragraph" w:styleId="19">
    <w:name w:val="Plain Text"/>
    <w:basedOn w:val="1"/>
    <w:unhideWhenUsed/>
    <w:qFormat/>
    <w:uiPriority w:val="0"/>
    <w:rPr>
      <w:rFonts w:ascii="宋体" w:hAnsi="Courier New" w:eastAsia="宋体" w:cs="Courier New"/>
      <w:szCs w:val="21"/>
    </w:rPr>
  </w:style>
  <w:style w:type="paragraph" w:styleId="20">
    <w:name w:val="toc 8"/>
    <w:basedOn w:val="1"/>
    <w:next w:val="1"/>
    <w:qFormat/>
    <w:uiPriority w:val="0"/>
    <w:pPr>
      <w:ind w:left="2100"/>
      <w:jc w:val="left"/>
    </w:pPr>
    <w:rPr>
      <w:rFonts w:ascii="Calibri" w:hAnsi="Calibri" w:cs="Calibri"/>
      <w:sz w:val="18"/>
      <w:szCs w:val="18"/>
    </w:rPr>
  </w:style>
  <w:style w:type="paragraph" w:styleId="21">
    <w:name w:val="Body Text Indent 2"/>
    <w:basedOn w:val="1"/>
    <w:link w:val="46"/>
    <w:qFormat/>
    <w:uiPriority w:val="0"/>
    <w:pPr>
      <w:spacing w:after="120" w:line="480" w:lineRule="auto"/>
      <w:ind w:left="420" w:leftChars="200"/>
    </w:pPr>
    <w:rPr>
      <w:rFonts w:eastAsia="宋体"/>
      <w:sz w:val="21"/>
    </w:rPr>
  </w:style>
  <w:style w:type="paragraph" w:styleId="22">
    <w:name w:val="Balloon Text"/>
    <w:basedOn w:val="1"/>
    <w:semiHidden/>
    <w:qFormat/>
    <w:uiPriority w:val="0"/>
    <w:rPr>
      <w:sz w:val="18"/>
      <w:szCs w:val="18"/>
    </w:rPr>
  </w:style>
  <w:style w:type="paragraph" w:styleId="23">
    <w:name w:val="footer"/>
    <w:basedOn w:val="1"/>
    <w:link w:val="47"/>
    <w:unhideWhenUsed/>
    <w:qFormat/>
    <w:uiPriority w:val="99"/>
    <w:pPr>
      <w:tabs>
        <w:tab w:val="center" w:pos="4153"/>
        <w:tab w:val="right" w:pos="8306"/>
      </w:tabs>
      <w:snapToGrid w:val="0"/>
      <w:jc w:val="left"/>
    </w:pPr>
    <w:rPr>
      <w:rFonts w:eastAsia="宋体"/>
      <w:kern w:val="0"/>
      <w:sz w:val="18"/>
      <w:szCs w:val="18"/>
    </w:rPr>
  </w:style>
  <w:style w:type="paragraph" w:styleId="24">
    <w:name w:val="header"/>
    <w:basedOn w:val="1"/>
    <w:link w:val="48"/>
    <w:qFormat/>
    <w:uiPriority w:val="99"/>
    <w:pPr>
      <w:pBdr>
        <w:bottom w:val="single" w:color="auto" w:sz="6" w:space="1"/>
      </w:pBdr>
      <w:tabs>
        <w:tab w:val="center" w:pos="4153"/>
        <w:tab w:val="right" w:pos="8306"/>
      </w:tabs>
      <w:snapToGrid w:val="0"/>
      <w:jc w:val="center"/>
    </w:pPr>
    <w:rPr>
      <w:sz w:val="18"/>
      <w:szCs w:val="18"/>
    </w:rPr>
  </w:style>
  <w:style w:type="paragraph" w:styleId="25">
    <w:name w:val="toc 1"/>
    <w:basedOn w:val="1"/>
    <w:next w:val="1"/>
    <w:unhideWhenUsed/>
    <w:qFormat/>
    <w:uiPriority w:val="39"/>
    <w:pPr>
      <w:spacing w:before="120" w:after="120"/>
      <w:jc w:val="left"/>
    </w:pPr>
    <w:rPr>
      <w:rFonts w:ascii="Calibri" w:hAnsi="Calibri" w:cs="Calibri"/>
      <w:b/>
      <w:bCs/>
      <w:caps/>
      <w:sz w:val="20"/>
      <w:szCs w:val="20"/>
    </w:rPr>
  </w:style>
  <w:style w:type="paragraph" w:styleId="26">
    <w:name w:val="toc 4"/>
    <w:basedOn w:val="1"/>
    <w:next w:val="1"/>
    <w:qFormat/>
    <w:uiPriority w:val="0"/>
    <w:pPr>
      <w:ind w:left="900"/>
      <w:jc w:val="left"/>
    </w:pPr>
    <w:rPr>
      <w:rFonts w:ascii="Calibri" w:hAnsi="Calibri" w:cs="Calibri"/>
      <w:sz w:val="18"/>
      <w:szCs w:val="18"/>
    </w:rPr>
  </w:style>
  <w:style w:type="paragraph" w:styleId="27">
    <w:name w:val="index heading"/>
    <w:basedOn w:val="1"/>
    <w:next w:val="28"/>
    <w:unhideWhenUsed/>
    <w:qFormat/>
    <w:uiPriority w:val="0"/>
    <w:rPr>
      <w:rFonts w:ascii="Cambria" w:hAnsi="Cambria" w:eastAsia="宋体" w:cs="Times New Roman"/>
      <w:b/>
      <w:bCs/>
    </w:rPr>
  </w:style>
  <w:style w:type="paragraph" w:styleId="28">
    <w:name w:val="index 1"/>
    <w:basedOn w:val="1"/>
    <w:next w:val="1"/>
    <w:unhideWhenUsed/>
    <w:qFormat/>
    <w:uiPriority w:val="0"/>
  </w:style>
  <w:style w:type="paragraph" w:styleId="29">
    <w:name w:val="footnote text"/>
    <w:basedOn w:val="1"/>
    <w:link w:val="49"/>
    <w:qFormat/>
    <w:uiPriority w:val="0"/>
    <w:pPr>
      <w:snapToGrid w:val="0"/>
      <w:jc w:val="left"/>
    </w:pPr>
    <w:rPr>
      <w:rFonts w:ascii="Calibri" w:hAnsi="Calibri" w:eastAsia="宋体"/>
      <w:kern w:val="0"/>
      <w:sz w:val="18"/>
      <w:szCs w:val="20"/>
    </w:rPr>
  </w:style>
  <w:style w:type="paragraph" w:styleId="30">
    <w:name w:val="toc 6"/>
    <w:basedOn w:val="1"/>
    <w:next w:val="1"/>
    <w:qFormat/>
    <w:uiPriority w:val="0"/>
    <w:pPr>
      <w:ind w:left="1500"/>
      <w:jc w:val="left"/>
    </w:pPr>
    <w:rPr>
      <w:rFonts w:ascii="Calibri" w:hAnsi="Calibri" w:cs="Calibri"/>
      <w:sz w:val="18"/>
      <w:szCs w:val="18"/>
    </w:rPr>
  </w:style>
  <w:style w:type="paragraph" w:styleId="31">
    <w:name w:val="Body Text Indent 3"/>
    <w:basedOn w:val="1"/>
    <w:qFormat/>
    <w:uiPriority w:val="0"/>
    <w:pPr>
      <w:spacing w:after="120"/>
      <w:ind w:left="420" w:leftChars="200"/>
    </w:pPr>
    <w:rPr>
      <w:sz w:val="16"/>
      <w:szCs w:val="16"/>
    </w:rPr>
  </w:style>
  <w:style w:type="paragraph" w:styleId="32">
    <w:name w:val="toc 2"/>
    <w:basedOn w:val="1"/>
    <w:next w:val="1"/>
    <w:qFormat/>
    <w:uiPriority w:val="39"/>
    <w:pPr>
      <w:ind w:left="300"/>
      <w:jc w:val="left"/>
    </w:pPr>
    <w:rPr>
      <w:rFonts w:ascii="Calibri" w:hAnsi="Calibri" w:cs="Calibri"/>
      <w:smallCaps/>
      <w:sz w:val="20"/>
      <w:szCs w:val="20"/>
    </w:rPr>
  </w:style>
  <w:style w:type="paragraph" w:styleId="33">
    <w:name w:val="toc 9"/>
    <w:basedOn w:val="1"/>
    <w:next w:val="1"/>
    <w:qFormat/>
    <w:uiPriority w:val="0"/>
    <w:pPr>
      <w:ind w:left="2400"/>
      <w:jc w:val="left"/>
    </w:pPr>
    <w:rPr>
      <w:rFonts w:ascii="Calibri" w:hAnsi="Calibri" w:cs="Calibri"/>
      <w:sz w:val="18"/>
      <w:szCs w:val="18"/>
    </w:rPr>
  </w:style>
  <w:style w:type="paragraph" w:styleId="34">
    <w:name w:val="Normal (Web)"/>
    <w:basedOn w:val="1"/>
    <w:qFormat/>
    <w:uiPriority w:val="99"/>
    <w:pPr>
      <w:widowControl/>
      <w:spacing w:before="100" w:beforeAutospacing="1" w:after="100" w:afterAutospacing="1"/>
      <w:jc w:val="left"/>
    </w:pPr>
    <w:rPr>
      <w:rFonts w:hint="eastAsia" w:ascii="Arial Unicode MS" w:hAnsi="Arial Unicode MS" w:eastAsia="Arial Unicode MS" w:cs="Arial Unicode MS"/>
      <w:color w:val="000000"/>
      <w:kern w:val="0"/>
      <w:sz w:val="24"/>
    </w:rPr>
  </w:style>
  <w:style w:type="paragraph" w:styleId="35">
    <w:name w:val="Title"/>
    <w:basedOn w:val="1"/>
    <w:next w:val="1"/>
    <w:qFormat/>
    <w:uiPriority w:val="10"/>
    <w:pPr>
      <w:spacing w:before="240" w:after="60"/>
      <w:jc w:val="center"/>
      <w:outlineLvl w:val="0"/>
    </w:pPr>
    <w:rPr>
      <w:rFonts w:ascii="Cambria" w:hAnsi="Cambria" w:eastAsia="宋体" w:cs="Times New Roman"/>
      <w:b/>
      <w:bCs/>
      <w:sz w:val="32"/>
      <w:szCs w:val="32"/>
    </w:rPr>
  </w:style>
  <w:style w:type="paragraph" w:styleId="36">
    <w:name w:val="annotation subject"/>
    <w:basedOn w:val="14"/>
    <w:next w:val="14"/>
    <w:semiHidden/>
    <w:qFormat/>
    <w:uiPriority w:val="0"/>
    <w:rPr>
      <w:b/>
      <w:bCs/>
    </w:rPr>
  </w:style>
  <w:style w:type="table" w:styleId="38">
    <w:name w:val="Table Grid"/>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0"/>
    <w:rPr>
      <w:b/>
    </w:rPr>
  </w:style>
  <w:style w:type="character" w:styleId="41">
    <w:name w:val="Hyperlink"/>
    <w:qFormat/>
    <w:uiPriority w:val="99"/>
    <w:rPr>
      <w:color w:val="0000FF"/>
      <w:u w:val="single"/>
    </w:rPr>
  </w:style>
  <w:style w:type="character" w:styleId="42">
    <w:name w:val="annotation reference"/>
    <w:semiHidden/>
    <w:qFormat/>
    <w:uiPriority w:val="0"/>
    <w:rPr>
      <w:sz w:val="21"/>
      <w:szCs w:val="21"/>
    </w:rPr>
  </w:style>
  <w:style w:type="character" w:styleId="43">
    <w:name w:val="footnote reference"/>
    <w:qFormat/>
    <w:uiPriority w:val="0"/>
    <w:rPr>
      <w:rFonts w:cs="Times New Roman"/>
      <w:vertAlign w:val="superscript"/>
    </w:rPr>
  </w:style>
  <w:style w:type="character" w:customStyle="1" w:styleId="44">
    <w:name w:val="标题 1 字符"/>
    <w:link w:val="2"/>
    <w:qFormat/>
    <w:uiPriority w:val="0"/>
    <w:rPr>
      <w:rFonts w:eastAsia="仿宋_GB2312"/>
      <w:b/>
      <w:bCs/>
      <w:kern w:val="44"/>
      <w:sz w:val="44"/>
      <w:szCs w:val="44"/>
    </w:rPr>
  </w:style>
  <w:style w:type="character" w:customStyle="1" w:styleId="45">
    <w:name w:val="批注文字 字符"/>
    <w:link w:val="14"/>
    <w:qFormat/>
    <w:uiPriority w:val="0"/>
    <w:rPr>
      <w:rFonts w:eastAsia="仿宋_GB2312"/>
      <w:kern w:val="2"/>
      <w:sz w:val="30"/>
      <w:szCs w:val="24"/>
    </w:rPr>
  </w:style>
  <w:style w:type="character" w:customStyle="1" w:styleId="46">
    <w:name w:val="正文文本缩进 2 字符"/>
    <w:link w:val="21"/>
    <w:qFormat/>
    <w:uiPriority w:val="0"/>
    <w:rPr>
      <w:rFonts w:eastAsia="宋体"/>
      <w:kern w:val="2"/>
      <w:sz w:val="21"/>
      <w:szCs w:val="24"/>
      <w:lang w:val="en-US" w:eastAsia="zh-CN" w:bidi="ar-SA"/>
    </w:rPr>
  </w:style>
  <w:style w:type="character" w:customStyle="1" w:styleId="47">
    <w:name w:val="页脚 字符1"/>
    <w:link w:val="23"/>
    <w:qFormat/>
    <w:uiPriority w:val="99"/>
    <w:rPr>
      <w:rFonts w:eastAsia="宋体"/>
      <w:sz w:val="18"/>
      <w:szCs w:val="18"/>
      <w:lang w:bidi="ar-SA"/>
    </w:rPr>
  </w:style>
  <w:style w:type="character" w:customStyle="1" w:styleId="48">
    <w:name w:val="页眉 字符"/>
    <w:link w:val="24"/>
    <w:qFormat/>
    <w:uiPriority w:val="99"/>
    <w:rPr>
      <w:rFonts w:eastAsia="仿宋_GB2312"/>
      <w:kern w:val="2"/>
      <w:sz w:val="18"/>
      <w:szCs w:val="18"/>
    </w:rPr>
  </w:style>
  <w:style w:type="character" w:customStyle="1" w:styleId="49">
    <w:name w:val="脚注文本 字符"/>
    <w:link w:val="29"/>
    <w:qFormat/>
    <w:uiPriority w:val="0"/>
    <w:rPr>
      <w:rFonts w:ascii="Calibri" w:hAnsi="Calibri"/>
      <w:sz w:val="18"/>
    </w:rPr>
  </w:style>
  <w:style w:type="paragraph" w:customStyle="1" w:styleId="50">
    <w:name w:val=" Char2"/>
    <w:basedOn w:val="1"/>
    <w:qFormat/>
    <w:uiPriority w:val="0"/>
    <w:pPr>
      <w:widowControl/>
      <w:spacing w:after="160" w:line="240" w:lineRule="exact"/>
      <w:jc w:val="left"/>
    </w:pPr>
    <w:rPr>
      <w:rFonts w:ascii="Verdana" w:hAnsi="Verdana"/>
      <w:kern w:val="0"/>
      <w:sz w:val="24"/>
      <w:szCs w:val="20"/>
      <w:lang w:eastAsia="en-US"/>
    </w:rPr>
  </w:style>
  <w:style w:type="paragraph" w:customStyle="1" w:styleId="51">
    <w:name w:val="Char1 Char Char Char"/>
    <w:basedOn w:val="1"/>
    <w:qFormat/>
    <w:uiPriority w:val="0"/>
    <w:pPr>
      <w:widowControl/>
      <w:spacing w:after="160" w:line="240" w:lineRule="exact"/>
      <w:jc w:val="left"/>
    </w:pPr>
    <w:rPr>
      <w:rFonts w:ascii="Verdana" w:hAnsi="Verdana"/>
      <w:kern w:val="0"/>
      <w:szCs w:val="30"/>
      <w:lang w:eastAsia="en-US"/>
    </w:rPr>
  </w:style>
  <w:style w:type="paragraph" w:customStyle="1" w:styleId="52">
    <w:name w:val=" Char Char Char Char"/>
    <w:basedOn w:val="1"/>
    <w:qFormat/>
    <w:uiPriority w:val="0"/>
    <w:pPr>
      <w:numPr>
        <w:ilvl w:val="0"/>
        <w:numId w:val="2"/>
      </w:numPr>
    </w:pPr>
    <w:rPr>
      <w:rFonts w:eastAsia="宋体"/>
      <w:sz w:val="24"/>
    </w:rPr>
  </w:style>
  <w:style w:type="paragraph" w:customStyle="1" w:styleId="53">
    <w:name w:val=" Char1"/>
    <w:basedOn w:val="1"/>
    <w:qFormat/>
    <w:uiPriority w:val="0"/>
    <w:rPr>
      <w:rFonts w:ascii="宋体" w:hAnsi="宋体" w:eastAsia="宋体" w:cs="Courier New"/>
      <w:sz w:val="32"/>
      <w:szCs w:val="32"/>
    </w:rPr>
  </w:style>
  <w:style w:type="paragraph" w:customStyle="1" w:styleId="54">
    <w:name w:val=" Char Char Char Char Char Char Char Char Char Char Char Char"/>
    <w:basedOn w:val="1"/>
    <w:qFormat/>
    <w:uiPriority w:val="0"/>
    <w:rPr>
      <w:rFonts w:ascii="宋体" w:hAnsi="宋体" w:eastAsia="宋体" w:cs="Courier New"/>
      <w:sz w:val="32"/>
      <w:szCs w:val="32"/>
    </w:rPr>
  </w:style>
  <w:style w:type="paragraph" w:customStyle="1" w:styleId="55">
    <w:name w:val=" Char Char Char1 Char Char Char Char"/>
    <w:basedOn w:val="1"/>
    <w:qFormat/>
    <w:uiPriority w:val="0"/>
    <w:rPr>
      <w:rFonts w:ascii="Tahoma" w:hAnsi="Tahoma" w:eastAsia="宋体"/>
      <w:sz w:val="24"/>
      <w:szCs w:val="20"/>
    </w:rPr>
  </w:style>
  <w:style w:type="paragraph" w:customStyle="1" w:styleId="56">
    <w:name w:val=" Char1 Char Char"/>
    <w:basedOn w:val="1"/>
    <w:qFormat/>
    <w:uiPriority w:val="0"/>
    <w:pPr>
      <w:widowControl/>
      <w:spacing w:after="160" w:line="240" w:lineRule="exact"/>
      <w:jc w:val="left"/>
    </w:pPr>
    <w:rPr>
      <w:rFonts w:ascii="Verdana" w:hAnsi="Verdana"/>
      <w:kern w:val="0"/>
      <w:sz w:val="24"/>
      <w:szCs w:val="20"/>
      <w:lang w:eastAsia="en-US"/>
    </w:rPr>
  </w:style>
  <w:style w:type="paragraph" w:styleId="57">
    <w:name w:val="List Paragraph"/>
    <w:basedOn w:val="1"/>
    <w:qFormat/>
    <w:uiPriority w:val="34"/>
    <w:pPr>
      <w:ind w:firstLine="420" w:firstLineChars="200"/>
    </w:pPr>
  </w:style>
  <w:style w:type="paragraph" w:customStyle="1" w:styleId="58">
    <w:name w:val="_Style 57"/>
    <w:semiHidden/>
    <w:qFormat/>
    <w:uiPriority w:val="99"/>
    <w:rPr>
      <w:rFonts w:ascii="Times New Roman" w:hAnsi="Times New Roman" w:eastAsia="仿宋_GB2312" w:cs="Times New Roman"/>
      <w:kern w:val="2"/>
      <w:sz w:val="30"/>
      <w:szCs w:val="24"/>
      <w:lang w:val="en-US" w:eastAsia="zh-CN" w:bidi="ar-SA"/>
    </w:rPr>
  </w:style>
  <w:style w:type="character" w:customStyle="1" w:styleId="59">
    <w:name w:val="正文1 Char"/>
    <w:link w:val="60"/>
    <w:qFormat/>
    <w:locked/>
    <w:uiPriority w:val="0"/>
    <w:rPr>
      <w:rFonts w:ascii="宋体" w:hAnsi="宋体" w:eastAsia="仿宋_GB2312"/>
      <w:spacing w:val="6"/>
      <w:sz w:val="24"/>
    </w:rPr>
  </w:style>
  <w:style w:type="paragraph" w:customStyle="1" w:styleId="60">
    <w:name w:val="正文1"/>
    <w:basedOn w:val="1"/>
    <w:link w:val="59"/>
    <w:qFormat/>
    <w:uiPriority w:val="0"/>
    <w:pPr>
      <w:autoSpaceDE w:val="0"/>
      <w:autoSpaceDN w:val="0"/>
      <w:adjustRightInd w:val="0"/>
      <w:snapToGrid w:val="0"/>
      <w:spacing w:line="600" w:lineRule="exact"/>
      <w:ind w:firstLine="624" w:firstLineChars="200"/>
    </w:pPr>
    <w:rPr>
      <w:rFonts w:ascii="宋体" w:hAnsi="宋体"/>
      <w:spacing w:val="6"/>
      <w:kern w:val="0"/>
      <w:sz w:val="24"/>
      <w:szCs w:val="20"/>
    </w:rPr>
  </w:style>
  <w:style w:type="paragraph" w:customStyle="1" w:styleId="61">
    <w:name w:val="_Style 6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character" w:customStyle="1" w:styleId="62">
    <w:name w:val="页脚 字符"/>
    <w:qFormat/>
    <w:uiPriority w:val="99"/>
  </w:style>
  <w:style w:type="character" w:customStyle="1" w:styleId="63">
    <w:name w:val="font11"/>
    <w:qFormat/>
    <w:uiPriority w:val="0"/>
    <w:rPr>
      <w:rFonts w:hint="eastAsia" w:ascii="宋体" w:hAnsi="宋体" w:eastAsia="宋体" w:cs="宋体"/>
      <w:b/>
      <w:bCs/>
      <w:color w:val="000000"/>
      <w:sz w:val="20"/>
      <w:szCs w:val="20"/>
      <w:u w:val="none"/>
    </w:rPr>
  </w:style>
  <w:style w:type="character" w:customStyle="1" w:styleId="64">
    <w:name w:val="font21"/>
    <w:qFormat/>
    <w:uiPriority w:val="0"/>
    <w:rPr>
      <w:rFonts w:hint="eastAsia" w:ascii="宋体" w:hAnsi="宋体" w:eastAsia="宋体" w:cs="宋体"/>
      <w:color w:val="000000"/>
      <w:sz w:val="21"/>
      <w:szCs w:val="21"/>
      <w:u w:val="none"/>
    </w:rPr>
  </w:style>
  <w:style w:type="character" w:customStyle="1" w:styleId="65">
    <w:name w:val="font31"/>
    <w:qFormat/>
    <w:uiPriority w:val="0"/>
    <w:rPr>
      <w:rFonts w:hint="eastAsia" w:ascii="宋体" w:hAnsi="宋体" w:eastAsia="宋体" w:cs="宋体"/>
      <w:color w:val="000000"/>
      <w:sz w:val="20"/>
      <w:szCs w:val="20"/>
      <w:u w:val="none"/>
    </w:rPr>
  </w:style>
  <w:style w:type="character" w:customStyle="1" w:styleId="66">
    <w:name w:val="font41"/>
    <w:qFormat/>
    <w:uiPriority w:val="0"/>
    <w:rPr>
      <w:rFonts w:hint="eastAsia" w:ascii="宋体" w:hAnsi="宋体" w:eastAsia="宋体" w:cs="宋体"/>
      <w:color w:val="000000"/>
      <w:sz w:val="20"/>
      <w:szCs w:val="20"/>
      <w:u w:val="none"/>
      <w:vertAlign w:val="superscript"/>
    </w:rPr>
  </w:style>
  <w:style w:type="paragraph" w:customStyle="1" w:styleId="67">
    <w:name w:val="p1"/>
    <w:basedOn w:val="1"/>
    <w:qFormat/>
    <w:uiPriority w:val="0"/>
    <w:pPr>
      <w:spacing w:before="0" w:beforeAutospacing="0" w:after="0" w:afterAutospacing="0"/>
      <w:ind w:left="0" w:right="0"/>
      <w:jc w:val="left"/>
    </w:pPr>
    <w:rPr>
      <w:rFonts w:ascii="PingFang SC" w:hAnsi="PingFang SC" w:eastAsia="PingFang SC" w:cs="PingFang SC"/>
      <w:color w:val="000000"/>
      <w:kern w:val="0"/>
      <w:sz w:val="28"/>
      <w:szCs w:val="28"/>
      <w:lang w:val="en-US" w:eastAsia="zh-CN" w:bidi="ar"/>
    </w:rPr>
  </w:style>
  <w:style w:type="paragraph" w:customStyle="1" w:styleId="68">
    <w:name w:val="自评价报告"/>
    <w:basedOn w:val="1"/>
    <w:qFormat/>
    <w:uiPriority w:val="0"/>
    <w:pPr>
      <w:spacing w:line="560" w:lineRule="exact"/>
      <w:ind w:firstLine="560" w:firstLineChars="200"/>
    </w:pPr>
    <w:rPr>
      <w:rFonts w:hint="eastAsia" w:ascii="仿宋_GB2312" w:hAnsi="仿宋_GB2312" w:eastAsia="仿宋_GB2312" w:cs="Times New Roman"/>
      <w:color w:val="00000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6266</Words>
  <Characters>6702</Characters>
  <Lines>432</Lines>
  <Paragraphs>358</Paragraphs>
  <TotalTime>38</TotalTime>
  <ScaleCrop>false</ScaleCrop>
  <LinksUpToDate>false</LinksUpToDate>
  <CharactersWithSpaces>6703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2024-05-20T11:51:00Z</dcterms:created>
  <dc:creator>lhn</dc:creator>
  <cp:lastModifiedBy>focc</cp:lastModifiedBy>
  <cp:lastPrinted>2023-05-23T01:34:00Z</cp:lastPrinted>
  <dcterms:modified xsi:type="dcterms:W3CDTF">2025-08-28T01:27:07Z</dcterms:modified>
  <dc:title>财政支出绩效评价报告</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0939BB2E11704813BA3AA5462E0915A0_13</vt:lpwstr>
  </property>
  <property fmtid="{D5CDD505-2E9C-101B-9397-08002B2CF9AE}" pid="4" name="KSOTemplateDocerSaveRecord">
    <vt:lpwstr>eyJoZGlkIjoiNDE0MTY0NTZlYTRiYjIwNjA2ODRhYzZhOTRhMTgzMjciLCJ1c2VySWQiOiI2OTI5NjY2NjMifQ==</vt:lpwstr>
  </property>
</Properties>
</file>