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FF943" w14:textId="77777777" w:rsidR="00D352A1" w:rsidRDefault="005C4FF7">
      <w:pPr>
        <w:adjustRightInd w:val="0"/>
        <w:snapToGrid w:val="0"/>
        <w:spacing w:line="600" w:lineRule="exact"/>
        <w:jc w:val="center"/>
        <w:rPr>
          <w:rFonts w:ascii="华文中宋" w:eastAsia="华文中宋" w:hAnsi="华文中宋"/>
          <w:bCs/>
          <w:sz w:val="36"/>
          <w:szCs w:val="44"/>
        </w:rPr>
      </w:pPr>
      <w:r>
        <w:rPr>
          <w:rFonts w:ascii="华文中宋" w:eastAsia="华文中宋" w:hAnsi="华文中宋" w:hint="eastAsia"/>
          <w:bCs/>
          <w:sz w:val="36"/>
          <w:szCs w:val="44"/>
        </w:rPr>
        <w:t>北京市人民政府参事室</w:t>
      </w:r>
      <w:r>
        <w:rPr>
          <w:rFonts w:ascii="华文中宋" w:eastAsia="华文中宋" w:hAnsi="华文中宋"/>
          <w:bCs/>
          <w:sz w:val="36"/>
          <w:szCs w:val="44"/>
        </w:rPr>
        <w:t>202</w:t>
      </w:r>
      <w:r>
        <w:rPr>
          <w:rFonts w:ascii="华文中宋" w:eastAsia="华文中宋" w:hAnsi="华文中宋" w:hint="eastAsia"/>
          <w:bCs/>
          <w:sz w:val="36"/>
          <w:szCs w:val="44"/>
        </w:rPr>
        <w:t>4年编辑出版</w:t>
      </w:r>
    </w:p>
    <w:p w14:paraId="66F503E6" w14:textId="77777777" w:rsidR="00D352A1" w:rsidRDefault="005C4FF7">
      <w:pPr>
        <w:adjustRightInd w:val="0"/>
        <w:snapToGrid w:val="0"/>
        <w:spacing w:line="600" w:lineRule="exact"/>
        <w:jc w:val="center"/>
        <w:rPr>
          <w:rFonts w:ascii="华文中宋" w:eastAsia="华文中宋" w:hAnsi="华文中宋"/>
          <w:szCs w:val="32"/>
        </w:rPr>
      </w:pPr>
      <w:r>
        <w:rPr>
          <w:rFonts w:ascii="华文中宋" w:eastAsia="华文中宋" w:hAnsi="华文中宋" w:hint="eastAsia"/>
          <w:bCs/>
          <w:sz w:val="36"/>
          <w:szCs w:val="44"/>
        </w:rPr>
        <w:t>《北京地域文化通览》项目绩效评价报告</w:t>
      </w:r>
    </w:p>
    <w:p w14:paraId="60A37189" w14:textId="77777777" w:rsidR="00D352A1" w:rsidRDefault="00D352A1">
      <w:pPr>
        <w:adjustRightInd w:val="0"/>
        <w:snapToGrid w:val="0"/>
        <w:spacing w:line="600" w:lineRule="exact"/>
        <w:ind w:firstLineChars="200" w:firstLine="600"/>
        <w:jc w:val="center"/>
        <w:rPr>
          <w:rFonts w:ascii="仿宋_GB2312"/>
          <w:szCs w:val="32"/>
        </w:rPr>
      </w:pPr>
    </w:p>
    <w:p w14:paraId="79476C95" w14:textId="77777777" w:rsidR="00D352A1" w:rsidRDefault="005C4FF7">
      <w:pPr>
        <w:adjustRightInd w:val="0"/>
        <w:snapToGrid w:val="0"/>
        <w:spacing w:line="600" w:lineRule="exact"/>
        <w:ind w:firstLineChars="200" w:firstLine="640"/>
        <w:outlineLvl w:val="0"/>
        <w:rPr>
          <w:rFonts w:ascii="黑体" w:eastAsia="黑体"/>
          <w:sz w:val="32"/>
          <w:szCs w:val="32"/>
        </w:rPr>
      </w:pPr>
      <w:bookmarkStart w:id="0" w:name="_Toc27925"/>
      <w:bookmarkStart w:id="1" w:name="_Toc35588393"/>
      <w:r>
        <w:rPr>
          <w:rFonts w:ascii="黑体" w:eastAsia="黑体" w:hint="eastAsia"/>
          <w:sz w:val="32"/>
          <w:szCs w:val="32"/>
        </w:rPr>
        <w:t>一、基本情况</w:t>
      </w:r>
      <w:bookmarkEnd w:id="0"/>
      <w:bookmarkEnd w:id="1"/>
    </w:p>
    <w:p w14:paraId="441D8BD6" w14:textId="77777777" w:rsidR="00D352A1" w:rsidRDefault="005C4FF7">
      <w:pPr>
        <w:adjustRightInd w:val="0"/>
        <w:snapToGrid w:val="0"/>
        <w:spacing w:line="600" w:lineRule="exact"/>
        <w:ind w:firstLineChars="200" w:firstLine="640"/>
        <w:outlineLvl w:val="1"/>
        <w:rPr>
          <w:rFonts w:ascii="楷体_GB2312" w:eastAsia="楷体_GB2312"/>
          <w:sz w:val="32"/>
          <w:szCs w:val="32"/>
        </w:rPr>
      </w:pPr>
      <w:bookmarkStart w:id="2" w:name="_Toc35588394"/>
      <w:bookmarkStart w:id="3" w:name="_Toc27307"/>
      <w:r>
        <w:rPr>
          <w:rFonts w:ascii="楷体_GB2312" w:eastAsia="楷体_GB2312" w:hint="eastAsia"/>
          <w:sz w:val="32"/>
          <w:szCs w:val="32"/>
        </w:rPr>
        <w:t>（一）项目概况</w:t>
      </w:r>
      <w:bookmarkEnd w:id="2"/>
      <w:bookmarkEnd w:id="3"/>
    </w:p>
    <w:p w14:paraId="3C8A6663" w14:textId="77777777" w:rsidR="00D352A1" w:rsidRDefault="005C4FF7">
      <w:pPr>
        <w:adjustRightInd w:val="0"/>
        <w:snapToGrid w:val="0"/>
        <w:spacing w:line="600" w:lineRule="exact"/>
        <w:ind w:firstLineChars="200" w:firstLine="640"/>
        <w:outlineLvl w:val="2"/>
        <w:rPr>
          <w:kern w:val="0"/>
          <w:sz w:val="32"/>
          <w:szCs w:val="32"/>
        </w:rPr>
      </w:pPr>
      <w:bookmarkStart w:id="4" w:name="_Toc35588395"/>
      <w:r>
        <w:rPr>
          <w:kern w:val="0"/>
          <w:sz w:val="32"/>
          <w:szCs w:val="32"/>
        </w:rPr>
        <w:t>1.</w:t>
      </w:r>
      <w:r>
        <w:rPr>
          <w:kern w:val="0"/>
          <w:sz w:val="32"/>
          <w:szCs w:val="32"/>
        </w:rPr>
        <w:t>项目背景</w:t>
      </w:r>
      <w:bookmarkEnd w:id="4"/>
    </w:p>
    <w:p w14:paraId="4D513EA3" w14:textId="77777777" w:rsidR="00D352A1" w:rsidRDefault="005C4FF7">
      <w:pPr>
        <w:spacing w:line="640" w:lineRule="exact"/>
        <w:ind w:firstLineChars="200" w:firstLine="640"/>
        <w:rPr>
          <w:sz w:val="32"/>
          <w:szCs w:val="28"/>
        </w:rPr>
      </w:pPr>
      <w:bookmarkStart w:id="5" w:name="_Toc35588396"/>
      <w:r>
        <w:rPr>
          <w:rFonts w:hint="eastAsia"/>
          <w:sz w:val="32"/>
          <w:szCs w:val="28"/>
        </w:rPr>
        <w:t>北京市人民政府参事室是市政府直属机构，与北京市文史研究馆合署办公，主要职责包括：组织市政府参事对政府有关政策的实施情况进行调查研究、参政咨询，向市政府提出意见和建议；负责为市政府参事、市文史馆馆员履行职责提供服务等。市政府参事室（市文史馆）设处级职能部门</w:t>
      </w:r>
      <w:r>
        <w:rPr>
          <w:rFonts w:hint="eastAsia"/>
          <w:sz w:val="32"/>
          <w:szCs w:val="28"/>
        </w:rPr>
        <w:t>5</w:t>
      </w:r>
      <w:r>
        <w:rPr>
          <w:rFonts w:hint="eastAsia"/>
          <w:sz w:val="32"/>
          <w:szCs w:val="28"/>
        </w:rPr>
        <w:t>个，分别是：秘书处、人事处、参事处、文史处、机关党委；所属事业单位</w:t>
      </w:r>
      <w:r>
        <w:rPr>
          <w:rFonts w:hint="eastAsia"/>
          <w:sz w:val="32"/>
          <w:szCs w:val="28"/>
        </w:rPr>
        <w:t>1</w:t>
      </w:r>
      <w:r>
        <w:rPr>
          <w:rFonts w:hint="eastAsia"/>
          <w:sz w:val="32"/>
          <w:szCs w:val="28"/>
        </w:rPr>
        <w:t>个：文史研究中心。其中，组织馆员进行文史研究、书画创作等弘扬中华文化的活动是文史处重要职责之一。</w:t>
      </w:r>
    </w:p>
    <w:p w14:paraId="67F6E5F3" w14:textId="77777777" w:rsidR="00D352A1" w:rsidRDefault="005C4FF7">
      <w:pPr>
        <w:spacing w:line="640" w:lineRule="exact"/>
        <w:ind w:firstLineChars="200" w:firstLine="640"/>
        <w:rPr>
          <w:sz w:val="32"/>
          <w:szCs w:val="28"/>
        </w:rPr>
      </w:pPr>
      <w:r>
        <w:rPr>
          <w:rFonts w:hint="eastAsia"/>
          <w:sz w:val="32"/>
          <w:szCs w:val="28"/>
        </w:rPr>
        <w:t>为深入挖掘北京历史文化的深刻内涵，系统梳理北京各区的历史文化资源，为全国文化中心建设服务，市政府参事室（市文史馆）自</w:t>
      </w:r>
      <w:r>
        <w:rPr>
          <w:rFonts w:hint="eastAsia"/>
          <w:sz w:val="32"/>
          <w:szCs w:val="28"/>
        </w:rPr>
        <w:t>2021</w:t>
      </w:r>
      <w:r>
        <w:rPr>
          <w:rFonts w:hint="eastAsia"/>
          <w:sz w:val="32"/>
          <w:szCs w:val="28"/>
        </w:rPr>
        <w:t>年开始，组织参事馆员和相关领域专家开展《北京地域文化通览·分区卷》的编写工作。计划用</w:t>
      </w:r>
      <w:r>
        <w:rPr>
          <w:sz w:val="32"/>
          <w:szCs w:val="28"/>
        </w:rPr>
        <w:t>10</w:t>
      </w:r>
      <w:r>
        <w:rPr>
          <w:rFonts w:hint="eastAsia"/>
          <w:sz w:val="32"/>
          <w:szCs w:val="28"/>
        </w:rPr>
        <w:t>年时间，完成市行政辖区</w:t>
      </w:r>
      <w:r>
        <w:rPr>
          <w:rFonts w:hint="eastAsia"/>
          <w:sz w:val="32"/>
          <w:szCs w:val="28"/>
        </w:rPr>
        <w:t>16</w:t>
      </w:r>
      <w:r>
        <w:rPr>
          <w:rFonts w:hint="eastAsia"/>
          <w:sz w:val="32"/>
          <w:szCs w:val="28"/>
        </w:rPr>
        <w:t>卷的编撰，并据此申请财政资金设立编辑出版《北京地域文化通览》项目，由文史处负责具体组织实施。</w:t>
      </w:r>
    </w:p>
    <w:p w14:paraId="42CAD61B" w14:textId="77777777" w:rsidR="00D352A1" w:rsidRDefault="005C4FF7">
      <w:pPr>
        <w:spacing w:line="640" w:lineRule="exact"/>
        <w:ind w:firstLineChars="200" w:firstLine="640"/>
        <w:rPr>
          <w:sz w:val="32"/>
          <w:szCs w:val="28"/>
        </w:rPr>
      </w:pPr>
      <w:r>
        <w:rPr>
          <w:rFonts w:hint="eastAsia"/>
          <w:sz w:val="32"/>
          <w:szCs w:val="28"/>
        </w:rPr>
        <w:lastRenderedPageBreak/>
        <w:t>按照《北京地域文化通览·分区卷》编写的整体工作计划，市政府参事室（市文史馆）</w:t>
      </w:r>
      <w:r>
        <w:rPr>
          <w:rFonts w:hint="eastAsia"/>
          <w:sz w:val="32"/>
          <w:szCs w:val="28"/>
        </w:rPr>
        <w:t>2021</w:t>
      </w:r>
      <w:r>
        <w:rPr>
          <w:rFonts w:hint="eastAsia"/>
          <w:sz w:val="32"/>
          <w:szCs w:val="28"/>
        </w:rPr>
        <w:t>年与东城区合作开展了《东城卷》的撰写工作并于</w:t>
      </w:r>
      <w:r>
        <w:rPr>
          <w:rFonts w:hint="eastAsia"/>
          <w:sz w:val="32"/>
          <w:szCs w:val="28"/>
        </w:rPr>
        <w:t>2022</w:t>
      </w:r>
      <w:r>
        <w:rPr>
          <w:rFonts w:hint="eastAsia"/>
          <w:sz w:val="32"/>
          <w:szCs w:val="28"/>
        </w:rPr>
        <w:t>年出版发行，历时两年。</w:t>
      </w:r>
      <w:r>
        <w:rPr>
          <w:rFonts w:hint="eastAsia"/>
          <w:sz w:val="32"/>
          <w:szCs w:val="28"/>
        </w:rPr>
        <w:t>2023</w:t>
      </w:r>
      <w:r>
        <w:rPr>
          <w:rFonts w:hint="eastAsia"/>
          <w:sz w:val="32"/>
          <w:szCs w:val="28"/>
        </w:rPr>
        <w:t>年启动与西城区合作开展《西城卷》的撰写出版，年度内基本完成编写工作，计划于</w:t>
      </w:r>
      <w:r>
        <w:rPr>
          <w:rFonts w:hint="eastAsia"/>
          <w:sz w:val="32"/>
          <w:szCs w:val="28"/>
        </w:rPr>
        <w:t>2024</w:t>
      </w:r>
      <w:r>
        <w:rPr>
          <w:rFonts w:hint="eastAsia"/>
          <w:sz w:val="32"/>
          <w:szCs w:val="28"/>
        </w:rPr>
        <w:t>年出版。</w:t>
      </w:r>
      <w:r>
        <w:rPr>
          <w:rFonts w:hint="eastAsia"/>
          <w:sz w:val="32"/>
          <w:szCs w:val="28"/>
        </w:rPr>
        <w:t>2024</w:t>
      </w:r>
      <w:r>
        <w:rPr>
          <w:rFonts w:hint="eastAsia"/>
          <w:sz w:val="32"/>
          <w:szCs w:val="28"/>
        </w:rPr>
        <w:t>年启动与通州区合作开展《通州卷》的撰写出版，计划历时两年。</w:t>
      </w:r>
    </w:p>
    <w:p w14:paraId="44432D28" w14:textId="77777777" w:rsidR="00D352A1" w:rsidRDefault="005C4FF7">
      <w:pPr>
        <w:adjustRightInd w:val="0"/>
        <w:snapToGrid w:val="0"/>
        <w:spacing w:line="600" w:lineRule="exact"/>
        <w:ind w:firstLineChars="200" w:firstLine="640"/>
        <w:outlineLvl w:val="2"/>
        <w:rPr>
          <w:kern w:val="0"/>
          <w:sz w:val="32"/>
          <w:szCs w:val="32"/>
        </w:rPr>
      </w:pPr>
      <w:r>
        <w:rPr>
          <w:rFonts w:hint="eastAsia"/>
          <w:kern w:val="0"/>
          <w:sz w:val="32"/>
          <w:szCs w:val="32"/>
        </w:rPr>
        <w:t>2.</w:t>
      </w:r>
      <w:r>
        <w:rPr>
          <w:rFonts w:hint="eastAsia"/>
          <w:kern w:val="0"/>
          <w:sz w:val="32"/>
          <w:szCs w:val="32"/>
        </w:rPr>
        <w:t>项目主要内容</w:t>
      </w:r>
      <w:bookmarkEnd w:id="5"/>
      <w:r>
        <w:rPr>
          <w:rFonts w:hint="eastAsia"/>
          <w:kern w:val="0"/>
          <w:sz w:val="32"/>
          <w:szCs w:val="32"/>
        </w:rPr>
        <w:t>及实施情况</w:t>
      </w:r>
    </w:p>
    <w:p w14:paraId="05C60BBE" w14:textId="77777777" w:rsidR="00D352A1" w:rsidRDefault="005C4FF7">
      <w:pPr>
        <w:spacing w:line="640" w:lineRule="exact"/>
        <w:ind w:firstLineChars="200" w:firstLine="640"/>
        <w:rPr>
          <w:sz w:val="32"/>
          <w:szCs w:val="28"/>
        </w:rPr>
      </w:pPr>
      <w:r>
        <w:rPr>
          <w:rFonts w:hint="eastAsia"/>
          <w:sz w:val="32"/>
          <w:szCs w:val="28"/>
        </w:rPr>
        <w:t>2024</w:t>
      </w:r>
      <w:r>
        <w:rPr>
          <w:rFonts w:hint="eastAsia"/>
          <w:sz w:val="32"/>
          <w:szCs w:val="28"/>
        </w:rPr>
        <w:t>年年度周期内，项目的主要工作内容包括《西城卷》的出版及《通州卷》的撰写。截至</w:t>
      </w:r>
      <w:r>
        <w:rPr>
          <w:rFonts w:hint="eastAsia"/>
          <w:sz w:val="32"/>
          <w:szCs w:val="28"/>
        </w:rPr>
        <w:t>2024</w:t>
      </w:r>
      <w:r>
        <w:rPr>
          <w:rFonts w:hint="eastAsia"/>
          <w:sz w:val="32"/>
          <w:szCs w:val="28"/>
        </w:rPr>
        <w:t>年</w:t>
      </w:r>
      <w:r>
        <w:rPr>
          <w:rFonts w:hint="eastAsia"/>
          <w:sz w:val="32"/>
          <w:szCs w:val="28"/>
        </w:rPr>
        <w:t>12</w:t>
      </w:r>
      <w:r>
        <w:rPr>
          <w:rFonts w:hint="eastAsia"/>
          <w:sz w:val="32"/>
          <w:szCs w:val="28"/>
        </w:rPr>
        <w:t>月</w:t>
      </w:r>
      <w:r>
        <w:rPr>
          <w:rFonts w:hint="eastAsia"/>
          <w:sz w:val="32"/>
          <w:szCs w:val="28"/>
        </w:rPr>
        <w:t>31</w:t>
      </w:r>
      <w:r>
        <w:rPr>
          <w:rFonts w:hint="eastAsia"/>
          <w:sz w:val="32"/>
          <w:szCs w:val="28"/>
        </w:rPr>
        <w:t>日，项目预期工作内容全部完成。</w:t>
      </w:r>
    </w:p>
    <w:p w14:paraId="19BD2668" w14:textId="77777777" w:rsidR="00D352A1" w:rsidRDefault="005C4FF7">
      <w:pPr>
        <w:adjustRightInd w:val="0"/>
        <w:snapToGrid w:val="0"/>
        <w:spacing w:line="600" w:lineRule="exact"/>
        <w:ind w:firstLineChars="200" w:firstLine="640"/>
        <w:outlineLvl w:val="2"/>
        <w:rPr>
          <w:kern w:val="0"/>
          <w:sz w:val="32"/>
          <w:szCs w:val="32"/>
        </w:rPr>
      </w:pPr>
      <w:bookmarkStart w:id="6" w:name="_Toc35588397"/>
      <w:r>
        <w:rPr>
          <w:rFonts w:hint="eastAsia"/>
          <w:kern w:val="0"/>
          <w:sz w:val="32"/>
          <w:szCs w:val="32"/>
        </w:rPr>
        <w:t>3.</w:t>
      </w:r>
      <w:r>
        <w:rPr>
          <w:rFonts w:hint="eastAsia"/>
          <w:kern w:val="0"/>
          <w:sz w:val="32"/>
          <w:szCs w:val="32"/>
        </w:rPr>
        <w:t>项目资金投入</w:t>
      </w:r>
      <w:bookmarkEnd w:id="6"/>
      <w:r>
        <w:rPr>
          <w:rFonts w:hint="eastAsia"/>
          <w:kern w:val="0"/>
          <w:sz w:val="32"/>
          <w:szCs w:val="32"/>
        </w:rPr>
        <w:t>和使用情况</w:t>
      </w:r>
    </w:p>
    <w:p w14:paraId="6F6525D1" w14:textId="77777777" w:rsidR="00D352A1" w:rsidRDefault="005C4FF7">
      <w:pPr>
        <w:spacing w:line="640" w:lineRule="exact"/>
        <w:ind w:firstLineChars="200" w:firstLine="640"/>
        <w:rPr>
          <w:sz w:val="32"/>
          <w:szCs w:val="28"/>
        </w:rPr>
      </w:pPr>
      <w:r>
        <w:rPr>
          <w:rFonts w:hint="eastAsia"/>
          <w:sz w:val="32"/>
          <w:szCs w:val="28"/>
        </w:rPr>
        <w:t>项目</w:t>
      </w:r>
      <w:r>
        <w:rPr>
          <w:rFonts w:hint="eastAsia"/>
          <w:sz w:val="32"/>
          <w:szCs w:val="28"/>
        </w:rPr>
        <w:t>2024</w:t>
      </w:r>
      <w:r>
        <w:rPr>
          <w:rFonts w:hint="eastAsia"/>
          <w:sz w:val="32"/>
          <w:szCs w:val="28"/>
        </w:rPr>
        <w:t>年预算</w:t>
      </w:r>
      <w:r>
        <w:rPr>
          <w:rFonts w:hint="eastAsia"/>
          <w:sz w:val="32"/>
          <w:szCs w:val="28"/>
        </w:rPr>
        <w:t>49.40</w:t>
      </w:r>
      <w:r>
        <w:rPr>
          <w:rFonts w:hint="eastAsia"/>
          <w:sz w:val="32"/>
          <w:szCs w:val="28"/>
        </w:rPr>
        <w:t>万元。截至</w:t>
      </w:r>
      <w:r>
        <w:rPr>
          <w:rFonts w:hint="eastAsia"/>
          <w:sz w:val="32"/>
          <w:szCs w:val="28"/>
        </w:rPr>
        <w:t>2024</w:t>
      </w:r>
      <w:r>
        <w:rPr>
          <w:rFonts w:hint="eastAsia"/>
          <w:sz w:val="32"/>
          <w:szCs w:val="28"/>
        </w:rPr>
        <w:t>年</w:t>
      </w:r>
      <w:r>
        <w:rPr>
          <w:rFonts w:hint="eastAsia"/>
          <w:sz w:val="32"/>
          <w:szCs w:val="28"/>
        </w:rPr>
        <w:t>12</w:t>
      </w:r>
      <w:r>
        <w:rPr>
          <w:rFonts w:hint="eastAsia"/>
          <w:sz w:val="32"/>
          <w:szCs w:val="28"/>
        </w:rPr>
        <w:t>月</w:t>
      </w:r>
      <w:r>
        <w:rPr>
          <w:rFonts w:hint="eastAsia"/>
          <w:sz w:val="32"/>
          <w:szCs w:val="28"/>
        </w:rPr>
        <w:t>31</w:t>
      </w:r>
      <w:r>
        <w:rPr>
          <w:rFonts w:hint="eastAsia"/>
          <w:sz w:val="32"/>
          <w:szCs w:val="28"/>
        </w:rPr>
        <w:t>日，实际支出</w:t>
      </w:r>
      <w:r>
        <w:rPr>
          <w:rFonts w:hint="eastAsia"/>
          <w:sz w:val="32"/>
          <w:szCs w:val="28"/>
        </w:rPr>
        <w:t>46.84</w:t>
      </w:r>
      <w:r>
        <w:rPr>
          <w:rFonts w:hint="eastAsia"/>
          <w:sz w:val="32"/>
          <w:szCs w:val="28"/>
        </w:rPr>
        <w:t>万元，预算执行率</w:t>
      </w:r>
      <w:r>
        <w:rPr>
          <w:rFonts w:hint="eastAsia"/>
          <w:sz w:val="32"/>
          <w:szCs w:val="28"/>
        </w:rPr>
        <w:t>94.82%</w:t>
      </w:r>
      <w:r>
        <w:rPr>
          <w:rFonts w:hint="eastAsia"/>
          <w:sz w:val="32"/>
          <w:szCs w:val="28"/>
        </w:rPr>
        <w:t>。项目预算及资金支出情况见表</w:t>
      </w:r>
      <w:r>
        <w:rPr>
          <w:rFonts w:hint="eastAsia"/>
          <w:sz w:val="32"/>
          <w:szCs w:val="28"/>
        </w:rPr>
        <w:t>1</w:t>
      </w:r>
      <w:r>
        <w:rPr>
          <w:rFonts w:hint="eastAsia"/>
          <w:sz w:val="32"/>
          <w:szCs w:val="28"/>
        </w:rPr>
        <w:t>。</w:t>
      </w:r>
    </w:p>
    <w:p w14:paraId="1668A83B" w14:textId="77777777" w:rsidR="00D352A1" w:rsidRDefault="005C4FF7">
      <w:pPr>
        <w:adjustRightInd w:val="0"/>
        <w:snapToGrid w:val="0"/>
        <w:spacing w:beforeLines="50" w:before="156" w:afterLines="50" w:after="156"/>
        <w:jc w:val="center"/>
        <w:rPr>
          <w:rFonts w:ascii="宋体" w:eastAsia="宋体" w:hAnsi="宋体"/>
          <w:b/>
          <w:bCs/>
          <w:sz w:val="28"/>
          <w:szCs w:val="28"/>
        </w:rPr>
      </w:pPr>
      <w:r>
        <w:rPr>
          <w:rFonts w:ascii="宋体" w:eastAsia="宋体" w:hAnsi="宋体" w:hint="eastAsia"/>
          <w:b/>
          <w:bCs/>
          <w:sz w:val="28"/>
          <w:szCs w:val="28"/>
        </w:rPr>
        <w:t>表1  项目预算及资金支出情况</w:t>
      </w:r>
    </w:p>
    <w:p w14:paraId="480AA917" w14:textId="77777777" w:rsidR="00D352A1" w:rsidRDefault="005C4FF7">
      <w:pPr>
        <w:adjustRightInd w:val="0"/>
        <w:snapToGrid w:val="0"/>
        <w:spacing w:line="360" w:lineRule="auto"/>
        <w:jc w:val="right"/>
        <w:rPr>
          <w:rFonts w:ascii="宋体" w:eastAsia="宋体" w:hAnsi="宋体"/>
          <w:sz w:val="28"/>
          <w:szCs w:val="28"/>
        </w:rPr>
      </w:pPr>
      <w:r>
        <w:rPr>
          <w:rFonts w:ascii="宋体" w:eastAsia="宋体" w:hAnsi="宋体" w:hint="eastAsia"/>
          <w:sz w:val="28"/>
          <w:szCs w:val="28"/>
        </w:rPr>
        <w:t>金额单位：万元</w:t>
      </w:r>
    </w:p>
    <w:tbl>
      <w:tblPr>
        <w:tblStyle w:val="af0"/>
        <w:tblW w:w="0" w:type="auto"/>
        <w:jc w:val="center"/>
        <w:tblLook w:val="04A0" w:firstRow="1" w:lastRow="0" w:firstColumn="1" w:lastColumn="0" w:noHBand="0" w:noVBand="1"/>
      </w:tblPr>
      <w:tblGrid>
        <w:gridCol w:w="851"/>
        <w:gridCol w:w="3047"/>
        <w:gridCol w:w="2339"/>
        <w:gridCol w:w="2552"/>
      </w:tblGrid>
      <w:tr w:rsidR="00D352A1" w14:paraId="0CA46F06" w14:textId="77777777">
        <w:trPr>
          <w:trHeight w:val="510"/>
          <w:jc w:val="center"/>
        </w:trPr>
        <w:tc>
          <w:tcPr>
            <w:tcW w:w="851" w:type="dxa"/>
            <w:tcBorders>
              <w:top w:val="single" w:sz="4" w:space="0" w:color="auto"/>
              <w:left w:val="single" w:sz="4" w:space="0" w:color="auto"/>
              <w:bottom w:val="single" w:sz="4" w:space="0" w:color="auto"/>
              <w:right w:val="single" w:sz="4" w:space="0" w:color="auto"/>
            </w:tcBorders>
            <w:vAlign w:val="center"/>
          </w:tcPr>
          <w:p w14:paraId="5C05A009"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序号</w:t>
            </w:r>
          </w:p>
        </w:tc>
        <w:tc>
          <w:tcPr>
            <w:tcW w:w="3047" w:type="dxa"/>
            <w:tcBorders>
              <w:top w:val="single" w:sz="4" w:space="0" w:color="auto"/>
              <w:left w:val="single" w:sz="4" w:space="0" w:color="auto"/>
              <w:bottom w:val="single" w:sz="4" w:space="0" w:color="auto"/>
              <w:right w:val="single" w:sz="4" w:space="0" w:color="auto"/>
            </w:tcBorders>
            <w:vAlign w:val="center"/>
          </w:tcPr>
          <w:p w14:paraId="5ED95A73"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支出内容</w:t>
            </w:r>
          </w:p>
        </w:tc>
        <w:tc>
          <w:tcPr>
            <w:tcW w:w="2339" w:type="dxa"/>
            <w:tcBorders>
              <w:top w:val="single" w:sz="4" w:space="0" w:color="auto"/>
              <w:left w:val="single" w:sz="4" w:space="0" w:color="auto"/>
              <w:bottom w:val="single" w:sz="4" w:space="0" w:color="auto"/>
              <w:right w:val="single" w:sz="4" w:space="0" w:color="auto"/>
            </w:tcBorders>
            <w:vAlign w:val="center"/>
          </w:tcPr>
          <w:p w14:paraId="536FDE2B"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预算金额</w:t>
            </w:r>
          </w:p>
        </w:tc>
        <w:tc>
          <w:tcPr>
            <w:tcW w:w="2552" w:type="dxa"/>
            <w:tcBorders>
              <w:top w:val="single" w:sz="4" w:space="0" w:color="auto"/>
              <w:left w:val="single" w:sz="4" w:space="0" w:color="auto"/>
              <w:bottom w:val="single" w:sz="4" w:space="0" w:color="auto"/>
              <w:right w:val="single" w:sz="4" w:space="0" w:color="auto"/>
            </w:tcBorders>
            <w:vAlign w:val="center"/>
          </w:tcPr>
          <w:p w14:paraId="05AB0326"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支出金额</w:t>
            </w:r>
          </w:p>
        </w:tc>
      </w:tr>
      <w:tr w:rsidR="00D352A1" w14:paraId="0F23A139" w14:textId="77777777">
        <w:trPr>
          <w:trHeight w:val="510"/>
          <w:jc w:val="center"/>
        </w:trPr>
        <w:tc>
          <w:tcPr>
            <w:tcW w:w="851" w:type="dxa"/>
            <w:tcBorders>
              <w:top w:val="single" w:sz="4" w:space="0" w:color="auto"/>
              <w:left w:val="single" w:sz="4" w:space="0" w:color="auto"/>
              <w:bottom w:val="single" w:sz="4" w:space="0" w:color="auto"/>
              <w:right w:val="single" w:sz="4" w:space="0" w:color="auto"/>
            </w:tcBorders>
            <w:vAlign w:val="center"/>
          </w:tcPr>
          <w:p w14:paraId="1B43DEB9"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1</w:t>
            </w:r>
          </w:p>
        </w:tc>
        <w:tc>
          <w:tcPr>
            <w:tcW w:w="3047" w:type="dxa"/>
            <w:tcBorders>
              <w:top w:val="single" w:sz="4" w:space="0" w:color="auto"/>
              <w:left w:val="single" w:sz="4" w:space="0" w:color="auto"/>
              <w:bottom w:val="single" w:sz="4" w:space="0" w:color="auto"/>
              <w:right w:val="single" w:sz="4" w:space="0" w:color="auto"/>
            </w:tcBorders>
            <w:vAlign w:val="center"/>
          </w:tcPr>
          <w:p w14:paraId="15C412C3"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《北京地域文化通览·通州卷》编辑</w:t>
            </w:r>
          </w:p>
        </w:tc>
        <w:tc>
          <w:tcPr>
            <w:tcW w:w="2339" w:type="dxa"/>
            <w:tcBorders>
              <w:top w:val="single" w:sz="4" w:space="0" w:color="auto"/>
              <w:left w:val="single" w:sz="4" w:space="0" w:color="auto"/>
              <w:bottom w:val="single" w:sz="4" w:space="0" w:color="auto"/>
              <w:right w:val="single" w:sz="4" w:space="0" w:color="auto"/>
            </w:tcBorders>
            <w:vAlign w:val="center"/>
          </w:tcPr>
          <w:p w14:paraId="1E10751E"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29.84</w:t>
            </w:r>
          </w:p>
        </w:tc>
        <w:tc>
          <w:tcPr>
            <w:tcW w:w="2552" w:type="dxa"/>
            <w:tcBorders>
              <w:top w:val="single" w:sz="4" w:space="0" w:color="auto"/>
              <w:left w:val="single" w:sz="4" w:space="0" w:color="auto"/>
              <w:bottom w:val="single" w:sz="4" w:space="0" w:color="auto"/>
              <w:right w:val="single" w:sz="4" w:space="0" w:color="auto"/>
            </w:tcBorders>
            <w:vAlign w:val="center"/>
          </w:tcPr>
          <w:p w14:paraId="7869D52A"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27.28</w:t>
            </w:r>
          </w:p>
        </w:tc>
      </w:tr>
      <w:tr w:rsidR="00D352A1" w14:paraId="5CF5C985" w14:textId="77777777">
        <w:trPr>
          <w:trHeight w:val="510"/>
          <w:jc w:val="center"/>
        </w:trPr>
        <w:tc>
          <w:tcPr>
            <w:tcW w:w="851" w:type="dxa"/>
            <w:tcBorders>
              <w:top w:val="single" w:sz="4" w:space="0" w:color="auto"/>
              <w:left w:val="single" w:sz="4" w:space="0" w:color="auto"/>
              <w:bottom w:val="single" w:sz="4" w:space="0" w:color="auto"/>
              <w:right w:val="single" w:sz="4" w:space="0" w:color="auto"/>
            </w:tcBorders>
            <w:vAlign w:val="center"/>
          </w:tcPr>
          <w:p w14:paraId="64ECD003"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2</w:t>
            </w:r>
          </w:p>
        </w:tc>
        <w:tc>
          <w:tcPr>
            <w:tcW w:w="3047" w:type="dxa"/>
            <w:tcBorders>
              <w:top w:val="single" w:sz="4" w:space="0" w:color="auto"/>
              <w:left w:val="single" w:sz="4" w:space="0" w:color="auto"/>
              <w:bottom w:val="single" w:sz="4" w:space="0" w:color="auto"/>
              <w:right w:val="single" w:sz="4" w:space="0" w:color="auto"/>
            </w:tcBorders>
            <w:vAlign w:val="center"/>
          </w:tcPr>
          <w:p w14:paraId="6BF4E7CB"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《北京地域文化通览·西城卷》出版</w:t>
            </w:r>
          </w:p>
        </w:tc>
        <w:tc>
          <w:tcPr>
            <w:tcW w:w="2339" w:type="dxa"/>
            <w:tcBorders>
              <w:top w:val="single" w:sz="4" w:space="0" w:color="auto"/>
              <w:left w:val="single" w:sz="4" w:space="0" w:color="auto"/>
              <w:bottom w:val="single" w:sz="4" w:space="0" w:color="auto"/>
              <w:right w:val="single" w:sz="4" w:space="0" w:color="auto"/>
            </w:tcBorders>
            <w:vAlign w:val="center"/>
          </w:tcPr>
          <w:p w14:paraId="2D6D3562"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19.56</w:t>
            </w:r>
          </w:p>
        </w:tc>
        <w:tc>
          <w:tcPr>
            <w:tcW w:w="2552" w:type="dxa"/>
            <w:tcBorders>
              <w:top w:val="single" w:sz="4" w:space="0" w:color="auto"/>
              <w:left w:val="single" w:sz="4" w:space="0" w:color="auto"/>
              <w:bottom w:val="single" w:sz="4" w:space="0" w:color="auto"/>
              <w:right w:val="single" w:sz="4" w:space="0" w:color="auto"/>
            </w:tcBorders>
            <w:vAlign w:val="center"/>
          </w:tcPr>
          <w:p w14:paraId="51A5B3F6"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19.56</w:t>
            </w:r>
          </w:p>
        </w:tc>
      </w:tr>
      <w:tr w:rsidR="00D352A1" w14:paraId="49250470" w14:textId="77777777">
        <w:trPr>
          <w:trHeight w:val="510"/>
          <w:jc w:val="center"/>
        </w:trPr>
        <w:tc>
          <w:tcPr>
            <w:tcW w:w="3898" w:type="dxa"/>
            <w:gridSpan w:val="2"/>
            <w:tcBorders>
              <w:top w:val="single" w:sz="4" w:space="0" w:color="auto"/>
              <w:left w:val="single" w:sz="4" w:space="0" w:color="auto"/>
              <w:bottom w:val="single" w:sz="4" w:space="0" w:color="auto"/>
              <w:right w:val="single" w:sz="4" w:space="0" w:color="auto"/>
            </w:tcBorders>
            <w:vAlign w:val="center"/>
          </w:tcPr>
          <w:p w14:paraId="75C4A6EA"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合计</w:t>
            </w:r>
          </w:p>
        </w:tc>
        <w:tc>
          <w:tcPr>
            <w:tcW w:w="2339" w:type="dxa"/>
            <w:tcBorders>
              <w:top w:val="single" w:sz="4" w:space="0" w:color="auto"/>
              <w:left w:val="single" w:sz="4" w:space="0" w:color="auto"/>
              <w:bottom w:val="single" w:sz="4" w:space="0" w:color="auto"/>
              <w:right w:val="single" w:sz="4" w:space="0" w:color="auto"/>
            </w:tcBorders>
            <w:vAlign w:val="center"/>
          </w:tcPr>
          <w:p w14:paraId="14446309"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49.40</w:t>
            </w:r>
          </w:p>
        </w:tc>
        <w:tc>
          <w:tcPr>
            <w:tcW w:w="2552" w:type="dxa"/>
            <w:tcBorders>
              <w:top w:val="single" w:sz="4" w:space="0" w:color="auto"/>
              <w:left w:val="single" w:sz="4" w:space="0" w:color="auto"/>
              <w:bottom w:val="single" w:sz="4" w:space="0" w:color="auto"/>
              <w:right w:val="single" w:sz="4" w:space="0" w:color="auto"/>
            </w:tcBorders>
            <w:vAlign w:val="center"/>
          </w:tcPr>
          <w:p w14:paraId="1E9805D8" w14:textId="77777777" w:rsidR="00D352A1" w:rsidRDefault="005C4FF7">
            <w:pPr>
              <w:adjustRightInd w:val="0"/>
              <w:snapToGrid w:val="0"/>
              <w:jc w:val="center"/>
              <w:rPr>
                <w:rFonts w:ascii="宋体" w:eastAsia="宋体" w:hAnsi="宋体"/>
                <w:b/>
                <w:bCs/>
                <w:sz w:val="24"/>
              </w:rPr>
            </w:pPr>
            <w:r>
              <w:rPr>
                <w:rFonts w:ascii="宋体" w:eastAsia="宋体" w:hAnsi="宋体" w:hint="eastAsia"/>
                <w:b/>
                <w:bCs/>
                <w:sz w:val="24"/>
              </w:rPr>
              <w:t>46.84</w:t>
            </w:r>
          </w:p>
        </w:tc>
      </w:tr>
    </w:tbl>
    <w:p w14:paraId="2AC06125" w14:textId="77777777" w:rsidR="00D352A1" w:rsidRDefault="005C4FF7">
      <w:pPr>
        <w:adjustRightInd w:val="0"/>
        <w:snapToGrid w:val="0"/>
        <w:spacing w:line="600" w:lineRule="exact"/>
        <w:ind w:firstLineChars="200" w:firstLine="640"/>
        <w:outlineLvl w:val="1"/>
        <w:rPr>
          <w:rFonts w:ascii="楷体_GB2312" w:eastAsia="楷体_GB2312"/>
          <w:sz w:val="32"/>
          <w:szCs w:val="32"/>
        </w:rPr>
      </w:pPr>
      <w:bookmarkStart w:id="7" w:name="_Toc35588398"/>
      <w:bookmarkStart w:id="8" w:name="_Toc5484"/>
      <w:r>
        <w:rPr>
          <w:rFonts w:ascii="楷体_GB2312" w:eastAsia="楷体_GB2312" w:hint="eastAsia"/>
          <w:sz w:val="32"/>
          <w:szCs w:val="32"/>
        </w:rPr>
        <w:lastRenderedPageBreak/>
        <w:t>（二）项目绩效目标</w:t>
      </w:r>
      <w:bookmarkEnd w:id="7"/>
      <w:bookmarkEnd w:id="8"/>
    </w:p>
    <w:p w14:paraId="2971FB07" w14:textId="7AD00C6E" w:rsidR="00D352A1" w:rsidRDefault="005C4FF7">
      <w:pPr>
        <w:spacing w:line="640" w:lineRule="exact"/>
        <w:ind w:firstLineChars="200" w:firstLine="640"/>
        <w:rPr>
          <w:sz w:val="32"/>
          <w:szCs w:val="28"/>
        </w:rPr>
      </w:pPr>
      <w:r>
        <w:rPr>
          <w:rFonts w:hint="eastAsia"/>
          <w:sz w:val="32"/>
          <w:szCs w:val="28"/>
        </w:rPr>
        <w:t>根据《项目绩效目标表》，项目的年度绩效目标为：</w:t>
      </w:r>
      <w:r w:rsidR="002E7EF1">
        <w:rPr>
          <w:rFonts w:hint="eastAsia"/>
          <w:sz w:val="32"/>
          <w:szCs w:val="28"/>
        </w:rPr>
        <w:t>①</w:t>
      </w:r>
      <w:r>
        <w:rPr>
          <w:rFonts w:hint="eastAsia"/>
          <w:sz w:val="32"/>
          <w:szCs w:val="28"/>
        </w:rPr>
        <w:t>深入挖掘北京地区特别是各区有特色的、有亮点的历史文化，用</w:t>
      </w:r>
      <w:r>
        <w:rPr>
          <w:rFonts w:hint="eastAsia"/>
          <w:sz w:val="32"/>
          <w:szCs w:val="28"/>
        </w:rPr>
        <w:t>10</w:t>
      </w:r>
      <w:r w:rsidR="002E7EF1">
        <w:rPr>
          <w:rFonts w:hint="eastAsia"/>
          <w:sz w:val="32"/>
          <w:szCs w:val="28"/>
        </w:rPr>
        <w:t>余</w:t>
      </w:r>
      <w:r>
        <w:rPr>
          <w:rFonts w:hint="eastAsia"/>
          <w:sz w:val="32"/>
          <w:szCs w:val="28"/>
        </w:rPr>
        <w:t>年的时间，按区编辑出版《北京地域文化通览》分区卷</w:t>
      </w:r>
      <w:r>
        <w:rPr>
          <w:rFonts w:hint="eastAsia"/>
          <w:sz w:val="32"/>
          <w:szCs w:val="28"/>
        </w:rPr>
        <w:t>16</w:t>
      </w:r>
      <w:r>
        <w:rPr>
          <w:rFonts w:hint="eastAsia"/>
          <w:sz w:val="32"/>
          <w:szCs w:val="28"/>
        </w:rPr>
        <w:t>部。</w:t>
      </w:r>
      <w:r>
        <w:rPr>
          <w:rFonts w:hint="eastAsia"/>
          <w:sz w:val="32"/>
          <w:szCs w:val="28"/>
        </w:rPr>
        <w:t xml:space="preserve">                                                                                         </w:t>
      </w:r>
      <w:r w:rsidR="002E7EF1">
        <w:rPr>
          <w:rFonts w:ascii="宋体" w:eastAsia="宋体" w:hAnsi="宋体" w:cs="宋体" w:hint="eastAsia"/>
          <w:sz w:val="32"/>
          <w:szCs w:val="28"/>
          <w:lang w:eastAsia="ja-JP"/>
        </w:rPr>
        <w:t>②</w:t>
      </w:r>
      <w:r>
        <w:rPr>
          <w:rFonts w:hint="eastAsia"/>
          <w:sz w:val="32"/>
          <w:szCs w:val="28"/>
        </w:rPr>
        <w:t>通过宣传北京的历史文化精神，增强人民群众</w:t>
      </w:r>
      <w:r w:rsidR="002E7EF1">
        <w:rPr>
          <w:rFonts w:hint="eastAsia"/>
          <w:sz w:val="32"/>
          <w:szCs w:val="28"/>
        </w:rPr>
        <w:t>的文化自信</w:t>
      </w:r>
      <w:r>
        <w:rPr>
          <w:rFonts w:hint="eastAsia"/>
          <w:sz w:val="32"/>
          <w:szCs w:val="28"/>
        </w:rPr>
        <w:t>。</w:t>
      </w:r>
      <w:r w:rsidR="002E7EF1">
        <w:rPr>
          <w:rFonts w:ascii="宋体" w:eastAsia="宋体" w:hAnsi="宋体" w:cs="宋体" w:hint="eastAsia"/>
          <w:sz w:val="32"/>
          <w:szCs w:val="28"/>
          <w:lang w:eastAsia="ja-JP"/>
        </w:rPr>
        <w:t>③</w:t>
      </w:r>
      <w:r w:rsidR="002E7EF1">
        <w:rPr>
          <w:rFonts w:hint="eastAsia"/>
          <w:sz w:val="32"/>
          <w:szCs w:val="28"/>
        </w:rPr>
        <w:t>加强与</w:t>
      </w:r>
      <w:r w:rsidR="002E7EF1">
        <w:rPr>
          <w:sz w:val="32"/>
          <w:szCs w:val="28"/>
        </w:rPr>
        <w:t>各区联系，助力</w:t>
      </w:r>
      <w:r>
        <w:rPr>
          <w:rFonts w:hint="eastAsia"/>
          <w:sz w:val="32"/>
          <w:szCs w:val="28"/>
        </w:rPr>
        <w:t>区域经济文化发展。围绕年度绩效目标，项目设定了绩效指标，具体设定情况见表</w:t>
      </w:r>
      <w:r>
        <w:rPr>
          <w:rFonts w:hint="eastAsia"/>
          <w:sz w:val="32"/>
          <w:szCs w:val="28"/>
        </w:rPr>
        <w:t>2</w:t>
      </w:r>
      <w:r>
        <w:rPr>
          <w:rFonts w:hint="eastAsia"/>
          <w:sz w:val="32"/>
          <w:szCs w:val="28"/>
        </w:rPr>
        <w:t>。</w:t>
      </w:r>
    </w:p>
    <w:p w14:paraId="101A1E48" w14:textId="77777777" w:rsidR="00D352A1" w:rsidRDefault="005C4FF7">
      <w:pPr>
        <w:adjustRightInd w:val="0"/>
        <w:snapToGrid w:val="0"/>
        <w:spacing w:beforeLines="50" w:before="156" w:afterLines="50" w:after="156" w:line="360" w:lineRule="auto"/>
        <w:jc w:val="center"/>
        <w:rPr>
          <w:rFonts w:ascii="宋体" w:eastAsia="宋体" w:hAnsi="宋体"/>
          <w:b/>
          <w:bCs/>
          <w:sz w:val="28"/>
          <w:szCs w:val="28"/>
        </w:rPr>
      </w:pPr>
      <w:r>
        <w:rPr>
          <w:rFonts w:ascii="宋体" w:eastAsia="宋体" w:hAnsi="宋体" w:hint="eastAsia"/>
          <w:b/>
          <w:bCs/>
          <w:sz w:val="28"/>
          <w:szCs w:val="28"/>
        </w:rPr>
        <w:t>表2  项目绩效指标</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329"/>
        <w:gridCol w:w="3050"/>
        <w:gridCol w:w="2569"/>
      </w:tblGrid>
      <w:tr w:rsidR="00D352A1" w14:paraId="0C875159" w14:textId="77777777">
        <w:trPr>
          <w:cantSplit/>
          <w:trHeight w:val="510"/>
          <w:tblHeader/>
          <w:jc w:val="center"/>
        </w:trPr>
        <w:tc>
          <w:tcPr>
            <w:tcW w:w="1700" w:type="dxa"/>
            <w:tcBorders>
              <w:top w:val="single" w:sz="4" w:space="0" w:color="auto"/>
              <w:left w:val="single" w:sz="4" w:space="0" w:color="auto"/>
              <w:bottom w:val="single" w:sz="4" w:space="0" w:color="auto"/>
              <w:right w:val="single" w:sz="4" w:space="0" w:color="auto"/>
            </w:tcBorders>
            <w:vAlign w:val="center"/>
          </w:tcPr>
          <w:p w14:paraId="5508588B"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一级指标</w:t>
            </w:r>
          </w:p>
        </w:tc>
        <w:tc>
          <w:tcPr>
            <w:tcW w:w="1329" w:type="dxa"/>
            <w:tcBorders>
              <w:top w:val="single" w:sz="4" w:space="0" w:color="auto"/>
              <w:left w:val="single" w:sz="4" w:space="0" w:color="auto"/>
              <w:bottom w:val="single" w:sz="4" w:space="0" w:color="auto"/>
              <w:right w:val="single" w:sz="4" w:space="0" w:color="auto"/>
            </w:tcBorders>
            <w:vAlign w:val="center"/>
          </w:tcPr>
          <w:p w14:paraId="3C39A2AA"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二级指标</w:t>
            </w:r>
          </w:p>
        </w:tc>
        <w:tc>
          <w:tcPr>
            <w:tcW w:w="3050" w:type="dxa"/>
            <w:tcBorders>
              <w:top w:val="single" w:sz="4" w:space="0" w:color="auto"/>
              <w:left w:val="single" w:sz="4" w:space="0" w:color="auto"/>
              <w:bottom w:val="single" w:sz="4" w:space="0" w:color="auto"/>
              <w:right w:val="single" w:sz="4" w:space="0" w:color="auto"/>
            </w:tcBorders>
            <w:vAlign w:val="center"/>
          </w:tcPr>
          <w:p w14:paraId="0A222941"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指标内容</w:t>
            </w:r>
          </w:p>
        </w:tc>
        <w:tc>
          <w:tcPr>
            <w:tcW w:w="2569" w:type="dxa"/>
            <w:tcBorders>
              <w:top w:val="single" w:sz="4" w:space="0" w:color="auto"/>
              <w:left w:val="single" w:sz="4" w:space="0" w:color="auto"/>
              <w:bottom w:val="single" w:sz="4" w:space="0" w:color="auto"/>
              <w:right w:val="single" w:sz="4" w:space="0" w:color="auto"/>
            </w:tcBorders>
            <w:vAlign w:val="center"/>
          </w:tcPr>
          <w:p w14:paraId="5B955FC1"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指标值</w:t>
            </w:r>
          </w:p>
        </w:tc>
      </w:tr>
      <w:tr w:rsidR="00D352A1" w14:paraId="6E5ED759" w14:textId="77777777">
        <w:trPr>
          <w:cantSplit/>
          <w:trHeight w:val="510"/>
          <w:jc w:val="center"/>
        </w:trPr>
        <w:tc>
          <w:tcPr>
            <w:tcW w:w="1700" w:type="dxa"/>
            <w:vMerge w:val="restart"/>
            <w:tcBorders>
              <w:top w:val="single" w:sz="4" w:space="0" w:color="auto"/>
              <w:left w:val="single" w:sz="4" w:space="0" w:color="auto"/>
              <w:right w:val="single" w:sz="4" w:space="0" w:color="auto"/>
            </w:tcBorders>
            <w:vAlign w:val="center"/>
          </w:tcPr>
          <w:p w14:paraId="3ED0D0BF"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成本指标</w:t>
            </w:r>
          </w:p>
        </w:tc>
        <w:tc>
          <w:tcPr>
            <w:tcW w:w="1329" w:type="dxa"/>
            <w:vMerge w:val="restart"/>
            <w:tcBorders>
              <w:top w:val="single" w:sz="4" w:space="0" w:color="auto"/>
              <w:left w:val="single" w:sz="4" w:space="0" w:color="auto"/>
              <w:right w:val="single" w:sz="4" w:space="0" w:color="auto"/>
            </w:tcBorders>
            <w:vAlign w:val="center"/>
          </w:tcPr>
          <w:p w14:paraId="4CF45375"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经济成本指标</w:t>
            </w:r>
          </w:p>
        </w:tc>
        <w:tc>
          <w:tcPr>
            <w:tcW w:w="3050" w:type="dxa"/>
            <w:tcBorders>
              <w:top w:val="single" w:sz="4" w:space="0" w:color="auto"/>
              <w:left w:val="single" w:sz="4" w:space="0" w:color="auto"/>
              <w:bottom w:val="single" w:sz="4" w:space="0" w:color="auto"/>
              <w:right w:val="single" w:sz="4" w:space="0" w:color="auto"/>
            </w:tcBorders>
            <w:vAlign w:val="center"/>
          </w:tcPr>
          <w:p w14:paraId="2D901735"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编写项目</w:t>
            </w:r>
          </w:p>
        </w:tc>
        <w:tc>
          <w:tcPr>
            <w:tcW w:w="2569" w:type="dxa"/>
            <w:tcBorders>
              <w:top w:val="single" w:sz="4" w:space="0" w:color="auto"/>
              <w:left w:val="single" w:sz="4" w:space="0" w:color="auto"/>
              <w:bottom w:val="single" w:sz="4" w:space="0" w:color="auto"/>
              <w:right w:val="single" w:sz="4" w:space="0" w:color="auto"/>
            </w:tcBorders>
            <w:vAlign w:val="center"/>
          </w:tcPr>
          <w:p w14:paraId="37224514"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≤29.84万元</w:t>
            </w:r>
          </w:p>
        </w:tc>
      </w:tr>
      <w:tr w:rsidR="00D352A1" w14:paraId="232E5CCB" w14:textId="77777777">
        <w:trPr>
          <w:cantSplit/>
          <w:trHeight w:val="510"/>
          <w:jc w:val="center"/>
        </w:trPr>
        <w:tc>
          <w:tcPr>
            <w:tcW w:w="1700" w:type="dxa"/>
            <w:vMerge/>
            <w:tcBorders>
              <w:left w:val="single" w:sz="4" w:space="0" w:color="auto"/>
              <w:bottom w:val="single" w:sz="4" w:space="0" w:color="auto"/>
              <w:right w:val="single" w:sz="4" w:space="0" w:color="auto"/>
            </w:tcBorders>
            <w:vAlign w:val="center"/>
          </w:tcPr>
          <w:p w14:paraId="3A8A6BCE"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bottom w:val="single" w:sz="4" w:space="0" w:color="auto"/>
              <w:right w:val="single" w:sz="4" w:space="0" w:color="auto"/>
            </w:tcBorders>
            <w:vAlign w:val="center"/>
          </w:tcPr>
          <w:p w14:paraId="05280F5B"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vAlign w:val="center"/>
          </w:tcPr>
          <w:p w14:paraId="7543F3EB"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出版项目</w:t>
            </w:r>
          </w:p>
        </w:tc>
        <w:tc>
          <w:tcPr>
            <w:tcW w:w="2569" w:type="dxa"/>
            <w:tcBorders>
              <w:top w:val="single" w:sz="4" w:space="0" w:color="auto"/>
              <w:left w:val="single" w:sz="4" w:space="0" w:color="auto"/>
              <w:bottom w:val="single" w:sz="4" w:space="0" w:color="auto"/>
              <w:right w:val="single" w:sz="4" w:space="0" w:color="auto"/>
            </w:tcBorders>
            <w:vAlign w:val="center"/>
          </w:tcPr>
          <w:p w14:paraId="1AFD5A2F"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≤19.56万元</w:t>
            </w:r>
          </w:p>
        </w:tc>
      </w:tr>
      <w:tr w:rsidR="00D352A1" w14:paraId="06C2F46C" w14:textId="77777777">
        <w:trPr>
          <w:cantSplit/>
          <w:trHeight w:val="510"/>
          <w:jc w:val="center"/>
        </w:trPr>
        <w:tc>
          <w:tcPr>
            <w:tcW w:w="1700" w:type="dxa"/>
            <w:vMerge w:val="restart"/>
            <w:tcBorders>
              <w:top w:val="nil"/>
              <w:left w:val="single" w:sz="4" w:space="0" w:color="auto"/>
              <w:right w:val="single" w:sz="4" w:space="0" w:color="auto"/>
            </w:tcBorders>
            <w:vAlign w:val="center"/>
          </w:tcPr>
          <w:p w14:paraId="3E487BD4"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产出指标</w:t>
            </w:r>
          </w:p>
        </w:tc>
        <w:tc>
          <w:tcPr>
            <w:tcW w:w="1329" w:type="dxa"/>
            <w:vMerge w:val="restart"/>
            <w:tcBorders>
              <w:top w:val="single" w:sz="4" w:space="0" w:color="auto"/>
              <w:left w:val="single" w:sz="4" w:space="0" w:color="auto"/>
              <w:right w:val="single" w:sz="4" w:space="0" w:color="auto"/>
            </w:tcBorders>
            <w:vAlign w:val="center"/>
          </w:tcPr>
          <w:p w14:paraId="7DC34C34"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数量指标</w:t>
            </w: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484F5F13"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体量</w:t>
            </w:r>
          </w:p>
        </w:tc>
        <w:tc>
          <w:tcPr>
            <w:tcW w:w="2569" w:type="dxa"/>
            <w:tcBorders>
              <w:top w:val="single" w:sz="4" w:space="0" w:color="auto"/>
              <w:left w:val="single" w:sz="4" w:space="0" w:color="auto"/>
              <w:bottom w:val="single" w:sz="4" w:space="0" w:color="auto"/>
              <w:right w:val="single" w:sz="4" w:space="0" w:color="auto"/>
            </w:tcBorders>
            <w:vAlign w:val="center"/>
          </w:tcPr>
          <w:p w14:paraId="27FF433B"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≥30万字</w:t>
            </w:r>
          </w:p>
        </w:tc>
      </w:tr>
      <w:tr w:rsidR="00D352A1" w14:paraId="137313A0" w14:textId="77777777">
        <w:trPr>
          <w:cantSplit/>
          <w:trHeight w:val="510"/>
          <w:jc w:val="center"/>
        </w:trPr>
        <w:tc>
          <w:tcPr>
            <w:tcW w:w="1700" w:type="dxa"/>
            <w:vMerge/>
            <w:tcBorders>
              <w:left w:val="single" w:sz="4" w:space="0" w:color="auto"/>
              <w:right w:val="single" w:sz="4" w:space="0" w:color="auto"/>
            </w:tcBorders>
            <w:vAlign w:val="center"/>
          </w:tcPr>
          <w:p w14:paraId="35E955AB"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right w:val="single" w:sz="4" w:space="0" w:color="auto"/>
            </w:tcBorders>
            <w:vAlign w:val="center"/>
          </w:tcPr>
          <w:p w14:paraId="53885B69"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3127A044"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出版册数</w:t>
            </w:r>
          </w:p>
        </w:tc>
        <w:tc>
          <w:tcPr>
            <w:tcW w:w="2569" w:type="dxa"/>
            <w:tcBorders>
              <w:top w:val="single" w:sz="4" w:space="0" w:color="auto"/>
              <w:left w:val="single" w:sz="4" w:space="0" w:color="auto"/>
              <w:bottom w:val="single" w:sz="4" w:space="0" w:color="auto"/>
              <w:right w:val="single" w:sz="4" w:space="0" w:color="auto"/>
            </w:tcBorders>
            <w:vAlign w:val="center"/>
          </w:tcPr>
          <w:p w14:paraId="583C115D"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≥2000册</w:t>
            </w:r>
          </w:p>
        </w:tc>
      </w:tr>
      <w:tr w:rsidR="00D352A1" w14:paraId="2A5CB658" w14:textId="77777777">
        <w:trPr>
          <w:cantSplit/>
          <w:trHeight w:val="510"/>
          <w:jc w:val="center"/>
        </w:trPr>
        <w:tc>
          <w:tcPr>
            <w:tcW w:w="1700" w:type="dxa"/>
            <w:vMerge/>
            <w:tcBorders>
              <w:left w:val="single" w:sz="4" w:space="0" w:color="auto"/>
              <w:right w:val="single" w:sz="4" w:space="0" w:color="auto"/>
            </w:tcBorders>
            <w:vAlign w:val="center"/>
          </w:tcPr>
          <w:p w14:paraId="21C86597"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bottom w:val="single" w:sz="4" w:space="0" w:color="auto"/>
              <w:right w:val="single" w:sz="4" w:space="0" w:color="auto"/>
            </w:tcBorders>
            <w:vAlign w:val="center"/>
          </w:tcPr>
          <w:p w14:paraId="059D6543"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4E463DD3"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出版数量</w:t>
            </w:r>
          </w:p>
        </w:tc>
        <w:tc>
          <w:tcPr>
            <w:tcW w:w="2569" w:type="dxa"/>
            <w:tcBorders>
              <w:top w:val="single" w:sz="4" w:space="0" w:color="auto"/>
              <w:left w:val="single" w:sz="4" w:space="0" w:color="auto"/>
              <w:bottom w:val="single" w:sz="4" w:space="0" w:color="auto"/>
              <w:right w:val="single" w:sz="4" w:space="0" w:color="auto"/>
            </w:tcBorders>
            <w:vAlign w:val="center"/>
          </w:tcPr>
          <w:p w14:paraId="7781F189"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≥1部</w:t>
            </w:r>
          </w:p>
        </w:tc>
      </w:tr>
      <w:tr w:rsidR="00D352A1" w14:paraId="7A3AE075" w14:textId="77777777">
        <w:trPr>
          <w:cantSplit/>
          <w:trHeight w:val="510"/>
          <w:jc w:val="center"/>
        </w:trPr>
        <w:tc>
          <w:tcPr>
            <w:tcW w:w="1700" w:type="dxa"/>
            <w:vMerge/>
            <w:tcBorders>
              <w:left w:val="single" w:sz="4" w:space="0" w:color="auto"/>
              <w:right w:val="single" w:sz="4" w:space="0" w:color="auto"/>
            </w:tcBorders>
            <w:vAlign w:val="center"/>
          </w:tcPr>
          <w:p w14:paraId="25BC2585" w14:textId="77777777" w:rsidR="00D352A1" w:rsidRDefault="00D352A1">
            <w:pPr>
              <w:adjustRightInd w:val="0"/>
              <w:snapToGrid w:val="0"/>
              <w:jc w:val="center"/>
              <w:rPr>
                <w:rFonts w:ascii="宋体" w:eastAsia="宋体" w:hAnsi="宋体"/>
                <w:sz w:val="24"/>
              </w:rPr>
            </w:pPr>
          </w:p>
        </w:tc>
        <w:tc>
          <w:tcPr>
            <w:tcW w:w="1329" w:type="dxa"/>
            <w:vMerge w:val="restart"/>
            <w:tcBorders>
              <w:left w:val="single" w:sz="4" w:space="0" w:color="auto"/>
              <w:right w:val="single" w:sz="4" w:space="0" w:color="auto"/>
            </w:tcBorders>
            <w:vAlign w:val="center"/>
          </w:tcPr>
          <w:p w14:paraId="4A966791"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质量指标</w:t>
            </w: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05E084B3"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自采自编率</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21D3E9D7"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≥100%</w:t>
            </w:r>
          </w:p>
        </w:tc>
      </w:tr>
      <w:tr w:rsidR="00D352A1" w14:paraId="7593FCEF" w14:textId="77777777">
        <w:trPr>
          <w:cantSplit/>
          <w:trHeight w:val="510"/>
          <w:jc w:val="center"/>
        </w:trPr>
        <w:tc>
          <w:tcPr>
            <w:tcW w:w="1700" w:type="dxa"/>
            <w:vMerge/>
            <w:tcBorders>
              <w:left w:val="single" w:sz="4" w:space="0" w:color="auto"/>
              <w:right w:val="single" w:sz="4" w:space="0" w:color="auto"/>
            </w:tcBorders>
            <w:vAlign w:val="center"/>
          </w:tcPr>
          <w:p w14:paraId="588AF5FE" w14:textId="77777777" w:rsidR="00D352A1" w:rsidRDefault="00D352A1">
            <w:pPr>
              <w:adjustRightInd w:val="0"/>
              <w:snapToGrid w:val="0"/>
              <w:rPr>
                <w:rFonts w:ascii="宋体" w:eastAsia="宋体" w:hAnsi="宋体"/>
                <w:sz w:val="24"/>
              </w:rPr>
            </w:pPr>
          </w:p>
        </w:tc>
        <w:tc>
          <w:tcPr>
            <w:tcW w:w="1329" w:type="dxa"/>
            <w:vMerge/>
            <w:tcBorders>
              <w:left w:val="single" w:sz="4" w:space="0" w:color="auto"/>
              <w:right w:val="single" w:sz="4" w:space="0" w:color="auto"/>
            </w:tcBorders>
            <w:vAlign w:val="center"/>
          </w:tcPr>
          <w:p w14:paraId="660C0363"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75EADF4D"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验收合格率</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4E859438"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≥100%</w:t>
            </w:r>
          </w:p>
        </w:tc>
      </w:tr>
      <w:tr w:rsidR="00D352A1" w14:paraId="666504C1" w14:textId="77777777">
        <w:trPr>
          <w:cantSplit/>
          <w:trHeight w:val="510"/>
          <w:jc w:val="center"/>
        </w:trPr>
        <w:tc>
          <w:tcPr>
            <w:tcW w:w="1700" w:type="dxa"/>
            <w:vMerge/>
            <w:tcBorders>
              <w:left w:val="single" w:sz="4" w:space="0" w:color="auto"/>
              <w:right w:val="single" w:sz="4" w:space="0" w:color="auto"/>
            </w:tcBorders>
            <w:vAlign w:val="center"/>
          </w:tcPr>
          <w:p w14:paraId="5EED6CBF" w14:textId="77777777" w:rsidR="00D352A1" w:rsidRDefault="00D352A1">
            <w:pPr>
              <w:adjustRightInd w:val="0"/>
              <w:snapToGrid w:val="0"/>
              <w:jc w:val="center"/>
              <w:rPr>
                <w:rFonts w:ascii="宋体" w:eastAsia="宋体" w:hAnsi="宋体"/>
                <w:sz w:val="24"/>
              </w:rPr>
            </w:pPr>
          </w:p>
        </w:tc>
        <w:tc>
          <w:tcPr>
            <w:tcW w:w="1329" w:type="dxa"/>
            <w:vMerge w:val="restart"/>
            <w:tcBorders>
              <w:left w:val="single" w:sz="4" w:space="0" w:color="auto"/>
              <w:right w:val="single" w:sz="4" w:space="0" w:color="auto"/>
            </w:tcBorders>
            <w:vAlign w:val="center"/>
          </w:tcPr>
          <w:p w14:paraId="5571C0B0" w14:textId="77777777" w:rsidR="00D352A1" w:rsidRDefault="005C4FF7">
            <w:pPr>
              <w:adjustRightInd w:val="0"/>
              <w:snapToGrid w:val="0"/>
              <w:jc w:val="center"/>
              <w:rPr>
                <w:rFonts w:ascii="宋体" w:eastAsia="宋体" w:hAnsi="宋体"/>
                <w:sz w:val="24"/>
              </w:rPr>
            </w:pPr>
            <w:r>
              <w:rPr>
                <w:rFonts w:ascii="宋体" w:eastAsia="宋体" w:hAnsi="宋体"/>
                <w:sz w:val="24"/>
              </w:rPr>
              <w:t>时效指标</w:t>
            </w: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07FA0FF6"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出版时间</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1F42F2B0"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12月底前</w:t>
            </w:r>
          </w:p>
        </w:tc>
      </w:tr>
      <w:tr w:rsidR="00D352A1" w14:paraId="4FDE20CC" w14:textId="77777777">
        <w:trPr>
          <w:cantSplit/>
          <w:trHeight w:val="510"/>
          <w:jc w:val="center"/>
        </w:trPr>
        <w:tc>
          <w:tcPr>
            <w:tcW w:w="1700" w:type="dxa"/>
            <w:vMerge/>
            <w:tcBorders>
              <w:left w:val="single" w:sz="4" w:space="0" w:color="auto"/>
              <w:right w:val="single" w:sz="4" w:space="0" w:color="auto"/>
            </w:tcBorders>
            <w:vAlign w:val="center"/>
          </w:tcPr>
          <w:p w14:paraId="00277961"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right w:val="single" w:sz="4" w:space="0" w:color="auto"/>
            </w:tcBorders>
            <w:vAlign w:val="center"/>
          </w:tcPr>
          <w:p w14:paraId="05681CD0"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shd w:val="clear" w:color="auto" w:fill="auto"/>
            <w:vAlign w:val="center"/>
          </w:tcPr>
          <w:p w14:paraId="06260F3D"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初稿编辑完成时间</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7D23576E"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9月底前</w:t>
            </w:r>
          </w:p>
        </w:tc>
      </w:tr>
      <w:tr w:rsidR="00D352A1" w14:paraId="17F015EC" w14:textId="77777777">
        <w:trPr>
          <w:cantSplit/>
          <w:trHeight w:val="510"/>
          <w:jc w:val="center"/>
        </w:trPr>
        <w:tc>
          <w:tcPr>
            <w:tcW w:w="1700" w:type="dxa"/>
            <w:vMerge w:val="restart"/>
            <w:tcBorders>
              <w:top w:val="single" w:sz="4" w:space="0" w:color="auto"/>
              <w:left w:val="single" w:sz="4" w:space="0" w:color="auto"/>
              <w:right w:val="single" w:sz="4" w:space="0" w:color="auto"/>
            </w:tcBorders>
            <w:vAlign w:val="center"/>
          </w:tcPr>
          <w:p w14:paraId="43AE8F4B" w14:textId="77777777" w:rsidR="00D352A1" w:rsidRDefault="005C4FF7">
            <w:pPr>
              <w:adjustRightInd w:val="0"/>
              <w:snapToGrid w:val="0"/>
              <w:jc w:val="center"/>
              <w:rPr>
                <w:rFonts w:ascii="宋体" w:eastAsia="宋体" w:hAnsi="宋体"/>
                <w:sz w:val="24"/>
              </w:rPr>
            </w:pPr>
            <w:r>
              <w:rPr>
                <w:rFonts w:ascii="宋体" w:eastAsia="宋体" w:hAnsi="宋体" w:hint="eastAsia"/>
                <w:sz w:val="24"/>
              </w:rPr>
              <w:t>效益指标</w:t>
            </w:r>
          </w:p>
        </w:tc>
        <w:tc>
          <w:tcPr>
            <w:tcW w:w="1329" w:type="dxa"/>
            <w:vMerge w:val="restart"/>
            <w:tcBorders>
              <w:top w:val="single" w:sz="4" w:space="0" w:color="auto"/>
              <w:left w:val="single" w:sz="4" w:space="0" w:color="auto"/>
              <w:right w:val="single" w:sz="4" w:space="0" w:color="auto"/>
            </w:tcBorders>
            <w:vAlign w:val="center"/>
          </w:tcPr>
          <w:p w14:paraId="1ABC0717" w14:textId="77777777" w:rsidR="00D352A1" w:rsidRDefault="005C4FF7">
            <w:pPr>
              <w:adjustRightInd w:val="0"/>
              <w:snapToGrid w:val="0"/>
              <w:jc w:val="center"/>
              <w:rPr>
                <w:rFonts w:ascii="宋体" w:eastAsia="宋体" w:hAnsi="宋体"/>
                <w:sz w:val="24"/>
              </w:rPr>
            </w:pPr>
            <w:r>
              <w:rPr>
                <w:rFonts w:ascii="宋体" w:eastAsia="宋体" w:hAnsi="宋体"/>
                <w:sz w:val="24"/>
              </w:rPr>
              <w:t>社会效益指标</w:t>
            </w:r>
          </w:p>
        </w:tc>
        <w:tc>
          <w:tcPr>
            <w:tcW w:w="3050" w:type="dxa"/>
            <w:tcBorders>
              <w:top w:val="single" w:sz="4" w:space="0" w:color="auto"/>
              <w:left w:val="single" w:sz="4" w:space="0" w:color="auto"/>
              <w:bottom w:val="single" w:sz="4" w:space="0" w:color="auto"/>
              <w:right w:val="single" w:sz="4" w:space="0" w:color="auto"/>
            </w:tcBorders>
            <w:vAlign w:val="center"/>
          </w:tcPr>
          <w:p w14:paraId="3A68C4D6"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读者认可度</w:t>
            </w:r>
          </w:p>
        </w:tc>
        <w:tc>
          <w:tcPr>
            <w:tcW w:w="2569" w:type="dxa"/>
            <w:tcBorders>
              <w:top w:val="single" w:sz="4" w:space="0" w:color="auto"/>
              <w:left w:val="single" w:sz="4" w:space="0" w:color="auto"/>
              <w:bottom w:val="single" w:sz="4" w:space="0" w:color="auto"/>
              <w:right w:val="single" w:sz="4" w:space="0" w:color="auto"/>
            </w:tcBorders>
            <w:vAlign w:val="center"/>
          </w:tcPr>
          <w:p w14:paraId="60542A85"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面向大众，通俗易懂</w:t>
            </w:r>
          </w:p>
        </w:tc>
      </w:tr>
      <w:tr w:rsidR="00D352A1" w14:paraId="207E9821" w14:textId="77777777">
        <w:trPr>
          <w:cantSplit/>
          <w:trHeight w:val="510"/>
          <w:jc w:val="center"/>
        </w:trPr>
        <w:tc>
          <w:tcPr>
            <w:tcW w:w="1700" w:type="dxa"/>
            <w:vMerge/>
            <w:tcBorders>
              <w:left w:val="single" w:sz="4" w:space="0" w:color="auto"/>
              <w:right w:val="single" w:sz="4" w:space="0" w:color="auto"/>
            </w:tcBorders>
            <w:vAlign w:val="center"/>
          </w:tcPr>
          <w:p w14:paraId="7085BDE5"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right w:val="single" w:sz="4" w:space="0" w:color="auto"/>
            </w:tcBorders>
            <w:vAlign w:val="center"/>
          </w:tcPr>
          <w:p w14:paraId="55D2FF1D"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vAlign w:val="center"/>
          </w:tcPr>
          <w:p w14:paraId="1A91DE5E"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社会反响</w:t>
            </w:r>
          </w:p>
        </w:tc>
        <w:tc>
          <w:tcPr>
            <w:tcW w:w="2569" w:type="dxa"/>
            <w:tcBorders>
              <w:top w:val="single" w:sz="4" w:space="0" w:color="auto"/>
              <w:left w:val="single" w:sz="4" w:space="0" w:color="auto"/>
              <w:bottom w:val="single" w:sz="4" w:space="0" w:color="auto"/>
              <w:right w:val="single" w:sz="4" w:space="0" w:color="auto"/>
            </w:tcBorders>
            <w:vAlign w:val="center"/>
          </w:tcPr>
          <w:p w14:paraId="690C8607"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较好的社会影响力</w:t>
            </w:r>
          </w:p>
        </w:tc>
      </w:tr>
      <w:tr w:rsidR="00D352A1" w14:paraId="23ABC57D" w14:textId="77777777">
        <w:trPr>
          <w:cantSplit/>
          <w:trHeight w:val="510"/>
          <w:jc w:val="center"/>
        </w:trPr>
        <w:tc>
          <w:tcPr>
            <w:tcW w:w="1700" w:type="dxa"/>
            <w:vMerge/>
            <w:tcBorders>
              <w:left w:val="single" w:sz="4" w:space="0" w:color="auto"/>
              <w:bottom w:val="single" w:sz="4" w:space="0" w:color="auto"/>
              <w:right w:val="single" w:sz="4" w:space="0" w:color="auto"/>
            </w:tcBorders>
            <w:vAlign w:val="center"/>
          </w:tcPr>
          <w:p w14:paraId="6DB4C1A8"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bottom w:val="single" w:sz="4" w:space="0" w:color="auto"/>
              <w:right w:val="single" w:sz="4" w:space="0" w:color="auto"/>
            </w:tcBorders>
            <w:vAlign w:val="center"/>
          </w:tcPr>
          <w:p w14:paraId="26E3E053"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vAlign w:val="center"/>
          </w:tcPr>
          <w:p w14:paraId="10FCD0D9"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专业水平</w:t>
            </w:r>
          </w:p>
        </w:tc>
        <w:tc>
          <w:tcPr>
            <w:tcW w:w="2569" w:type="dxa"/>
            <w:tcBorders>
              <w:top w:val="single" w:sz="4" w:space="0" w:color="auto"/>
              <w:left w:val="single" w:sz="4" w:space="0" w:color="auto"/>
              <w:bottom w:val="single" w:sz="4" w:space="0" w:color="auto"/>
              <w:right w:val="single" w:sz="4" w:space="0" w:color="auto"/>
            </w:tcBorders>
            <w:vAlign w:val="center"/>
          </w:tcPr>
          <w:p w14:paraId="7A4B910B"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学术水平高</w:t>
            </w:r>
          </w:p>
        </w:tc>
      </w:tr>
      <w:tr w:rsidR="00D352A1" w14:paraId="26C4FE02" w14:textId="77777777">
        <w:trPr>
          <w:cantSplit/>
          <w:trHeight w:val="454"/>
          <w:jc w:val="center"/>
        </w:trPr>
        <w:tc>
          <w:tcPr>
            <w:tcW w:w="1700" w:type="dxa"/>
            <w:vMerge w:val="restart"/>
            <w:tcBorders>
              <w:top w:val="single" w:sz="4" w:space="0" w:color="auto"/>
              <w:left w:val="single" w:sz="4" w:space="0" w:color="auto"/>
              <w:right w:val="single" w:sz="4" w:space="0" w:color="auto"/>
            </w:tcBorders>
            <w:vAlign w:val="center"/>
          </w:tcPr>
          <w:p w14:paraId="75A21659" w14:textId="77777777" w:rsidR="00D352A1" w:rsidRDefault="005C4FF7">
            <w:pPr>
              <w:adjustRightInd w:val="0"/>
              <w:snapToGrid w:val="0"/>
              <w:jc w:val="center"/>
              <w:rPr>
                <w:rFonts w:ascii="宋体" w:eastAsia="宋体" w:hAnsi="宋体"/>
                <w:sz w:val="24"/>
              </w:rPr>
            </w:pPr>
            <w:r>
              <w:rPr>
                <w:rFonts w:ascii="宋体" w:eastAsia="宋体" w:hAnsi="宋体"/>
                <w:sz w:val="24"/>
              </w:rPr>
              <w:t>满意度指标</w:t>
            </w:r>
          </w:p>
        </w:tc>
        <w:tc>
          <w:tcPr>
            <w:tcW w:w="1329" w:type="dxa"/>
            <w:vMerge w:val="restart"/>
            <w:tcBorders>
              <w:top w:val="single" w:sz="4" w:space="0" w:color="auto"/>
              <w:left w:val="single" w:sz="4" w:space="0" w:color="auto"/>
              <w:right w:val="single" w:sz="4" w:space="0" w:color="auto"/>
            </w:tcBorders>
            <w:vAlign w:val="center"/>
          </w:tcPr>
          <w:p w14:paraId="66405BA7" w14:textId="77777777" w:rsidR="00D352A1" w:rsidRDefault="005C4FF7">
            <w:pPr>
              <w:adjustRightInd w:val="0"/>
              <w:snapToGrid w:val="0"/>
              <w:jc w:val="center"/>
              <w:rPr>
                <w:rFonts w:ascii="宋体" w:eastAsia="宋体" w:hAnsi="宋体"/>
                <w:sz w:val="24"/>
              </w:rPr>
            </w:pPr>
            <w:r>
              <w:rPr>
                <w:rFonts w:ascii="宋体" w:eastAsia="宋体" w:hAnsi="宋体"/>
                <w:sz w:val="24"/>
              </w:rPr>
              <w:t>服务对象</w:t>
            </w:r>
          </w:p>
          <w:p w14:paraId="6E49A3FD" w14:textId="77777777" w:rsidR="00D352A1" w:rsidRDefault="005C4FF7">
            <w:pPr>
              <w:adjustRightInd w:val="0"/>
              <w:snapToGrid w:val="0"/>
              <w:jc w:val="center"/>
              <w:rPr>
                <w:rFonts w:ascii="宋体" w:eastAsia="宋体" w:hAnsi="宋体"/>
                <w:sz w:val="24"/>
              </w:rPr>
            </w:pPr>
            <w:r>
              <w:rPr>
                <w:rFonts w:ascii="宋体" w:eastAsia="宋体" w:hAnsi="宋体"/>
                <w:sz w:val="24"/>
              </w:rPr>
              <w:lastRenderedPageBreak/>
              <w:t>满意度</w:t>
            </w:r>
          </w:p>
          <w:p w14:paraId="4E08F14E" w14:textId="77777777" w:rsidR="00D352A1" w:rsidRDefault="005C4FF7">
            <w:pPr>
              <w:adjustRightInd w:val="0"/>
              <w:snapToGrid w:val="0"/>
              <w:jc w:val="center"/>
              <w:rPr>
                <w:rFonts w:ascii="宋体" w:eastAsia="宋体" w:hAnsi="宋体"/>
                <w:sz w:val="24"/>
              </w:rPr>
            </w:pPr>
            <w:r>
              <w:rPr>
                <w:rFonts w:ascii="宋体" w:eastAsia="宋体" w:hAnsi="宋体"/>
                <w:sz w:val="24"/>
              </w:rPr>
              <w:t>指标</w:t>
            </w:r>
          </w:p>
        </w:tc>
        <w:tc>
          <w:tcPr>
            <w:tcW w:w="3050" w:type="dxa"/>
            <w:tcBorders>
              <w:top w:val="single" w:sz="4" w:space="0" w:color="auto"/>
              <w:left w:val="single" w:sz="4" w:space="0" w:color="auto"/>
              <w:bottom w:val="single" w:sz="4" w:space="0" w:color="auto"/>
              <w:right w:val="single" w:sz="4" w:space="0" w:color="auto"/>
            </w:tcBorders>
            <w:vAlign w:val="center"/>
          </w:tcPr>
          <w:p w14:paraId="481E1CCB"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lastRenderedPageBreak/>
              <w:t>专家学者</w:t>
            </w:r>
          </w:p>
        </w:tc>
        <w:tc>
          <w:tcPr>
            <w:tcW w:w="2569" w:type="dxa"/>
            <w:tcBorders>
              <w:top w:val="single" w:sz="4" w:space="0" w:color="auto"/>
              <w:left w:val="single" w:sz="4" w:space="0" w:color="auto"/>
              <w:bottom w:val="single" w:sz="4" w:space="0" w:color="auto"/>
              <w:right w:val="single" w:sz="4" w:space="0" w:color="auto"/>
            </w:tcBorders>
            <w:vAlign w:val="center"/>
          </w:tcPr>
          <w:p w14:paraId="46438152"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≥98%</w:t>
            </w:r>
          </w:p>
        </w:tc>
      </w:tr>
      <w:tr w:rsidR="00D352A1" w14:paraId="64AB9F82" w14:textId="77777777">
        <w:trPr>
          <w:cantSplit/>
          <w:trHeight w:val="454"/>
          <w:jc w:val="center"/>
        </w:trPr>
        <w:tc>
          <w:tcPr>
            <w:tcW w:w="1700" w:type="dxa"/>
            <w:vMerge/>
            <w:tcBorders>
              <w:left w:val="single" w:sz="4" w:space="0" w:color="auto"/>
              <w:right w:val="single" w:sz="4" w:space="0" w:color="auto"/>
            </w:tcBorders>
            <w:vAlign w:val="center"/>
          </w:tcPr>
          <w:p w14:paraId="394821BD"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right w:val="single" w:sz="4" w:space="0" w:color="auto"/>
            </w:tcBorders>
            <w:vAlign w:val="center"/>
          </w:tcPr>
          <w:p w14:paraId="1F432B13"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vAlign w:val="center"/>
          </w:tcPr>
          <w:p w14:paraId="6ED84274"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群众</w:t>
            </w:r>
          </w:p>
        </w:tc>
        <w:tc>
          <w:tcPr>
            <w:tcW w:w="2569" w:type="dxa"/>
            <w:tcBorders>
              <w:top w:val="single" w:sz="4" w:space="0" w:color="auto"/>
              <w:left w:val="single" w:sz="4" w:space="0" w:color="auto"/>
              <w:bottom w:val="single" w:sz="4" w:space="0" w:color="auto"/>
              <w:right w:val="single" w:sz="4" w:space="0" w:color="auto"/>
            </w:tcBorders>
            <w:vAlign w:val="center"/>
          </w:tcPr>
          <w:p w14:paraId="797A5213"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≥98%</w:t>
            </w:r>
          </w:p>
        </w:tc>
      </w:tr>
      <w:tr w:rsidR="00D352A1" w14:paraId="4549E58B" w14:textId="77777777">
        <w:trPr>
          <w:cantSplit/>
          <w:trHeight w:val="454"/>
          <w:jc w:val="center"/>
        </w:trPr>
        <w:tc>
          <w:tcPr>
            <w:tcW w:w="1700" w:type="dxa"/>
            <w:vMerge/>
            <w:tcBorders>
              <w:left w:val="single" w:sz="4" w:space="0" w:color="auto"/>
              <w:bottom w:val="single" w:sz="4" w:space="0" w:color="auto"/>
              <w:right w:val="single" w:sz="4" w:space="0" w:color="auto"/>
            </w:tcBorders>
            <w:vAlign w:val="center"/>
          </w:tcPr>
          <w:p w14:paraId="5FE1D0D1" w14:textId="77777777" w:rsidR="00D352A1" w:rsidRDefault="00D352A1">
            <w:pPr>
              <w:adjustRightInd w:val="0"/>
              <w:snapToGrid w:val="0"/>
              <w:jc w:val="center"/>
              <w:rPr>
                <w:rFonts w:ascii="宋体" w:eastAsia="宋体" w:hAnsi="宋体"/>
                <w:sz w:val="24"/>
              </w:rPr>
            </w:pPr>
          </w:p>
        </w:tc>
        <w:tc>
          <w:tcPr>
            <w:tcW w:w="1329" w:type="dxa"/>
            <w:vMerge/>
            <w:tcBorders>
              <w:left w:val="single" w:sz="4" w:space="0" w:color="auto"/>
              <w:bottom w:val="single" w:sz="4" w:space="0" w:color="auto"/>
              <w:right w:val="single" w:sz="4" w:space="0" w:color="auto"/>
            </w:tcBorders>
            <w:vAlign w:val="center"/>
          </w:tcPr>
          <w:p w14:paraId="7514CD38" w14:textId="77777777" w:rsidR="00D352A1" w:rsidRDefault="00D352A1">
            <w:pPr>
              <w:adjustRightInd w:val="0"/>
              <w:snapToGrid w:val="0"/>
              <w:jc w:val="center"/>
              <w:rPr>
                <w:rFonts w:ascii="宋体" w:eastAsia="宋体" w:hAnsi="宋体"/>
                <w:sz w:val="24"/>
              </w:rPr>
            </w:pPr>
          </w:p>
        </w:tc>
        <w:tc>
          <w:tcPr>
            <w:tcW w:w="3050" w:type="dxa"/>
            <w:tcBorders>
              <w:top w:val="single" w:sz="4" w:space="0" w:color="auto"/>
              <w:left w:val="single" w:sz="4" w:space="0" w:color="auto"/>
              <w:bottom w:val="single" w:sz="4" w:space="0" w:color="auto"/>
              <w:right w:val="single" w:sz="4" w:space="0" w:color="auto"/>
            </w:tcBorders>
            <w:vAlign w:val="center"/>
          </w:tcPr>
          <w:p w14:paraId="3A11E1BE"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文史馆</w:t>
            </w:r>
          </w:p>
        </w:tc>
        <w:tc>
          <w:tcPr>
            <w:tcW w:w="2569" w:type="dxa"/>
            <w:tcBorders>
              <w:top w:val="single" w:sz="4" w:space="0" w:color="auto"/>
              <w:left w:val="single" w:sz="4" w:space="0" w:color="auto"/>
              <w:bottom w:val="single" w:sz="4" w:space="0" w:color="auto"/>
              <w:right w:val="single" w:sz="4" w:space="0" w:color="auto"/>
            </w:tcBorders>
            <w:vAlign w:val="center"/>
          </w:tcPr>
          <w:p w14:paraId="5B0E0E5D" w14:textId="77777777" w:rsidR="00D352A1" w:rsidRDefault="005C4FF7">
            <w:pPr>
              <w:widowControl/>
              <w:jc w:val="center"/>
              <w:textAlignment w:val="center"/>
              <w:rPr>
                <w:rFonts w:ascii="宋体" w:eastAsia="宋体" w:hAnsi="宋体"/>
                <w:sz w:val="24"/>
              </w:rPr>
            </w:pPr>
            <w:r>
              <w:rPr>
                <w:rFonts w:ascii="宋体" w:eastAsia="宋体" w:hAnsi="宋体" w:hint="eastAsia"/>
                <w:sz w:val="24"/>
              </w:rPr>
              <w:t>≥98%</w:t>
            </w:r>
          </w:p>
        </w:tc>
      </w:tr>
    </w:tbl>
    <w:p w14:paraId="041EC049" w14:textId="77777777" w:rsidR="00D352A1" w:rsidRDefault="005C4FF7">
      <w:pPr>
        <w:adjustRightInd w:val="0"/>
        <w:snapToGrid w:val="0"/>
        <w:spacing w:line="600" w:lineRule="exact"/>
        <w:ind w:firstLineChars="200" w:firstLine="640"/>
        <w:outlineLvl w:val="0"/>
        <w:rPr>
          <w:rFonts w:ascii="黑体" w:eastAsia="黑体"/>
          <w:color w:val="000000"/>
          <w:sz w:val="32"/>
          <w:szCs w:val="32"/>
        </w:rPr>
      </w:pPr>
      <w:bookmarkStart w:id="9" w:name="_Toc35588401"/>
      <w:bookmarkStart w:id="10" w:name="_Toc25680"/>
      <w:r>
        <w:rPr>
          <w:rFonts w:ascii="黑体" w:eastAsia="黑体" w:hint="eastAsia"/>
          <w:color w:val="000000"/>
          <w:sz w:val="32"/>
          <w:szCs w:val="32"/>
        </w:rPr>
        <w:t>二、绩效评价工作开展情况</w:t>
      </w:r>
      <w:bookmarkEnd w:id="9"/>
      <w:bookmarkEnd w:id="10"/>
    </w:p>
    <w:p w14:paraId="2AC35CF4"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11" w:name="_Toc313007027"/>
      <w:bookmarkStart w:id="12" w:name="_Toc35588402"/>
      <w:bookmarkStart w:id="13" w:name="_Toc7452"/>
      <w:r>
        <w:rPr>
          <w:rFonts w:ascii="楷体_GB2312" w:eastAsia="楷体_GB2312" w:hint="eastAsia"/>
          <w:color w:val="000000"/>
          <w:sz w:val="32"/>
          <w:szCs w:val="32"/>
        </w:rPr>
        <w:t>（一）</w:t>
      </w:r>
      <w:bookmarkEnd w:id="11"/>
      <w:r>
        <w:rPr>
          <w:rFonts w:ascii="楷体_GB2312" w:eastAsia="楷体_GB2312" w:hint="eastAsia"/>
          <w:color w:val="000000"/>
          <w:sz w:val="32"/>
          <w:szCs w:val="32"/>
        </w:rPr>
        <w:t>绩效评价目的、对象和范围</w:t>
      </w:r>
      <w:bookmarkEnd w:id="12"/>
      <w:bookmarkEnd w:id="13"/>
    </w:p>
    <w:p w14:paraId="23D1CB78" w14:textId="418FD4DB" w:rsidR="00D352A1" w:rsidRPr="001F54AE" w:rsidRDefault="001F54AE" w:rsidP="001F54AE">
      <w:pPr>
        <w:spacing w:line="600" w:lineRule="exact"/>
        <w:ind w:firstLineChars="200" w:firstLine="640"/>
        <w:rPr>
          <w:rFonts w:ascii="仿宋_GB2312" w:hAnsi="仿宋"/>
          <w:sz w:val="32"/>
          <w:szCs w:val="32"/>
        </w:rPr>
      </w:pPr>
      <w:bookmarkStart w:id="14" w:name="_Toc313007028"/>
      <w:bookmarkStart w:id="15" w:name="_Toc35588403"/>
      <w:r>
        <w:rPr>
          <w:rFonts w:ascii="仿宋_GB2312"/>
          <w:color w:val="000000"/>
          <w:sz w:val="32"/>
          <w:szCs w:val="32"/>
        </w:rPr>
        <w:t>深入贯彻落实</w:t>
      </w:r>
      <w:r>
        <w:rPr>
          <w:rFonts w:ascii="仿宋_GB2312" w:hint="eastAsia"/>
          <w:color w:val="000000"/>
          <w:sz w:val="32"/>
          <w:szCs w:val="32"/>
        </w:rPr>
        <w:t>《关于全面实施预算绩效管理的实施意见》</w:t>
      </w:r>
      <w:r>
        <w:rPr>
          <w:rFonts w:ascii="仿宋_GB2312"/>
          <w:color w:val="000000"/>
          <w:sz w:val="32"/>
          <w:szCs w:val="32"/>
        </w:rPr>
        <w:t>文件</w:t>
      </w:r>
      <w:r>
        <w:rPr>
          <w:rFonts w:ascii="仿宋_GB2312" w:hint="eastAsia"/>
          <w:color w:val="000000"/>
          <w:sz w:val="32"/>
          <w:szCs w:val="32"/>
        </w:rPr>
        <w:t>精神</w:t>
      </w:r>
      <w:r>
        <w:rPr>
          <w:rFonts w:ascii="仿宋_GB2312"/>
          <w:color w:val="000000"/>
          <w:sz w:val="32"/>
          <w:szCs w:val="32"/>
        </w:rPr>
        <w:t>，根据</w:t>
      </w:r>
      <w:r>
        <w:rPr>
          <w:rFonts w:ascii="仿宋_GB2312" w:hint="eastAsia"/>
          <w:color w:val="000000"/>
          <w:sz w:val="32"/>
          <w:szCs w:val="32"/>
        </w:rPr>
        <w:t>《北京市项目支出绩效评价管理办法》、《关</w:t>
      </w:r>
      <w:r>
        <w:rPr>
          <w:rFonts w:ascii="仿宋_GB2312" w:hint="eastAsia"/>
          <w:sz w:val="32"/>
          <w:szCs w:val="32"/>
        </w:rPr>
        <w:t>于2025年预</w:t>
      </w:r>
      <w:r>
        <w:rPr>
          <w:rFonts w:ascii="仿宋_GB2312" w:hint="eastAsia"/>
          <w:color w:val="000000"/>
          <w:sz w:val="32"/>
          <w:szCs w:val="32"/>
        </w:rPr>
        <w:t>算绩效管理工作的通知》</w:t>
      </w:r>
      <w:r>
        <w:rPr>
          <w:rFonts w:ascii="仿宋_GB2312" w:hAnsi="仿宋" w:hint="eastAsia"/>
          <w:sz w:val="32"/>
          <w:szCs w:val="32"/>
        </w:rPr>
        <w:t>有关要求</w:t>
      </w:r>
      <w:r>
        <w:rPr>
          <w:rFonts w:ascii="仿宋_GB2312" w:hAnsi="仿宋"/>
          <w:sz w:val="32"/>
          <w:szCs w:val="32"/>
        </w:rPr>
        <w:t>，</w:t>
      </w:r>
      <w:r>
        <w:rPr>
          <w:rFonts w:ascii="仿宋_GB2312" w:hAnsi="仿宋" w:hint="eastAsia"/>
          <w:sz w:val="32"/>
          <w:szCs w:val="32"/>
        </w:rPr>
        <w:t>对2024年度档案保护类项目</w:t>
      </w:r>
      <w:r>
        <w:rPr>
          <w:rFonts w:ascii="仿宋_GB2312" w:hAnsi="仿宋"/>
          <w:sz w:val="32"/>
          <w:szCs w:val="32"/>
        </w:rPr>
        <w:t>开展</w:t>
      </w:r>
      <w:r>
        <w:rPr>
          <w:rFonts w:ascii="仿宋_GB2312" w:hAnsi="仿宋" w:hint="eastAsia"/>
          <w:sz w:val="32"/>
          <w:szCs w:val="32"/>
        </w:rPr>
        <w:t>综合</w:t>
      </w:r>
      <w:r>
        <w:rPr>
          <w:rFonts w:ascii="仿宋_GB2312" w:hAnsi="仿宋"/>
          <w:sz w:val="32"/>
          <w:szCs w:val="32"/>
        </w:rPr>
        <w:t>评价，</w:t>
      </w:r>
      <w:r>
        <w:rPr>
          <w:rFonts w:ascii="仿宋_GB2312" w:hAnsi="仿宋" w:hint="eastAsia"/>
          <w:sz w:val="32"/>
          <w:szCs w:val="32"/>
        </w:rPr>
        <w:t>旨在</w:t>
      </w:r>
      <w:r>
        <w:rPr>
          <w:rFonts w:ascii="仿宋_GB2312" w:hAnsi="仿宋"/>
          <w:sz w:val="32"/>
          <w:szCs w:val="32"/>
        </w:rPr>
        <w:t>总结经验</w:t>
      </w:r>
      <w:r>
        <w:rPr>
          <w:rFonts w:ascii="仿宋_GB2312" w:hAnsi="仿宋" w:hint="eastAsia"/>
          <w:sz w:val="32"/>
          <w:szCs w:val="32"/>
        </w:rPr>
        <w:t>、</w:t>
      </w:r>
      <w:r>
        <w:rPr>
          <w:rFonts w:ascii="仿宋_GB2312" w:hAnsi="仿宋"/>
          <w:sz w:val="32"/>
          <w:szCs w:val="32"/>
        </w:rPr>
        <w:t>发现问题</w:t>
      </w:r>
      <w:r>
        <w:rPr>
          <w:rFonts w:ascii="仿宋_GB2312" w:hAnsi="仿宋" w:hint="eastAsia"/>
          <w:sz w:val="32"/>
          <w:szCs w:val="32"/>
        </w:rPr>
        <w:t>、</w:t>
      </w:r>
      <w:r>
        <w:rPr>
          <w:rFonts w:ascii="仿宋_GB2312" w:hAnsi="仿宋"/>
          <w:sz w:val="32"/>
          <w:szCs w:val="32"/>
        </w:rPr>
        <w:t>提出改进建议，为部门科学决策、规范管理</w:t>
      </w:r>
      <w:r>
        <w:rPr>
          <w:rFonts w:ascii="仿宋_GB2312" w:hAnsi="仿宋" w:hint="eastAsia"/>
          <w:sz w:val="32"/>
          <w:szCs w:val="32"/>
        </w:rPr>
        <w:t>、提高资金使用效益</w:t>
      </w:r>
      <w:r>
        <w:rPr>
          <w:rFonts w:ascii="仿宋_GB2312" w:hAnsi="仿宋"/>
          <w:sz w:val="32"/>
          <w:szCs w:val="32"/>
        </w:rPr>
        <w:t>提供参考</w:t>
      </w:r>
      <w:r>
        <w:rPr>
          <w:rFonts w:ascii="仿宋_GB2312" w:hAnsi="仿宋" w:hint="eastAsia"/>
          <w:sz w:val="32"/>
          <w:szCs w:val="32"/>
        </w:rPr>
        <w:t>。</w:t>
      </w:r>
      <w:r w:rsidR="005C4FF7">
        <w:rPr>
          <w:rFonts w:hint="eastAsia"/>
          <w:sz w:val="32"/>
          <w:szCs w:val="28"/>
        </w:rPr>
        <w:t xml:space="preserve"> </w:t>
      </w:r>
    </w:p>
    <w:p w14:paraId="4277715E"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16" w:name="_Toc2432"/>
      <w:r>
        <w:rPr>
          <w:rFonts w:ascii="楷体_GB2312" w:eastAsia="楷体_GB2312" w:hint="eastAsia"/>
          <w:color w:val="000000"/>
          <w:sz w:val="32"/>
          <w:szCs w:val="32"/>
        </w:rPr>
        <w:t>（二）绩效评价原则、</w:t>
      </w:r>
      <w:bookmarkEnd w:id="14"/>
      <w:r>
        <w:rPr>
          <w:rFonts w:ascii="楷体_GB2312" w:eastAsia="楷体_GB2312" w:hint="eastAsia"/>
          <w:color w:val="000000"/>
          <w:sz w:val="32"/>
          <w:szCs w:val="32"/>
        </w:rPr>
        <w:t>方法和指标体系</w:t>
      </w:r>
      <w:bookmarkEnd w:id="15"/>
      <w:bookmarkEnd w:id="16"/>
    </w:p>
    <w:p w14:paraId="6AA5EFC1" w14:textId="77777777" w:rsidR="00D352A1" w:rsidRDefault="005C4FF7">
      <w:pPr>
        <w:spacing w:line="640" w:lineRule="exact"/>
        <w:ind w:firstLineChars="200" w:firstLine="640"/>
        <w:rPr>
          <w:sz w:val="32"/>
          <w:szCs w:val="28"/>
        </w:rPr>
      </w:pPr>
      <w:bookmarkStart w:id="17" w:name="_Toc313007030"/>
      <w:r>
        <w:rPr>
          <w:rFonts w:hint="eastAsia"/>
          <w:sz w:val="32"/>
          <w:szCs w:val="28"/>
        </w:rPr>
        <w:t>本着问题导向、科学客观、讲求绩效的原则，采用案卷研究、专家评议等方法，围绕项目决策、过程、产出、效益四方面构建评价指标体系（详见附件），开展综合评价。</w:t>
      </w:r>
      <w:bookmarkStart w:id="18" w:name="_Toc313007032"/>
      <w:bookmarkStart w:id="19" w:name="_Toc35588404"/>
      <w:bookmarkEnd w:id="17"/>
      <w:r>
        <w:rPr>
          <w:rFonts w:hint="eastAsia"/>
          <w:sz w:val="32"/>
          <w:szCs w:val="28"/>
        </w:rPr>
        <w:t>评价指标体系总分值</w:t>
      </w:r>
      <w:r>
        <w:rPr>
          <w:rFonts w:hint="eastAsia"/>
          <w:sz w:val="32"/>
          <w:szCs w:val="28"/>
        </w:rPr>
        <w:t>100</w:t>
      </w:r>
      <w:r>
        <w:rPr>
          <w:rFonts w:hint="eastAsia"/>
          <w:sz w:val="32"/>
          <w:szCs w:val="28"/>
        </w:rPr>
        <w:t>分，其中项目决策</w:t>
      </w:r>
      <w:r>
        <w:rPr>
          <w:rFonts w:hint="eastAsia"/>
          <w:sz w:val="32"/>
          <w:szCs w:val="28"/>
        </w:rPr>
        <w:t>10</w:t>
      </w:r>
      <w:r>
        <w:rPr>
          <w:rFonts w:hint="eastAsia"/>
          <w:sz w:val="32"/>
          <w:szCs w:val="28"/>
        </w:rPr>
        <w:t>分，项目过程</w:t>
      </w:r>
      <w:r>
        <w:rPr>
          <w:rFonts w:hint="eastAsia"/>
          <w:sz w:val="32"/>
          <w:szCs w:val="28"/>
        </w:rPr>
        <w:t>20</w:t>
      </w:r>
      <w:r>
        <w:rPr>
          <w:rFonts w:hint="eastAsia"/>
          <w:sz w:val="32"/>
          <w:szCs w:val="28"/>
        </w:rPr>
        <w:t>分，项目产出</w:t>
      </w:r>
      <w:r>
        <w:rPr>
          <w:rFonts w:hint="eastAsia"/>
          <w:sz w:val="32"/>
          <w:szCs w:val="28"/>
        </w:rPr>
        <w:t>40</w:t>
      </w:r>
      <w:r>
        <w:rPr>
          <w:rFonts w:hint="eastAsia"/>
          <w:sz w:val="32"/>
          <w:szCs w:val="28"/>
        </w:rPr>
        <w:t>分，项目效益</w:t>
      </w:r>
      <w:r>
        <w:rPr>
          <w:rFonts w:hint="eastAsia"/>
          <w:sz w:val="32"/>
          <w:szCs w:val="28"/>
        </w:rPr>
        <w:t>30</w:t>
      </w:r>
      <w:r>
        <w:rPr>
          <w:rFonts w:hint="eastAsia"/>
          <w:sz w:val="32"/>
          <w:szCs w:val="28"/>
        </w:rPr>
        <w:t>分。绩效评价综合绩效级别分为</w:t>
      </w:r>
      <w:r>
        <w:rPr>
          <w:rFonts w:hint="eastAsia"/>
          <w:sz w:val="32"/>
          <w:szCs w:val="28"/>
        </w:rPr>
        <w:t>4</w:t>
      </w:r>
      <w:r>
        <w:rPr>
          <w:rFonts w:hint="eastAsia"/>
          <w:sz w:val="32"/>
          <w:szCs w:val="28"/>
        </w:rPr>
        <w:t>个等级：</w:t>
      </w:r>
      <w:r>
        <w:rPr>
          <w:rFonts w:hint="eastAsia"/>
          <w:sz w:val="32"/>
          <w:szCs w:val="28"/>
        </w:rPr>
        <w:t>90</w:t>
      </w:r>
      <w:r>
        <w:rPr>
          <w:rFonts w:hint="eastAsia"/>
          <w:sz w:val="32"/>
          <w:szCs w:val="28"/>
        </w:rPr>
        <w:t>（含）</w:t>
      </w:r>
      <w:r>
        <w:rPr>
          <w:rFonts w:hint="eastAsia"/>
          <w:sz w:val="32"/>
          <w:szCs w:val="28"/>
        </w:rPr>
        <w:t>-100</w:t>
      </w:r>
      <w:r>
        <w:rPr>
          <w:rFonts w:hint="eastAsia"/>
          <w:sz w:val="32"/>
          <w:szCs w:val="28"/>
        </w:rPr>
        <w:t>分为优，</w:t>
      </w:r>
      <w:r>
        <w:rPr>
          <w:rFonts w:hint="eastAsia"/>
          <w:sz w:val="32"/>
          <w:szCs w:val="28"/>
        </w:rPr>
        <w:t>80</w:t>
      </w:r>
      <w:r>
        <w:rPr>
          <w:rFonts w:hint="eastAsia"/>
          <w:sz w:val="32"/>
          <w:szCs w:val="28"/>
        </w:rPr>
        <w:t>（含）</w:t>
      </w:r>
      <w:r>
        <w:rPr>
          <w:rFonts w:hint="eastAsia"/>
          <w:sz w:val="32"/>
          <w:szCs w:val="28"/>
        </w:rPr>
        <w:t>-90</w:t>
      </w:r>
      <w:r>
        <w:rPr>
          <w:rFonts w:hint="eastAsia"/>
          <w:sz w:val="32"/>
          <w:szCs w:val="28"/>
        </w:rPr>
        <w:t>分为良，</w:t>
      </w:r>
      <w:r>
        <w:rPr>
          <w:rFonts w:hint="eastAsia"/>
          <w:sz w:val="32"/>
          <w:szCs w:val="28"/>
        </w:rPr>
        <w:t xml:space="preserve"> 60</w:t>
      </w:r>
      <w:r>
        <w:rPr>
          <w:rFonts w:hint="eastAsia"/>
          <w:sz w:val="32"/>
          <w:szCs w:val="28"/>
        </w:rPr>
        <w:t>（含）</w:t>
      </w:r>
      <w:r>
        <w:rPr>
          <w:rFonts w:hint="eastAsia"/>
          <w:sz w:val="32"/>
          <w:szCs w:val="28"/>
        </w:rPr>
        <w:t>-80</w:t>
      </w:r>
      <w:r>
        <w:rPr>
          <w:rFonts w:hint="eastAsia"/>
          <w:sz w:val="32"/>
          <w:szCs w:val="28"/>
        </w:rPr>
        <w:t>分为中，</w:t>
      </w:r>
      <w:r>
        <w:rPr>
          <w:rFonts w:hint="eastAsia"/>
          <w:sz w:val="32"/>
          <w:szCs w:val="28"/>
        </w:rPr>
        <w:t xml:space="preserve"> 60</w:t>
      </w:r>
      <w:r>
        <w:rPr>
          <w:rFonts w:hint="eastAsia"/>
          <w:sz w:val="32"/>
          <w:szCs w:val="28"/>
        </w:rPr>
        <w:t>分以下为较差。</w:t>
      </w:r>
    </w:p>
    <w:p w14:paraId="7AEBA889"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20" w:name="_Toc10860"/>
      <w:r>
        <w:rPr>
          <w:rFonts w:ascii="楷体_GB2312" w:eastAsia="楷体_GB2312" w:hint="eastAsia"/>
          <w:color w:val="000000"/>
          <w:sz w:val="32"/>
          <w:szCs w:val="32"/>
        </w:rPr>
        <w:t>（三）绩效评价工作过程</w:t>
      </w:r>
      <w:bookmarkEnd w:id="18"/>
      <w:bookmarkEnd w:id="19"/>
      <w:bookmarkEnd w:id="20"/>
    </w:p>
    <w:p w14:paraId="3F376201" w14:textId="77777777" w:rsidR="00D352A1" w:rsidRDefault="005C4FF7">
      <w:pPr>
        <w:spacing w:line="640" w:lineRule="exact"/>
        <w:ind w:firstLineChars="200" w:firstLine="640"/>
        <w:rPr>
          <w:sz w:val="32"/>
          <w:szCs w:val="28"/>
        </w:rPr>
      </w:pPr>
      <w:bookmarkStart w:id="21" w:name="_Toc35588408"/>
      <w:r>
        <w:rPr>
          <w:rFonts w:hint="eastAsia"/>
          <w:sz w:val="32"/>
          <w:szCs w:val="28"/>
        </w:rPr>
        <w:t>评价工作分为准备、实施、总结三个阶段开展。准备阶段，组建评价工作组，辅导项目主管处室文史处准备评价所需资料，</w:t>
      </w:r>
      <w:r>
        <w:rPr>
          <w:rFonts w:hint="eastAsia"/>
          <w:sz w:val="32"/>
          <w:szCs w:val="28"/>
        </w:rPr>
        <w:lastRenderedPageBreak/>
        <w:t>并根据项目内容及特点遴选评价专家。实施阶段，评价机构收集并分析项目资料，与文史处就有关情况进行沟通、确认。在全面了解项目情况的基础上，建立评价指标体系。并于</w:t>
      </w:r>
      <w:r>
        <w:rPr>
          <w:rFonts w:hint="eastAsia"/>
          <w:sz w:val="32"/>
          <w:szCs w:val="28"/>
        </w:rPr>
        <w:t>5</w:t>
      </w:r>
      <w:r>
        <w:rPr>
          <w:rFonts w:hint="eastAsia"/>
          <w:sz w:val="32"/>
          <w:szCs w:val="28"/>
        </w:rPr>
        <w:t>月</w:t>
      </w:r>
      <w:r>
        <w:rPr>
          <w:rFonts w:hint="eastAsia"/>
          <w:sz w:val="32"/>
          <w:szCs w:val="28"/>
        </w:rPr>
        <w:t>12</w:t>
      </w:r>
      <w:r>
        <w:rPr>
          <w:rFonts w:hint="eastAsia"/>
          <w:sz w:val="32"/>
          <w:szCs w:val="28"/>
        </w:rPr>
        <w:t>日</w:t>
      </w:r>
      <w:r>
        <w:rPr>
          <w:rFonts w:hint="eastAsia"/>
          <w:sz w:val="32"/>
          <w:szCs w:val="28"/>
        </w:rPr>
        <w:t>-14</w:t>
      </w:r>
      <w:r>
        <w:rPr>
          <w:rFonts w:hint="eastAsia"/>
          <w:sz w:val="32"/>
          <w:szCs w:val="28"/>
        </w:rPr>
        <w:t>日期间组织专家进行了函评，专家组在审阅资料的基础上就项目提出了有关意见及建议。总结阶段，根据项目资料、专家组意见，评价机构按照规定的文本格式和内容撰写绩效评价报告，征求项目相关人员意见后，正式报送绩效评价报告。</w:t>
      </w:r>
    </w:p>
    <w:p w14:paraId="4AB78393" w14:textId="77777777" w:rsidR="00D352A1" w:rsidRDefault="005C4FF7">
      <w:pPr>
        <w:adjustRightInd w:val="0"/>
        <w:snapToGrid w:val="0"/>
        <w:spacing w:line="600" w:lineRule="exact"/>
        <w:ind w:firstLineChars="200" w:firstLine="640"/>
        <w:outlineLvl w:val="0"/>
        <w:rPr>
          <w:rFonts w:ascii="黑体" w:eastAsia="黑体"/>
          <w:color w:val="000000"/>
          <w:sz w:val="32"/>
          <w:szCs w:val="32"/>
        </w:rPr>
      </w:pPr>
      <w:bookmarkStart w:id="22" w:name="_Toc22029"/>
      <w:r>
        <w:rPr>
          <w:rFonts w:ascii="黑体" w:eastAsia="黑体" w:hint="eastAsia"/>
          <w:color w:val="000000"/>
          <w:sz w:val="32"/>
          <w:szCs w:val="32"/>
        </w:rPr>
        <w:t>三、综合评价情况及评价结论</w:t>
      </w:r>
      <w:bookmarkEnd w:id="21"/>
      <w:bookmarkEnd w:id="22"/>
    </w:p>
    <w:p w14:paraId="2C4B8247" w14:textId="41762CED" w:rsidR="00D352A1" w:rsidRDefault="005C4FF7">
      <w:pPr>
        <w:spacing w:line="640" w:lineRule="exact"/>
        <w:ind w:firstLineChars="200" w:firstLine="640"/>
        <w:rPr>
          <w:sz w:val="32"/>
          <w:szCs w:val="28"/>
        </w:rPr>
      </w:pPr>
      <w:r>
        <w:rPr>
          <w:rFonts w:hint="eastAsia"/>
          <w:sz w:val="32"/>
          <w:szCs w:val="28"/>
        </w:rPr>
        <w:t>经综合评价，项目实施依据充分，预算测算过程较清晰，组织实施较为规范，实施效益良好，但绩效目标有待完善，实施过程管理、满意度调查有待加强。项目评价得分</w:t>
      </w:r>
      <w:r>
        <w:rPr>
          <w:rFonts w:hint="eastAsia"/>
          <w:sz w:val="32"/>
          <w:szCs w:val="28"/>
        </w:rPr>
        <w:t>90.8</w:t>
      </w:r>
      <w:r>
        <w:rPr>
          <w:rFonts w:hint="eastAsia"/>
          <w:sz w:val="32"/>
          <w:szCs w:val="28"/>
        </w:rPr>
        <w:t>分，评价等级为“优”，</w:t>
      </w:r>
      <w:r>
        <w:rPr>
          <w:rFonts w:hint="eastAsia"/>
          <w:sz w:val="32"/>
          <w:szCs w:val="28"/>
        </w:rPr>
        <w:t xml:space="preserve"> </w:t>
      </w:r>
      <w:r>
        <w:rPr>
          <w:rFonts w:hint="eastAsia"/>
          <w:sz w:val="32"/>
          <w:szCs w:val="28"/>
        </w:rPr>
        <w:t>其中，项目决策得分为</w:t>
      </w:r>
      <w:r>
        <w:rPr>
          <w:rFonts w:hint="eastAsia"/>
          <w:sz w:val="32"/>
          <w:szCs w:val="28"/>
        </w:rPr>
        <w:t>8.5</w:t>
      </w:r>
      <w:r>
        <w:rPr>
          <w:rFonts w:hint="eastAsia"/>
          <w:sz w:val="32"/>
          <w:szCs w:val="28"/>
        </w:rPr>
        <w:t>分、项目过程得分为</w:t>
      </w:r>
      <w:r>
        <w:rPr>
          <w:rFonts w:hint="eastAsia"/>
          <w:sz w:val="32"/>
          <w:szCs w:val="28"/>
        </w:rPr>
        <w:t>18.8</w:t>
      </w:r>
      <w:r>
        <w:rPr>
          <w:rFonts w:hint="eastAsia"/>
          <w:sz w:val="32"/>
          <w:szCs w:val="28"/>
        </w:rPr>
        <w:t>分、项目产出得分为</w:t>
      </w:r>
      <w:r>
        <w:rPr>
          <w:rFonts w:hint="eastAsia"/>
          <w:sz w:val="32"/>
          <w:szCs w:val="28"/>
        </w:rPr>
        <w:t>38</w:t>
      </w:r>
      <w:r>
        <w:rPr>
          <w:rFonts w:hint="eastAsia"/>
          <w:sz w:val="32"/>
          <w:szCs w:val="28"/>
        </w:rPr>
        <w:t>分、项目效益得分为</w:t>
      </w:r>
      <w:r>
        <w:rPr>
          <w:rFonts w:hint="eastAsia"/>
          <w:sz w:val="32"/>
          <w:szCs w:val="28"/>
        </w:rPr>
        <w:t>25.5</w:t>
      </w:r>
      <w:r>
        <w:rPr>
          <w:rFonts w:hint="eastAsia"/>
          <w:sz w:val="32"/>
          <w:szCs w:val="28"/>
        </w:rPr>
        <w:t>分。评分情况详见</w:t>
      </w:r>
      <w:r w:rsidR="004C1A0C">
        <w:rPr>
          <w:rFonts w:hint="eastAsia"/>
          <w:sz w:val="32"/>
          <w:szCs w:val="28"/>
        </w:rPr>
        <w:t>表</w:t>
      </w:r>
      <w:r w:rsidR="004C1A0C">
        <w:rPr>
          <w:rFonts w:hint="eastAsia"/>
          <w:sz w:val="32"/>
          <w:szCs w:val="28"/>
        </w:rPr>
        <w:t>3</w:t>
      </w:r>
      <w:r>
        <w:rPr>
          <w:rFonts w:hint="eastAsia"/>
          <w:sz w:val="32"/>
          <w:szCs w:val="28"/>
        </w:rPr>
        <w:t>。</w:t>
      </w:r>
      <w:bookmarkStart w:id="23" w:name="_Toc35588409"/>
      <w:bookmarkStart w:id="24" w:name="_Toc9702"/>
    </w:p>
    <w:tbl>
      <w:tblPr>
        <w:tblW w:w="8789" w:type="dxa"/>
        <w:tblInd w:w="108" w:type="dxa"/>
        <w:tblLook w:val="04A0" w:firstRow="1" w:lastRow="0" w:firstColumn="1" w:lastColumn="0" w:noHBand="0" w:noVBand="1"/>
      </w:tblPr>
      <w:tblGrid>
        <w:gridCol w:w="680"/>
        <w:gridCol w:w="880"/>
        <w:gridCol w:w="1134"/>
        <w:gridCol w:w="850"/>
        <w:gridCol w:w="3402"/>
        <w:gridCol w:w="851"/>
        <w:gridCol w:w="992"/>
      </w:tblGrid>
      <w:tr w:rsidR="004C1A0C" w:rsidRPr="004C1A0C" w14:paraId="083BB0C3" w14:textId="77777777" w:rsidTr="004C1A0C">
        <w:trPr>
          <w:trHeight w:val="582"/>
        </w:trPr>
        <w:tc>
          <w:tcPr>
            <w:tcW w:w="8789" w:type="dxa"/>
            <w:gridSpan w:val="7"/>
            <w:tcBorders>
              <w:top w:val="nil"/>
              <w:left w:val="nil"/>
              <w:bottom w:val="nil"/>
              <w:right w:val="nil"/>
            </w:tcBorders>
            <w:shd w:val="clear" w:color="auto" w:fill="auto"/>
            <w:vAlign w:val="center"/>
            <w:hideMark/>
          </w:tcPr>
          <w:p w14:paraId="09AE8BF3" w14:textId="2D34211E" w:rsidR="004C1A0C" w:rsidRPr="004C1A0C" w:rsidRDefault="004C1A0C" w:rsidP="004C1A0C">
            <w:pPr>
              <w:adjustRightInd w:val="0"/>
              <w:snapToGrid w:val="0"/>
              <w:spacing w:beforeLines="50" w:before="156" w:afterLines="50" w:after="156" w:line="360" w:lineRule="auto"/>
              <w:jc w:val="center"/>
              <w:rPr>
                <w:rFonts w:ascii="宋体" w:eastAsia="宋体" w:hAnsi="宋体"/>
                <w:b/>
                <w:bCs/>
                <w:sz w:val="28"/>
                <w:szCs w:val="28"/>
              </w:rPr>
            </w:pPr>
            <w:r w:rsidRPr="004C1A0C">
              <w:rPr>
                <w:rFonts w:ascii="宋体" w:eastAsia="宋体" w:hAnsi="宋体" w:hint="eastAsia"/>
                <w:b/>
                <w:bCs/>
                <w:sz w:val="28"/>
                <w:szCs w:val="28"/>
              </w:rPr>
              <w:t>表3  编辑出版《北京地域文化通览》项目绩效评价评分表</w:t>
            </w:r>
          </w:p>
        </w:tc>
      </w:tr>
      <w:tr w:rsidR="004C1A0C" w:rsidRPr="004C1A0C" w14:paraId="2EC7DDD3" w14:textId="77777777" w:rsidTr="004C1A0C">
        <w:trPr>
          <w:trHeight w:val="78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8E741"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一级指标</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BCC8E38"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分值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78B982"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二级指标</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F718EC9"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分值</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527F97B3"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三级指标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3EB9056"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分值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F0CF2B4"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评分</w:t>
            </w:r>
          </w:p>
        </w:tc>
      </w:tr>
      <w:tr w:rsidR="004C1A0C" w:rsidRPr="004C1A0C" w14:paraId="4BCF626E" w14:textId="77777777" w:rsidTr="001E13CE">
        <w:trPr>
          <w:trHeight w:val="23"/>
        </w:trPr>
        <w:tc>
          <w:tcPr>
            <w:tcW w:w="680" w:type="dxa"/>
            <w:vMerge w:val="restart"/>
            <w:tcBorders>
              <w:top w:val="nil"/>
              <w:left w:val="single" w:sz="4" w:space="0" w:color="auto"/>
              <w:right w:val="single" w:sz="4" w:space="0" w:color="auto"/>
            </w:tcBorders>
            <w:shd w:val="clear" w:color="auto" w:fill="auto"/>
            <w:vAlign w:val="center"/>
            <w:hideMark/>
          </w:tcPr>
          <w:p w14:paraId="4495BA00" w14:textId="6BF9B53F"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决策</w:t>
            </w:r>
          </w:p>
        </w:tc>
        <w:tc>
          <w:tcPr>
            <w:tcW w:w="880" w:type="dxa"/>
            <w:vMerge w:val="restart"/>
            <w:tcBorders>
              <w:top w:val="nil"/>
              <w:left w:val="single" w:sz="4" w:space="0" w:color="auto"/>
              <w:right w:val="single" w:sz="4" w:space="0" w:color="auto"/>
            </w:tcBorders>
            <w:shd w:val="clear" w:color="auto" w:fill="auto"/>
            <w:vAlign w:val="center"/>
            <w:hideMark/>
          </w:tcPr>
          <w:p w14:paraId="3F0D5D61" w14:textId="23B1181F"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10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EC421BC" w14:textId="4FC6F8AA"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项目立项</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454F1EC9" w14:textId="37AA2A27"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3</w:t>
            </w:r>
          </w:p>
        </w:tc>
        <w:tc>
          <w:tcPr>
            <w:tcW w:w="3402" w:type="dxa"/>
            <w:tcBorders>
              <w:top w:val="nil"/>
              <w:left w:val="nil"/>
              <w:bottom w:val="single" w:sz="4" w:space="0" w:color="auto"/>
              <w:right w:val="single" w:sz="4" w:space="0" w:color="auto"/>
            </w:tcBorders>
            <w:shd w:val="clear" w:color="auto" w:fill="auto"/>
            <w:vAlign w:val="center"/>
            <w:hideMark/>
          </w:tcPr>
          <w:p w14:paraId="075CD7AB"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立项依据充分性</w:t>
            </w:r>
          </w:p>
        </w:tc>
        <w:tc>
          <w:tcPr>
            <w:tcW w:w="851" w:type="dxa"/>
            <w:tcBorders>
              <w:top w:val="nil"/>
              <w:left w:val="nil"/>
              <w:bottom w:val="single" w:sz="4" w:space="0" w:color="auto"/>
              <w:right w:val="single" w:sz="4" w:space="0" w:color="auto"/>
            </w:tcBorders>
            <w:shd w:val="clear" w:color="auto" w:fill="auto"/>
            <w:vAlign w:val="center"/>
            <w:hideMark/>
          </w:tcPr>
          <w:p w14:paraId="0FCA7C0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66043E1A"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r>
      <w:tr w:rsidR="004C1A0C" w:rsidRPr="004C1A0C" w14:paraId="0131A482" w14:textId="77777777" w:rsidTr="001E13CE">
        <w:trPr>
          <w:trHeight w:val="23"/>
        </w:trPr>
        <w:tc>
          <w:tcPr>
            <w:tcW w:w="680" w:type="dxa"/>
            <w:vMerge/>
            <w:tcBorders>
              <w:left w:val="single" w:sz="4" w:space="0" w:color="auto"/>
              <w:right w:val="single" w:sz="4" w:space="0" w:color="auto"/>
            </w:tcBorders>
            <w:vAlign w:val="center"/>
            <w:hideMark/>
          </w:tcPr>
          <w:p w14:paraId="6E0000E2" w14:textId="29E14AF1" w:rsidR="004C1A0C" w:rsidRPr="004C1A0C" w:rsidRDefault="004C1A0C" w:rsidP="004C1A0C">
            <w:pPr>
              <w:jc w:val="center"/>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112EBFA9" w14:textId="71BF4510" w:rsidR="004C1A0C" w:rsidRPr="004C1A0C" w:rsidRDefault="004C1A0C" w:rsidP="004C1A0C">
            <w:pPr>
              <w:jc w:val="center"/>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97B7D0D"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21794094"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43AF33F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立项程序规范性</w:t>
            </w:r>
          </w:p>
        </w:tc>
        <w:tc>
          <w:tcPr>
            <w:tcW w:w="851" w:type="dxa"/>
            <w:tcBorders>
              <w:top w:val="nil"/>
              <w:left w:val="nil"/>
              <w:bottom w:val="single" w:sz="4" w:space="0" w:color="auto"/>
              <w:right w:val="single" w:sz="4" w:space="0" w:color="auto"/>
            </w:tcBorders>
            <w:shd w:val="clear" w:color="auto" w:fill="auto"/>
            <w:vAlign w:val="center"/>
            <w:hideMark/>
          </w:tcPr>
          <w:p w14:paraId="3369B8DD"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14:paraId="79E5D537"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w:t>
            </w:r>
          </w:p>
        </w:tc>
      </w:tr>
      <w:tr w:rsidR="004C1A0C" w:rsidRPr="004C1A0C" w14:paraId="31E79B50" w14:textId="77777777" w:rsidTr="001E13CE">
        <w:trPr>
          <w:trHeight w:val="23"/>
        </w:trPr>
        <w:tc>
          <w:tcPr>
            <w:tcW w:w="680" w:type="dxa"/>
            <w:vMerge/>
            <w:tcBorders>
              <w:left w:val="single" w:sz="4" w:space="0" w:color="auto"/>
              <w:right w:val="single" w:sz="4" w:space="0" w:color="auto"/>
            </w:tcBorders>
            <w:vAlign w:val="center"/>
            <w:hideMark/>
          </w:tcPr>
          <w:p w14:paraId="6880B6B6" w14:textId="00A41E0B" w:rsidR="004C1A0C" w:rsidRPr="004C1A0C" w:rsidRDefault="004C1A0C" w:rsidP="004C1A0C">
            <w:pPr>
              <w:jc w:val="center"/>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2CEE59C2" w14:textId="1C71C3F4" w:rsidR="004C1A0C" w:rsidRPr="004C1A0C" w:rsidRDefault="004C1A0C" w:rsidP="004C1A0C">
            <w:pPr>
              <w:jc w:val="center"/>
              <w:rPr>
                <w:rFonts w:ascii="宋体" w:eastAsia="宋体" w:hAnsi="宋体" w:cs="宋体"/>
                <w:kern w:val="0"/>
                <w:sz w:val="20"/>
                <w:szCs w:val="20"/>
              </w:rPr>
            </w:pPr>
          </w:p>
        </w:tc>
        <w:tc>
          <w:tcPr>
            <w:tcW w:w="1134" w:type="dxa"/>
            <w:vMerge w:val="restart"/>
            <w:tcBorders>
              <w:top w:val="nil"/>
              <w:left w:val="nil"/>
              <w:right w:val="single" w:sz="4" w:space="0" w:color="auto"/>
            </w:tcBorders>
            <w:shd w:val="clear" w:color="auto" w:fill="auto"/>
            <w:vAlign w:val="center"/>
            <w:hideMark/>
          </w:tcPr>
          <w:p w14:paraId="4EF62D29" w14:textId="1D84CAB3"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绩效目标</w:t>
            </w:r>
          </w:p>
        </w:tc>
        <w:tc>
          <w:tcPr>
            <w:tcW w:w="850" w:type="dxa"/>
            <w:vMerge w:val="restart"/>
            <w:tcBorders>
              <w:top w:val="nil"/>
              <w:left w:val="nil"/>
              <w:right w:val="single" w:sz="4" w:space="0" w:color="auto"/>
            </w:tcBorders>
            <w:shd w:val="clear" w:color="auto" w:fill="auto"/>
            <w:vAlign w:val="center"/>
            <w:hideMark/>
          </w:tcPr>
          <w:p w14:paraId="552F54E3" w14:textId="7EA0A160"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4</w:t>
            </w:r>
          </w:p>
        </w:tc>
        <w:tc>
          <w:tcPr>
            <w:tcW w:w="3402" w:type="dxa"/>
            <w:tcBorders>
              <w:top w:val="nil"/>
              <w:left w:val="nil"/>
              <w:bottom w:val="single" w:sz="4" w:space="0" w:color="auto"/>
              <w:right w:val="single" w:sz="4" w:space="0" w:color="auto"/>
            </w:tcBorders>
            <w:shd w:val="clear" w:color="auto" w:fill="auto"/>
            <w:vAlign w:val="center"/>
            <w:hideMark/>
          </w:tcPr>
          <w:p w14:paraId="13D85DE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绩效目标合理性</w:t>
            </w:r>
          </w:p>
        </w:tc>
        <w:tc>
          <w:tcPr>
            <w:tcW w:w="851" w:type="dxa"/>
            <w:tcBorders>
              <w:top w:val="nil"/>
              <w:left w:val="nil"/>
              <w:bottom w:val="single" w:sz="4" w:space="0" w:color="auto"/>
              <w:right w:val="single" w:sz="4" w:space="0" w:color="auto"/>
            </w:tcBorders>
            <w:shd w:val="clear" w:color="auto" w:fill="auto"/>
            <w:vAlign w:val="center"/>
            <w:hideMark/>
          </w:tcPr>
          <w:p w14:paraId="6E9683A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1F44EA92"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w:t>
            </w:r>
          </w:p>
        </w:tc>
      </w:tr>
      <w:tr w:rsidR="004C1A0C" w:rsidRPr="004C1A0C" w14:paraId="1ECD4081" w14:textId="77777777" w:rsidTr="001E13CE">
        <w:trPr>
          <w:trHeight w:val="23"/>
        </w:trPr>
        <w:tc>
          <w:tcPr>
            <w:tcW w:w="680" w:type="dxa"/>
            <w:vMerge/>
            <w:tcBorders>
              <w:left w:val="single" w:sz="4" w:space="0" w:color="auto"/>
              <w:right w:val="single" w:sz="4" w:space="0" w:color="auto"/>
            </w:tcBorders>
            <w:shd w:val="clear" w:color="auto" w:fill="auto"/>
            <w:vAlign w:val="center"/>
            <w:hideMark/>
          </w:tcPr>
          <w:p w14:paraId="1D3E0F5A" w14:textId="3F6A7D33" w:rsidR="004C1A0C" w:rsidRPr="004C1A0C" w:rsidRDefault="004C1A0C" w:rsidP="004C1A0C">
            <w:pPr>
              <w:widowControl/>
              <w:jc w:val="center"/>
              <w:rPr>
                <w:rFonts w:ascii="宋体" w:eastAsia="宋体" w:hAnsi="宋体" w:cs="宋体"/>
                <w:kern w:val="0"/>
                <w:sz w:val="20"/>
                <w:szCs w:val="20"/>
              </w:rPr>
            </w:pPr>
          </w:p>
        </w:tc>
        <w:tc>
          <w:tcPr>
            <w:tcW w:w="880" w:type="dxa"/>
            <w:vMerge/>
            <w:tcBorders>
              <w:left w:val="single" w:sz="4" w:space="0" w:color="auto"/>
              <w:right w:val="single" w:sz="4" w:space="0" w:color="auto"/>
            </w:tcBorders>
            <w:shd w:val="clear" w:color="auto" w:fill="auto"/>
            <w:vAlign w:val="center"/>
            <w:hideMark/>
          </w:tcPr>
          <w:p w14:paraId="70DFA784" w14:textId="5FD6FC18" w:rsidR="004C1A0C" w:rsidRPr="004C1A0C" w:rsidRDefault="004C1A0C" w:rsidP="004C1A0C">
            <w:pPr>
              <w:widowControl/>
              <w:jc w:val="center"/>
              <w:rPr>
                <w:rFonts w:ascii="宋体" w:eastAsia="宋体" w:hAnsi="宋体" w:cs="宋体"/>
                <w:kern w:val="0"/>
                <w:sz w:val="20"/>
                <w:szCs w:val="20"/>
              </w:rPr>
            </w:pPr>
          </w:p>
        </w:tc>
        <w:tc>
          <w:tcPr>
            <w:tcW w:w="1134" w:type="dxa"/>
            <w:vMerge/>
            <w:tcBorders>
              <w:left w:val="nil"/>
              <w:bottom w:val="single" w:sz="4" w:space="0" w:color="auto"/>
              <w:right w:val="single" w:sz="4" w:space="0" w:color="auto"/>
            </w:tcBorders>
            <w:shd w:val="clear" w:color="auto" w:fill="auto"/>
            <w:vAlign w:val="center"/>
            <w:hideMark/>
          </w:tcPr>
          <w:p w14:paraId="4F2A5928" w14:textId="42CCE273" w:rsidR="004C1A0C" w:rsidRPr="004C1A0C" w:rsidRDefault="004C1A0C" w:rsidP="004C1A0C">
            <w:pPr>
              <w:widowControl/>
              <w:jc w:val="center"/>
              <w:rPr>
                <w:rFonts w:ascii="宋体" w:eastAsia="宋体" w:hAnsi="宋体" w:cs="宋体"/>
                <w:kern w:val="0"/>
                <w:sz w:val="20"/>
                <w:szCs w:val="20"/>
              </w:rPr>
            </w:pPr>
          </w:p>
        </w:tc>
        <w:tc>
          <w:tcPr>
            <w:tcW w:w="850" w:type="dxa"/>
            <w:vMerge/>
            <w:tcBorders>
              <w:left w:val="nil"/>
              <w:bottom w:val="single" w:sz="4" w:space="0" w:color="auto"/>
              <w:right w:val="single" w:sz="4" w:space="0" w:color="auto"/>
            </w:tcBorders>
            <w:shd w:val="clear" w:color="auto" w:fill="auto"/>
            <w:vAlign w:val="center"/>
            <w:hideMark/>
          </w:tcPr>
          <w:p w14:paraId="26AB2415" w14:textId="6357AA86" w:rsidR="004C1A0C" w:rsidRPr="004C1A0C" w:rsidRDefault="004C1A0C" w:rsidP="004C1A0C">
            <w:pPr>
              <w:widowControl/>
              <w:jc w:val="center"/>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0E93F73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绩效指标明确性</w:t>
            </w:r>
          </w:p>
        </w:tc>
        <w:tc>
          <w:tcPr>
            <w:tcW w:w="851" w:type="dxa"/>
            <w:tcBorders>
              <w:top w:val="nil"/>
              <w:left w:val="nil"/>
              <w:bottom w:val="single" w:sz="4" w:space="0" w:color="auto"/>
              <w:right w:val="single" w:sz="4" w:space="0" w:color="auto"/>
            </w:tcBorders>
            <w:shd w:val="clear" w:color="auto" w:fill="auto"/>
            <w:vAlign w:val="center"/>
            <w:hideMark/>
          </w:tcPr>
          <w:p w14:paraId="5D800505"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134D7D5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1.5</w:t>
            </w:r>
          </w:p>
        </w:tc>
      </w:tr>
      <w:tr w:rsidR="004C1A0C" w:rsidRPr="004C1A0C" w14:paraId="6E43EAF4" w14:textId="77777777" w:rsidTr="001E13CE">
        <w:trPr>
          <w:trHeight w:val="23"/>
        </w:trPr>
        <w:tc>
          <w:tcPr>
            <w:tcW w:w="680" w:type="dxa"/>
            <w:vMerge/>
            <w:tcBorders>
              <w:left w:val="single" w:sz="4" w:space="0" w:color="auto"/>
              <w:right w:val="single" w:sz="4" w:space="0" w:color="auto"/>
            </w:tcBorders>
            <w:vAlign w:val="center"/>
            <w:hideMark/>
          </w:tcPr>
          <w:p w14:paraId="4330518E"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2FB5935F" w14:textId="77777777" w:rsidR="004C1A0C" w:rsidRPr="004C1A0C" w:rsidRDefault="004C1A0C" w:rsidP="004C1A0C">
            <w:pPr>
              <w:widowControl/>
              <w:jc w:val="left"/>
              <w:rPr>
                <w:rFonts w:ascii="宋体" w:eastAsia="宋体" w:hAnsi="宋体" w:cs="宋体"/>
                <w:kern w:val="0"/>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3E374BB" w14:textId="0126D2C7"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资金</w:t>
            </w:r>
            <w:r w:rsidRPr="008F789F">
              <w:rPr>
                <w:rFonts w:ascii="宋体" w:eastAsia="宋体" w:hAnsi="宋体" w:cs="宋体" w:hint="eastAsia"/>
                <w:kern w:val="0"/>
                <w:sz w:val="20"/>
                <w:szCs w:val="20"/>
              </w:rPr>
              <w:br/>
              <w:t>投入</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2802263E" w14:textId="0669DB0E" w:rsidR="004C1A0C" w:rsidRPr="004C1A0C" w:rsidRDefault="004C1A0C" w:rsidP="004C1A0C">
            <w:pPr>
              <w:widowControl/>
              <w:jc w:val="center"/>
              <w:rPr>
                <w:rFonts w:ascii="宋体" w:eastAsia="宋体" w:hAnsi="宋体" w:cs="宋体"/>
                <w:kern w:val="0"/>
                <w:sz w:val="20"/>
                <w:szCs w:val="20"/>
              </w:rPr>
            </w:pPr>
            <w:r w:rsidRPr="008F789F">
              <w:rPr>
                <w:rFonts w:ascii="宋体" w:eastAsia="宋体" w:hAnsi="宋体" w:cs="宋体" w:hint="eastAsia"/>
                <w:kern w:val="0"/>
                <w:sz w:val="20"/>
                <w:szCs w:val="20"/>
              </w:rPr>
              <w:t>3</w:t>
            </w:r>
          </w:p>
        </w:tc>
        <w:tc>
          <w:tcPr>
            <w:tcW w:w="3402" w:type="dxa"/>
            <w:tcBorders>
              <w:top w:val="nil"/>
              <w:left w:val="nil"/>
              <w:bottom w:val="single" w:sz="4" w:space="0" w:color="auto"/>
              <w:right w:val="single" w:sz="4" w:space="0" w:color="auto"/>
            </w:tcBorders>
            <w:shd w:val="clear" w:color="auto" w:fill="auto"/>
            <w:vAlign w:val="center"/>
            <w:hideMark/>
          </w:tcPr>
          <w:p w14:paraId="7581D91C"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预算编制科学性</w:t>
            </w:r>
          </w:p>
        </w:tc>
        <w:tc>
          <w:tcPr>
            <w:tcW w:w="851" w:type="dxa"/>
            <w:tcBorders>
              <w:top w:val="nil"/>
              <w:left w:val="nil"/>
              <w:bottom w:val="single" w:sz="4" w:space="0" w:color="auto"/>
              <w:right w:val="single" w:sz="4" w:space="0" w:color="auto"/>
            </w:tcBorders>
            <w:shd w:val="clear" w:color="auto" w:fill="auto"/>
            <w:vAlign w:val="center"/>
            <w:hideMark/>
          </w:tcPr>
          <w:p w14:paraId="1172F70B"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027C1BD2"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r>
      <w:tr w:rsidR="004C1A0C" w:rsidRPr="004C1A0C" w14:paraId="11D5E1C5" w14:textId="77777777" w:rsidTr="001E13CE">
        <w:trPr>
          <w:trHeight w:val="23"/>
        </w:trPr>
        <w:tc>
          <w:tcPr>
            <w:tcW w:w="680" w:type="dxa"/>
            <w:vMerge/>
            <w:tcBorders>
              <w:left w:val="single" w:sz="4" w:space="0" w:color="auto"/>
              <w:bottom w:val="single" w:sz="4" w:space="0" w:color="auto"/>
              <w:right w:val="single" w:sz="4" w:space="0" w:color="auto"/>
            </w:tcBorders>
            <w:vAlign w:val="center"/>
            <w:hideMark/>
          </w:tcPr>
          <w:p w14:paraId="3E997E2A"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left w:val="single" w:sz="4" w:space="0" w:color="auto"/>
              <w:bottom w:val="single" w:sz="4" w:space="0" w:color="auto"/>
              <w:right w:val="single" w:sz="4" w:space="0" w:color="auto"/>
            </w:tcBorders>
            <w:vAlign w:val="center"/>
            <w:hideMark/>
          </w:tcPr>
          <w:p w14:paraId="2189F4D7" w14:textId="77777777" w:rsidR="004C1A0C" w:rsidRPr="004C1A0C" w:rsidRDefault="004C1A0C" w:rsidP="004C1A0C">
            <w:pPr>
              <w:widowControl/>
              <w:jc w:val="left"/>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44829EF1"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62185E4A"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5BE61572"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资金分配合理性</w:t>
            </w:r>
          </w:p>
        </w:tc>
        <w:tc>
          <w:tcPr>
            <w:tcW w:w="851" w:type="dxa"/>
            <w:tcBorders>
              <w:top w:val="nil"/>
              <w:left w:val="nil"/>
              <w:bottom w:val="single" w:sz="4" w:space="0" w:color="auto"/>
              <w:right w:val="single" w:sz="4" w:space="0" w:color="auto"/>
            </w:tcBorders>
            <w:shd w:val="clear" w:color="auto" w:fill="auto"/>
            <w:vAlign w:val="center"/>
            <w:hideMark/>
          </w:tcPr>
          <w:p w14:paraId="24D1AB1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w:t>
            </w:r>
          </w:p>
        </w:tc>
        <w:tc>
          <w:tcPr>
            <w:tcW w:w="992" w:type="dxa"/>
            <w:tcBorders>
              <w:top w:val="nil"/>
              <w:left w:val="nil"/>
              <w:bottom w:val="single" w:sz="4" w:space="0" w:color="auto"/>
              <w:right w:val="single" w:sz="4" w:space="0" w:color="auto"/>
            </w:tcBorders>
            <w:shd w:val="clear" w:color="auto" w:fill="auto"/>
            <w:noWrap/>
            <w:vAlign w:val="center"/>
            <w:hideMark/>
          </w:tcPr>
          <w:p w14:paraId="1A9CF0FD"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w:t>
            </w:r>
          </w:p>
        </w:tc>
      </w:tr>
      <w:tr w:rsidR="004C1A0C" w:rsidRPr="004C1A0C" w14:paraId="51EBA0B2" w14:textId="77777777" w:rsidTr="005E50A8">
        <w:trPr>
          <w:trHeight w:val="23"/>
        </w:trPr>
        <w:tc>
          <w:tcPr>
            <w:tcW w:w="680" w:type="dxa"/>
            <w:vMerge w:val="restart"/>
            <w:tcBorders>
              <w:top w:val="nil"/>
              <w:left w:val="single" w:sz="4" w:space="0" w:color="auto"/>
              <w:right w:val="single" w:sz="4" w:space="0" w:color="auto"/>
            </w:tcBorders>
            <w:shd w:val="clear" w:color="auto" w:fill="auto"/>
            <w:vAlign w:val="center"/>
            <w:hideMark/>
          </w:tcPr>
          <w:p w14:paraId="5542FD76" w14:textId="272C270C"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lastRenderedPageBreak/>
              <w:t>过程</w:t>
            </w:r>
          </w:p>
        </w:tc>
        <w:tc>
          <w:tcPr>
            <w:tcW w:w="880" w:type="dxa"/>
            <w:vMerge w:val="restart"/>
            <w:tcBorders>
              <w:top w:val="nil"/>
              <w:left w:val="single" w:sz="4" w:space="0" w:color="auto"/>
              <w:right w:val="single" w:sz="4" w:space="0" w:color="auto"/>
            </w:tcBorders>
            <w:shd w:val="clear" w:color="auto" w:fill="auto"/>
            <w:vAlign w:val="center"/>
            <w:hideMark/>
          </w:tcPr>
          <w:p w14:paraId="060268DE" w14:textId="5A0D0409"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57DCDB0"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资金管理</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6648A5E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0C10E436"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资金到位率</w:t>
            </w:r>
          </w:p>
        </w:tc>
        <w:tc>
          <w:tcPr>
            <w:tcW w:w="851" w:type="dxa"/>
            <w:tcBorders>
              <w:top w:val="nil"/>
              <w:left w:val="nil"/>
              <w:bottom w:val="single" w:sz="4" w:space="0" w:color="auto"/>
              <w:right w:val="single" w:sz="4" w:space="0" w:color="auto"/>
            </w:tcBorders>
            <w:shd w:val="clear" w:color="auto" w:fill="auto"/>
            <w:vAlign w:val="center"/>
            <w:hideMark/>
          </w:tcPr>
          <w:p w14:paraId="7F0FB0EC"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c>
          <w:tcPr>
            <w:tcW w:w="992" w:type="dxa"/>
            <w:tcBorders>
              <w:top w:val="nil"/>
              <w:left w:val="nil"/>
              <w:bottom w:val="single" w:sz="4" w:space="0" w:color="auto"/>
              <w:right w:val="single" w:sz="4" w:space="0" w:color="auto"/>
            </w:tcBorders>
            <w:shd w:val="clear" w:color="auto" w:fill="auto"/>
            <w:noWrap/>
            <w:vAlign w:val="center"/>
            <w:hideMark/>
          </w:tcPr>
          <w:p w14:paraId="18034E9D"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w:t>
            </w:r>
          </w:p>
        </w:tc>
      </w:tr>
      <w:tr w:rsidR="004C1A0C" w:rsidRPr="004C1A0C" w14:paraId="3467C64E" w14:textId="77777777" w:rsidTr="005E50A8">
        <w:trPr>
          <w:trHeight w:val="23"/>
        </w:trPr>
        <w:tc>
          <w:tcPr>
            <w:tcW w:w="680" w:type="dxa"/>
            <w:vMerge/>
            <w:tcBorders>
              <w:left w:val="single" w:sz="4" w:space="0" w:color="auto"/>
              <w:right w:val="single" w:sz="4" w:space="0" w:color="auto"/>
            </w:tcBorders>
            <w:vAlign w:val="center"/>
            <w:hideMark/>
          </w:tcPr>
          <w:p w14:paraId="5780A754" w14:textId="02C3423F" w:rsidR="004C1A0C" w:rsidRPr="004C1A0C" w:rsidRDefault="004C1A0C" w:rsidP="004C1A0C">
            <w:pPr>
              <w:jc w:val="center"/>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7DA0131C" w14:textId="25AF4408" w:rsidR="004C1A0C" w:rsidRPr="004C1A0C" w:rsidRDefault="004C1A0C" w:rsidP="004C1A0C">
            <w:pPr>
              <w:jc w:val="center"/>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010A11F6"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7A5FB659"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44E3661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预算执行率</w:t>
            </w:r>
          </w:p>
        </w:tc>
        <w:tc>
          <w:tcPr>
            <w:tcW w:w="851" w:type="dxa"/>
            <w:tcBorders>
              <w:top w:val="nil"/>
              <w:left w:val="nil"/>
              <w:bottom w:val="single" w:sz="4" w:space="0" w:color="auto"/>
              <w:right w:val="single" w:sz="4" w:space="0" w:color="auto"/>
            </w:tcBorders>
            <w:shd w:val="clear" w:color="auto" w:fill="auto"/>
            <w:vAlign w:val="center"/>
            <w:hideMark/>
          </w:tcPr>
          <w:p w14:paraId="62CFC1F0"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4</w:t>
            </w:r>
          </w:p>
        </w:tc>
        <w:tc>
          <w:tcPr>
            <w:tcW w:w="992" w:type="dxa"/>
            <w:tcBorders>
              <w:top w:val="nil"/>
              <w:left w:val="nil"/>
              <w:bottom w:val="single" w:sz="4" w:space="0" w:color="auto"/>
              <w:right w:val="single" w:sz="4" w:space="0" w:color="auto"/>
            </w:tcBorders>
            <w:shd w:val="clear" w:color="auto" w:fill="auto"/>
            <w:noWrap/>
            <w:vAlign w:val="center"/>
            <w:hideMark/>
          </w:tcPr>
          <w:p w14:paraId="575008A0"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3.8</w:t>
            </w:r>
          </w:p>
        </w:tc>
      </w:tr>
      <w:tr w:rsidR="004C1A0C" w:rsidRPr="004C1A0C" w14:paraId="4DD342DD" w14:textId="77777777" w:rsidTr="005E50A8">
        <w:trPr>
          <w:trHeight w:val="23"/>
        </w:trPr>
        <w:tc>
          <w:tcPr>
            <w:tcW w:w="680" w:type="dxa"/>
            <w:vMerge/>
            <w:tcBorders>
              <w:left w:val="single" w:sz="4" w:space="0" w:color="auto"/>
              <w:right w:val="single" w:sz="4" w:space="0" w:color="auto"/>
            </w:tcBorders>
            <w:vAlign w:val="center"/>
            <w:hideMark/>
          </w:tcPr>
          <w:p w14:paraId="0C2F728F" w14:textId="56A0EEC1" w:rsidR="004C1A0C" w:rsidRPr="004C1A0C" w:rsidRDefault="004C1A0C" w:rsidP="004C1A0C">
            <w:pPr>
              <w:jc w:val="center"/>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134A91B9" w14:textId="12D6DE75" w:rsidR="004C1A0C" w:rsidRPr="004C1A0C" w:rsidRDefault="004C1A0C" w:rsidP="004C1A0C">
            <w:pPr>
              <w:jc w:val="center"/>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EC51B68"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5AB93D45"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0F706DC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资金使用合规性</w:t>
            </w:r>
          </w:p>
        </w:tc>
        <w:tc>
          <w:tcPr>
            <w:tcW w:w="851" w:type="dxa"/>
            <w:tcBorders>
              <w:top w:val="nil"/>
              <w:left w:val="nil"/>
              <w:bottom w:val="single" w:sz="4" w:space="0" w:color="auto"/>
              <w:right w:val="single" w:sz="4" w:space="0" w:color="auto"/>
            </w:tcBorders>
            <w:shd w:val="clear" w:color="auto" w:fill="auto"/>
            <w:vAlign w:val="center"/>
            <w:hideMark/>
          </w:tcPr>
          <w:p w14:paraId="672FA8AE"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4</w:t>
            </w:r>
          </w:p>
        </w:tc>
        <w:tc>
          <w:tcPr>
            <w:tcW w:w="992" w:type="dxa"/>
            <w:tcBorders>
              <w:top w:val="nil"/>
              <w:left w:val="nil"/>
              <w:bottom w:val="single" w:sz="4" w:space="0" w:color="auto"/>
              <w:right w:val="single" w:sz="4" w:space="0" w:color="auto"/>
            </w:tcBorders>
            <w:shd w:val="clear" w:color="auto" w:fill="auto"/>
            <w:noWrap/>
            <w:vAlign w:val="center"/>
            <w:hideMark/>
          </w:tcPr>
          <w:p w14:paraId="2A67090F"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4</w:t>
            </w:r>
          </w:p>
        </w:tc>
      </w:tr>
      <w:tr w:rsidR="004C1A0C" w:rsidRPr="004C1A0C" w14:paraId="23BD52C7" w14:textId="77777777" w:rsidTr="005E50A8">
        <w:trPr>
          <w:trHeight w:val="23"/>
        </w:trPr>
        <w:tc>
          <w:tcPr>
            <w:tcW w:w="680" w:type="dxa"/>
            <w:vMerge/>
            <w:tcBorders>
              <w:left w:val="single" w:sz="4" w:space="0" w:color="auto"/>
              <w:right w:val="single" w:sz="4" w:space="0" w:color="auto"/>
            </w:tcBorders>
            <w:shd w:val="clear" w:color="auto" w:fill="auto"/>
            <w:vAlign w:val="center"/>
            <w:hideMark/>
          </w:tcPr>
          <w:p w14:paraId="3CB8FDE3" w14:textId="4E4A9BB6" w:rsidR="004C1A0C" w:rsidRPr="004C1A0C" w:rsidRDefault="004C1A0C" w:rsidP="004C1A0C">
            <w:pPr>
              <w:widowControl/>
              <w:jc w:val="center"/>
              <w:rPr>
                <w:rFonts w:ascii="宋体" w:eastAsia="宋体" w:hAnsi="宋体" w:cs="宋体"/>
                <w:kern w:val="0"/>
                <w:sz w:val="20"/>
                <w:szCs w:val="20"/>
              </w:rPr>
            </w:pPr>
          </w:p>
        </w:tc>
        <w:tc>
          <w:tcPr>
            <w:tcW w:w="880" w:type="dxa"/>
            <w:vMerge/>
            <w:tcBorders>
              <w:left w:val="single" w:sz="4" w:space="0" w:color="auto"/>
              <w:right w:val="single" w:sz="4" w:space="0" w:color="auto"/>
            </w:tcBorders>
            <w:shd w:val="clear" w:color="auto" w:fill="auto"/>
            <w:vAlign w:val="center"/>
            <w:hideMark/>
          </w:tcPr>
          <w:p w14:paraId="1FF0D2FF" w14:textId="00775DAD" w:rsidR="004C1A0C" w:rsidRPr="004C1A0C" w:rsidRDefault="004C1A0C" w:rsidP="004C1A0C">
            <w:pPr>
              <w:widowControl/>
              <w:jc w:val="center"/>
              <w:rPr>
                <w:rFonts w:ascii="宋体" w:eastAsia="宋体" w:hAnsi="宋体" w:cs="宋体"/>
                <w:kern w:val="0"/>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4DB38D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组织实施</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9202610"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0160EFD6"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管理制度健全性</w:t>
            </w:r>
          </w:p>
        </w:tc>
        <w:tc>
          <w:tcPr>
            <w:tcW w:w="851" w:type="dxa"/>
            <w:tcBorders>
              <w:top w:val="nil"/>
              <w:left w:val="nil"/>
              <w:bottom w:val="single" w:sz="4" w:space="0" w:color="auto"/>
              <w:right w:val="single" w:sz="4" w:space="0" w:color="auto"/>
            </w:tcBorders>
            <w:shd w:val="clear" w:color="auto" w:fill="auto"/>
            <w:vAlign w:val="center"/>
            <w:hideMark/>
          </w:tcPr>
          <w:p w14:paraId="7EDD84CF"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5</w:t>
            </w:r>
          </w:p>
        </w:tc>
        <w:tc>
          <w:tcPr>
            <w:tcW w:w="992" w:type="dxa"/>
            <w:tcBorders>
              <w:top w:val="nil"/>
              <w:left w:val="nil"/>
              <w:bottom w:val="single" w:sz="4" w:space="0" w:color="auto"/>
              <w:right w:val="single" w:sz="4" w:space="0" w:color="auto"/>
            </w:tcBorders>
            <w:shd w:val="clear" w:color="auto" w:fill="auto"/>
            <w:noWrap/>
            <w:vAlign w:val="center"/>
            <w:hideMark/>
          </w:tcPr>
          <w:p w14:paraId="133CEF8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5</w:t>
            </w:r>
          </w:p>
        </w:tc>
      </w:tr>
      <w:tr w:rsidR="004C1A0C" w:rsidRPr="004C1A0C" w14:paraId="40DC4815" w14:textId="77777777" w:rsidTr="005E50A8">
        <w:trPr>
          <w:trHeight w:val="23"/>
        </w:trPr>
        <w:tc>
          <w:tcPr>
            <w:tcW w:w="680" w:type="dxa"/>
            <w:vMerge/>
            <w:tcBorders>
              <w:left w:val="single" w:sz="4" w:space="0" w:color="auto"/>
              <w:bottom w:val="single" w:sz="4" w:space="0" w:color="000000"/>
              <w:right w:val="single" w:sz="4" w:space="0" w:color="auto"/>
            </w:tcBorders>
            <w:vAlign w:val="center"/>
            <w:hideMark/>
          </w:tcPr>
          <w:p w14:paraId="311D5C22"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left w:val="single" w:sz="4" w:space="0" w:color="auto"/>
              <w:bottom w:val="single" w:sz="4" w:space="0" w:color="000000"/>
              <w:right w:val="single" w:sz="4" w:space="0" w:color="auto"/>
            </w:tcBorders>
            <w:vAlign w:val="center"/>
            <w:hideMark/>
          </w:tcPr>
          <w:p w14:paraId="4E6454E6" w14:textId="77777777" w:rsidR="004C1A0C" w:rsidRPr="004C1A0C" w:rsidRDefault="004C1A0C" w:rsidP="004C1A0C">
            <w:pPr>
              <w:widowControl/>
              <w:jc w:val="left"/>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7A19DF81"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4DA063E7"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1D25817E"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制度执行有效性</w:t>
            </w:r>
          </w:p>
        </w:tc>
        <w:tc>
          <w:tcPr>
            <w:tcW w:w="851" w:type="dxa"/>
            <w:tcBorders>
              <w:top w:val="nil"/>
              <w:left w:val="nil"/>
              <w:bottom w:val="single" w:sz="4" w:space="0" w:color="auto"/>
              <w:right w:val="single" w:sz="4" w:space="0" w:color="auto"/>
            </w:tcBorders>
            <w:shd w:val="clear" w:color="auto" w:fill="auto"/>
            <w:vAlign w:val="center"/>
            <w:hideMark/>
          </w:tcPr>
          <w:p w14:paraId="42E579D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5</w:t>
            </w:r>
          </w:p>
        </w:tc>
        <w:tc>
          <w:tcPr>
            <w:tcW w:w="992" w:type="dxa"/>
            <w:tcBorders>
              <w:top w:val="nil"/>
              <w:left w:val="nil"/>
              <w:bottom w:val="single" w:sz="4" w:space="0" w:color="auto"/>
              <w:right w:val="single" w:sz="4" w:space="0" w:color="auto"/>
            </w:tcBorders>
            <w:shd w:val="clear" w:color="auto" w:fill="auto"/>
            <w:noWrap/>
            <w:vAlign w:val="center"/>
            <w:hideMark/>
          </w:tcPr>
          <w:p w14:paraId="787F25DB"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4</w:t>
            </w:r>
          </w:p>
        </w:tc>
      </w:tr>
      <w:tr w:rsidR="004C1A0C" w:rsidRPr="004C1A0C" w14:paraId="3B935E8E" w14:textId="77777777" w:rsidTr="00A70725">
        <w:trPr>
          <w:trHeight w:val="23"/>
        </w:trPr>
        <w:tc>
          <w:tcPr>
            <w:tcW w:w="680" w:type="dxa"/>
            <w:vMerge w:val="restart"/>
            <w:tcBorders>
              <w:top w:val="nil"/>
              <w:left w:val="single" w:sz="4" w:space="0" w:color="auto"/>
              <w:right w:val="single" w:sz="4" w:space="0" w:color="auto"/>
            </w:tcBorders>
            <w:shd w:val="clear" w:color="auto" w:fill="auto"/>
            <w:noWrap/>
            <w:vAlign w:val="center"/>
            <w:hideMark/>
          </w:tcPr>
          <w:p w14:paraId="5DC61B7A" w14:textId="3B474BB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产出</w:t>
            </w:r>
          </w:p>
        </w:tc>
        <w:tc>
          <w:tcPr>
            <w:tcW w:w="880" w:type="dxa"/>
            <w:vMerge w:val="restart"/>
            <w:tcBorders>
              <w:top w:val="nil"/>
              <w:left w:val="nil"/>
              <w:right w:val="single" w:sz="4" w:space="0" w:color="auto"/>
            </w:tcBorders>
            <w:shd w:val="clear" w:color="auto" w:fill="auto"/>
            <w:noWrap/>
            <w:vAlign w:val="center"/>
            <w:hideMark/>
          </w:tcPr>
          <w:p w14:paraId="14190CF6" w14:textId="0FC45000"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40</w:t>
            </w:r>
          </w:p>
        </w:tc>
        <w:tc>
          <w:tcPr>
            <w:tcW w:w="1134" w:type="dxa"/>
            <w:tcBorders>
              <w:top w:val="nil"/>
              <w:left w:val="nil"/>
              <w:bottom w:val="single" w:sz="4" w:space="0" w:color="auto"/>
              <w:right w:val="single" w:sz="4" w:space="0" w:color="auto"/>
            </w:tcBorders>
            <w:shd w:val="clear" w:color="auto" w:fill="auto"/>
            <w:vAlign w:val="center"/>
            <w:hideMark/>
          </w:tcPr>
          <w:p w14:paraId="2012F397"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产出数量</w:t>
            </w:r>
          </w:p>
        </w:tc>
        <w:tc>
          <w:tcPr>
            <w:tcW w:w="850" w:type="dxa"/>
            <w:tcBorders>
              <w:top w:val="nil"/>
              <w:left w:val="nil"/>
              <w:bottom w:val="single" w:sz="4" w:space="0" w:color="auto"/>
              <w:right w:val="single" w:sz="4" w:space="0" w:color="auto"/>
            </w:tcBorders>
            <w:shd w:val="clear" w:color="auto" w:fill="auto"/>
            <w:noWrap/>
            <w:vAlign w:val="center"/>
            <w:hideMark/>
          </w:tcPr>
          <w:p w14:paraId="1217A08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2F7534A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《北京地域文化通览》编写出版工作实际完成率</w:t>
            </w:r>
          </w:p>
        </w:tc>
        <w:tc>
          <w:tcPr>
            <w:tcW w:w="851" w:type="dxa"/>
            <w:tcBorders>
              <w:top w:val="nil"/>
              <w:left w:val="nil"/>
              <w:bottom w:val="single" w:sz="4" w:space="0" w:color="auto"/>
              <w:right w:val="single" w:sz="4" w:space="0" w:color="auto"/>
            </w:tcBorders>
            <w:shd w:val="clear" w:color="auto" w:fill="auto"/>
            <w:vAlign w:val="center"/>
            <w:hideMark/>
          </w:tcPr>
          <w:p w14:paraId="3E70CE1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992" w:type="dxa"/>
            <w:tcBorders>
              <w:top w:val="nil"/>
              <w:left w:val="nil"/>
              <w:bottom w:val="single" w:sz="4" w:space="0" w:color="auto"/>
              <w:right w:val="single" w:sz="4" w:space="0" w:color="auto"/>
            </w:tcBorders>
            <w:shd w:val="clear" w:color="auto" w:fill="auto"/>
            <w:noWrap/>
            <w:vAlign w:val="center"/>
            <w:hideMark/>
          </w:tcPr>
          <w:p w14:paraId="089E4A41"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r>
      <w:tr w:rsidR="004C1A0C" w:rsidRPr="004C1A0C" w14:paraId="6F51C4F4" w14:textId="77777777" w:rsidTr="00A70725">
        <w:trPr>
          <w:trHeight w:val="23"/>
        </w:trPr>
        <w:tc>
          <w:tcPr>
            <w:tcW w:w="680" w:type="dxa"/>
            <w:vMerge/>
            <w:tcBorders>
              <w:left w:val="single" w:sz="4" w:space="0" w:color="auto"/>
              <w:right w:val="single" w:sz="4" w:space="0" w:color="auto"/>
            </w:tcBorders>
            <w:shd w:val="clear" w:color="auto" w:fill="auto"/>
            <w:vAlign w:val="center"/>
            <w:hideMark/>
          </w:tcPr>
          <w:p w14:paraId="1F9F373E" w14:textId="6AB9F7C2" w:rsidR="004C1A0C" w:rsidRPr="004C1A0C" w:rsidRDefault="004C1A0C" w:rsidP="004C1A0C">
            <w:pPr>
              <w:widowControl/>
              <w:jc w:val="center"/>
              <w:rPr>
                <w:rFonts w:ascii="宋体" w:eastAsia="宋体" w:hAnsi="宋体" w:cs="宋体"/>
                <w:kern w:val="0"/>
                <w:sz w:val="20"/>
                <w:szCs w:val="20"/>
              </w:rPr>
            </w:pPr>
          </w:p>
        </w:tc>
        <w:tc>
          <w:tcPr>
            <w:tcW w:w="880" w:type="dxa"/>
            <w:vMerge/>
            <w:tcBorders>
              <w:left w:val="single" w:sz="4" w:space="0" w:color="auto"/>
              <w:right w:val="single" w:sz="4" w:space="0" w:color="auto"/>
            </w:tcBorders>
            <w:shd w:val="clear" w:color="auto" w:fill="auto"/>
            <w:vAlign w:val="center"/>
            <w:hideMark/>
          </w:tcPr>
          <w:p w14:paraId="3A170E34" w14:textId="4CC5FFAF" w:rsidR="004C1A0C" w:rsidRPr="004C1A0C" w:rsidRDefault="004C1A0C" w:rsidP="004C1A0C">
            <w:pPr>
              <w:widowControl/>
              <w:jc w:val="center"/>
              <w:rPr>
                <w:rFonts w:ascii="宋体" w:eastAsia="宋体" w:hAnsi="宋体" w:cs="宋体"/>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2188C21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产出质量</w:t>
            </w:r>
          </w:p>
        </w:tc>
        <w:tc>
          <w:tcPr>
            <w:tcW w:w="850" w:type="dxa"/>
            <w:tcBorders>
              <w:top w:val="nil"/>
              <w:left w:val="nil"/>
              <w:bottom w:val="single" w:sz="4" w:space="0" w:color="auto"/>
              <w:right w:val="single" w:sz="4" w:space="0" w:color="auto"/>
            </w:tcBorders>
            <w:shd w:val="clear" w:color="auto" w:fill="auto"/>
            <w:noWrap/>
            <w:vAlign w:val="center"/>
            <w:hideMark/>
          </w:tcPr>
          <w:p w14:paraId="168A1CEF"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4B84C1FC"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《北京地域文化通览》编写出版工作完成质量</w:t>
            </w:r>
          </w:p>
        </w:tc>
        <w:tc>
          <w:tcPr>
            <w:tcW w:w="851" w:type="dxa"/>
            <w:tcBorders>
              <w:top w:val="nil"/>
              <w:left w:val="nil"/>
              <w:bottom w:val="single" w:sz="4" w:space="0" w:color="auto"/>
              <w:right w:val="single" w:sz="4" w:space="0" w:color="auto"/>
            </w:tcBorders>
            <w:shd w:val="clear" w:color="auto" w:fill="auto"/>
            <w:vAlign w:val="center"/>
            <w:hideMark/>
          </w:tcPr>
          <w:p w14:paraId="3F12AD20"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992" w:type="dxa"/>
            <w:tcBorders>
              <w:top w:val="nil"/>
              <w:left w:val="nil"/>
              <w:bottom w:val="single" w:sz="4" w:space="0" w:color="auto"/>
              <w:right w:val="single" w:sz="4" w:space="0" w:color="auto"/>
            </w:tcBorders>
            <w:shd w:val="clear" w:color="auto" w:fill="auto"/>
            <w:noWrap/>
            <w:vAlign w:val="center"/>
            <w:hideMark/>
          </w:tcPr>
          <w:p w14:paraId="4A887087"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r>
      <w:tr w:rsidR="004C1A0C" w:rsidRPr="004C1A0C" w14:paraId="529CCC61" w14:textId="77777777" w:rsidTr="00A70725">
        <w:trPr>
          <w:trHeight w:val="23"/>
        </w:trPr>
        <w:tc>
          <w:tcPr>
            <w:tcW w:w="680" w:type="dxa"/>
            <w:vMerge/>
            <w:tcBorders>
              <w:left w:val="single" w:sz="4" w:space="0" w:color="auto"/>
              <w:right w:val="single" w:sz="4" w:space="0" w:color="auto"/>
            </w:tcBorders>
            <w:vAlign w:val="center"/>
            <w:hideMark/>
          </w:tcPr>
          <w:p w14:paraId="2EFDC3A5"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left w:val="single" w:sz="4" w:space="0" w:color="auto"/>
              <w:right w:val="single" w:sz="4" w:space="0" w:color="auto"/>
            </w:tcBorders>
            <w:vAlign w:val="center"/>
            <w:hideMark/>
          </w:tcPr>
          <w:p w14:paraId="58476649" w14:textId="77777777" w:rsidR="004C1A0C" w:rsidRPr="004C1A0C" w:rsidRDefault="004C1A0C" w:rsidP="004C1A0C">
            <w:pPr>
              <w:widowControl/>
              <w:jc w:val="left"/>
              <w:rPr>
                <w:rFonts w:ascii="宋体" w:eastAsia="宋体" w:hAnsi="宋体" w:cs="宋体"/>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462BD416"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产出时效</w:t>
            </w:r>
          </w:p>
        </w:tc>
        <w:tc>
          <w:tcPr>
            <w:tcW w:w="850" w:type="dxa"/>
            <w:tcBorders>
              <w:top w:val="nil"/>
              <w:left w:val="nil"/>
              <w:bottom w:val="single" w:sz="4" w:space="0" w:color="auto"/>
              <w:right w:val="single" w:sz="4" w:space="0" w:color="auto"/>
            </w:tcBorders>
            <w:shd w:val="clear" w:color="auto" w:fill="auto"/>
            <w:vAlign w:val="center"/>
            <w:hideMark/>
          </w:tcPr>
          <w:p w14:paraId="1A743A78"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77F3C556"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工作开展及时性</w:t>
            </w:r>
          </w:p>
        </w:tc>
        <w:tc>
          <w:tcPr>
            <w:tcW w:w="851" w:type="dxa"/>
            <w:tcBorders>
              <w:top w:val="nil"/>
              <w:left w:val="nil"/>
              <w:bottom w:val="single" w:sz="4" w:space="0" w:color="auto"/>
              <w:right w:val="single" w:sz="4" w:space="0" w:color="auto"/>
            </w:tcBorders>
            <w:shd w:val="clear" w:color="auto" w:fill="auto"/>
            <w:vAlign w:val="center"/>
            <w:hideMark/>
          </w:tcPr>
          <w:p w14:paraId="5DE679D6"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992" w:type="dxa"/>
            <w:tcBorders>
              <w:top w:val="nil"/>
              <w:left w:val="nil"/>
              <w:bottom w:val="single" w:sz="4" w:space="0" w:color="auto"/>
              <w:right w:val="single" w:sz="4" w:space="0" w:color="auto"/>
            </w:tcBorders>
            <w:shd w:val="clear" w:color="auto" w:fill="auto"/>
            <w:noWrap/>
            <w:vAlign w:val="center"/>
            <w:hideMark/>
          </w:tcPr>
          <w:p w14:paraId="6DDD01D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8</w:t>
            </w:r>
          </w:p>
        </w:tc>
      </w:tr>
      <w:tr w:rsidR="004C1A0C" w:rsidRPr="004C1A0C" w14:paraId="02CD7270" w14:textId="77777777" w:rsidTr="00A70725">
        <w:trPr>
          <w:trHeight w:val="23"/>
        </w:trPr>
        <w:tc>
          <w:tcPr>
            <w:tcW w:w="680" w:type="dxa"/>
            <w:vMerge/>
            <w:tcBorders>
              <w:left w:val="single" w:sz="4" w:space="0" w:color="auto"/>
              <w:bottom w:val="single" w:sz="4" w:space="0" w:color="000000"/>
              <w:right w:val="single" w:sz="4" w:space="0" w:color="auto"/>
            </w:tcBorders>
            <w:vAlign w:val="center"/>
            <w:hideMark/>
          </w:tcPr>
          <w:p w14:paraId="64598A77"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left w:val="single" w:sz="4" w:space="0" w:color="auto"/>
              <w:bottom w:val="single" w:sz="4" w:space="0" w:color="000000"/>
              <w:right w:val="single" w:sz="4" w:space="0" w:color="auto"/>
            </w:tcBorders>
            <w:vAlign w:val="center"/>
            <w:hideMark/>
          </w:tcPr>
          <w:p w14:paraId="5A21E047" w14:textId="77777777" w:rsidR="004C1A0C" w:rsidRPr="004C1A0C" w:rsidRDefault="004C1A0C" w:rsidP="004C1A0C">
            <w:pPr>
              <w:widowControl/>
              <w:jc w:val="left"/>
              <w:rPr>
                <w:rFonts w:ascii="宋体" w:eastAsia="宋体" w:hAnsi="宋体" w:cs="宋体"/>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14:paraId="60A5F6F5"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产出成本</w:t>
            </w:r>
          </w:p>
        </w:tc>
        <w:tc>
          <w:tcPr>
            <w:tcW w:w="850" w:type="dxa"/>
            <w:tcBorders>
              <w:top w:val="nil"/>
              <w:left w:val="nil"/>
              <w:bottom w:val="single" w:sz="4" w:space="0" w:color="auto"/>
              <w:right w:val="single" w:sz="4" w:space="0" w:color="auto"/>
            </w:tcBorders>
            <w:shd w:val="clear" w:color="auto" w:fill="auto"/>
            <w:vAlign w:val="center"/>
            <w:hideMark/>
          </w:tcPr>
          <w:p w14:paraId="59FFF5CF"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3402" w:type="dxa"/>
            <w:tcBorders>
              <w:top w:val="nil"/>
              <w:left w:val="nil"/>
              <w:bottom w:val="single" w:sz="4" w:space="0" w:color="auto"/>
              <w:right w:val="single" w:sz="4" w:space="0" w:color="auto"/>
            </w:tcBorders>
            <w:shd w:val="clear" w:color="auto" w:fill="auto"/>
            <w:vAlign w:val="center"/>
            <w:hideMark/>
          </w:tcPr>
          <w:p w14:paraId="4B85FA1D"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成本节约情况</w:t>
            </w:r>
          </w:p>
        </w:tc>
        <w:tc>
          <w:tcPr>
            <w:tcW w:w="851" w:type="dxa"/>
            <w:tcBorders>
              <w:top w:val="nil"/>
              <w:left w:val="nil"/>
              <w:bottom w:val="single" w:sz="4" w:space="0" w:color="auto"/>
              <w:right w:val="single" w:sz="4" w:space="0" w:color="auto"/>
            </w:tcBorders>
            <w:shd w:val="clear" w:color="auto" w:fill="auto"/>
            <w:vAlign w:val="center"/>
            <w:hideMark/>
          </w:tcPr>
          <w:p w14:paraId="6DD9044C"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992" w:type="dxa"/>
            <w:tcBorders>
              <w:top w:val="nil"/>
              <w:left w:val="nil"/>
              <w:bottom w:val="single" w:sz="4" w:space="0" w:color="auto"/>
              <w:right w:val="single" w:sz="4" w:space="0" w:color="auto"/>
            </w:tcBorders>
            <w:shd w:val="clear" w:color="auto" w:fill="auto"/>
            <w:noWrap/>
            <w:vAlign w:val="center"/>
            <w:hideMark/>
          </w:tcPr>
          <w:p w14:paraId="3986C8AD"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r>
      <w:tr w:rsidR="004C1A0C" w:rsidRPr="004C1A0C" w14:paraId="2509FBB7" w14:textId="77777777" w:rsidTr="004C1A0C">
        <w:trPr>
          <w:trHeight w:val="23"/>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14:paraId="1EABE125"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效益</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42E9139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30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2A1A62F"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项目</w:t>
            </w:r>
            <w:r w:rsidRPr="004C1A0C">
              <w:rPr>
                <w:rFonts w:ascii="宋体" w:eastAsia="宋体" w:hAnsi="宋体" w:cs="宋体" w:hint="eastAsia"/>
                <w:kern w:val="0"/>
                <w:sz w:val="20"/>
                <w:szCs w:val="20"/>
              </w:rPr>
              <w:br w:type="page"/>
              <w:t>效益</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0E710523"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30</w:t>
            </w:r>
          </w:p>
        </w:tc>
        <w:tc>
          <w:tcPr>
            <w:tcW w:w="3402" w:type="dxa"/>
            <w:tcBorders>
              <w:top w:val="nil"/>
              <w:left w:val="nil"/>
              <w:bottom w:val="single" w:sz="4" w:space="0" w:color="auto"/>
              <w:right w:val="single" w:sz="4" w:space="0" w:color="auto"/>
            </w:tcBorders>
            <w:shd w:val="clear" w:color="auto" w:fill="auto"/>
            <w:vAlign w:val="center"/>
            <w:hideMark/>
          </w:tcPr>
          <w:p w14:paraId="20DEBBB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实施</w:t>
            </w:r>
            <w:r w:rsidRPr="004C1A0C">
              <w:rPr>
                <w:rFonts w:ascii="宋体" w:eastAsia="宋体" w:hAnsi="宋体" w:cs="宋体" w:hint="eastAsia"/>
                <w:kern w:val="0"/>
                <w:sz w:val="20"/>
                <w:szCs w:val="20"/>
              </w:rPr>
              <w:br w:type="page"/>
              <w:t>效益</w:t>
            </w:r>
          </w:p>
        </w:tc>
        <w:tc>
          <w:tcPr>
            <w:tcW w:w="851" w:type="dxa"/>
            <w:tcBorders>
              <w:top w:val="nil"/>
              <w:left w:val="nil"/>
              <w:bottom w:val="single" w:sz="4" w:space="0" w:color="auto"/>
              <w:right w:val="single" w:sz="4" w:space="0" w:color="auto"/>
            </w:tcBorders>
            <w:shd w:val="clear" w:color="auto" w:fill="auto"/>
            <w:vAlign w:val="center"/>
            <w:hideMark/>
          </w:tcPr>
          <w:p w14:paraId="1BD3A46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14:paraId="21571694"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18</w:t>
            </w:r>
          </w:p>
        </w:tc>
      </w:tr>
      <w:tr w:rsidR="004C1A0C" w:rsidRPr="004C1A0C" w14:paraId="560F9597" w14:textId="77777777" w:rsidTr="004C1A0C">
        <w:trPr>
          <w:trHeight w:val="23"/>
        </w:trPr>
        <w:tc>
          <w:tcPr>
            <w:tcW w:w="680" w:type="dxa"/>
            <w:vMerge/>
            <w:tcBorders>
              <w:top w:val="nil"/>
              <w:left w:val="single" w:sz="4" w:space="0" w:color="auto"/>
              <w:bottom w:val="single" w:sz="4" w:space="0" w:color="auto"/>
              <w:right w:val="single" w:sz="4" w:space="0" w:color="auto"/>
            </w:tcBorders>
            <w:vAlign w:val="center"/>
            <w:hideMark/>
          </w:tcPr>
          <w:p w14:paraId="0B0A6E0E" w14:textId="77777777" w:rsidR="004C1A0C" w:rsidRPr="004C1A0C" w:rsidRDefault="004C1A0C" w:rsidP="004C1A0C">
            <w:pPr>
              <w:widowControl/>
              <w:jc w:val="left"/>
              <w:rPr>
                <w:rFonts w:ascii="宋体" w:eastAsia="宋体" w:hAnsi="宋体" w:cs="宋体"/>
                <w:kern w:val="0"/>
                <w:sz w:val="20"/>
                <w:szCs w:val="20"/>
              </w:rPr>
            </w:pPr>
          </w:p>
        </w:tc>
        <w:tc>
          <w:tcPr>
            <w:tcW w:w="880" w:type="dxa"/>
            <w:vMerge/>
            <w:tcBorders>
              <w:top w:val="nil"/>
              <w:left w:val="single" w:sz="4" w:space="0" w:color="auto"/>
              <w:bottom w:val="single" w:sz="4" w:space="0" w:color="auto"/>
              <w:right w:val="single" w:sz="4" w:space="0" w:color="auto"/>
            </w:tcBorders>
            <w:vAlign w:val="center"/>
            <w:hideMark/>
          </w:tcPr>
          <w:p w14:paraId="2A2CC902" w14:textId="77777777" w:rsidR="004C1A0C" w:rsidRPr="004C1A0C" w:rsidRDefault="004C1A0C" w:rsidP="004C1A0C">
            <w:pPr>
              <w:widowControl/>
              <w:jc w:val="left"/>
              <w:rPr>
                <w:rFonts w:ascii="宋体" w:eastAsia="宋体" w:hAnsi="宋体" w:cs="宋体"/>
                <w:kern w:val="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132814DE" w14:textId="77777777" w:rsidR="004C1A0C" w:rsidRPr="004C1A0C" w:rsidRDefault="004C1A0C" w:rsidP="004C1A0C">
            <w:pPr>
              <w:widowControl/>
              <w:jc w:val="left"/>
              <w:rPr>
                <w:rFonts w:ascii="宋体" w:eastAsia="宋体" w:hAnsi="宋体" w:cs="宋体"/>
                <w:kern w:val="0"/>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14:paraId="03B5328A" w14:textId="77777777" w:rsidR="004C1A0C" w:rsidRPr="004C1A0C" w:rsidRDefault="004C1A0C" w:rsidP="004C1A0C">
            <w:pPr>
              <w:widowControl/>
              <w:jc w:val="left"/>
              <w:rPr>
                <w:rFonts w:ascii="宋体" w:eastAsia="宋体" w:hAnsi="宋体" w:cs="宋体"/>
                <w:kern w:val="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14:paraId="596079D9"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满意度</w:t>
            </w:r>
          </w:p>
        </w:tc>
        <w:tc>
          <w:tcPr>
            <w:tcW w:w="851" w:type="dxa"/>
            <w:tcBorders>
              <w:top w:val="nil"/>
              <w:left w:val="nil"/>
              <w:bottom w:val="single" w:sz="4" w:space="0" w:color="auto"/>
              <w:right w:val="single" w:sz="4" w:space="0" w:color="auto"/>
            </w:tcBorders>
            <w:shd w:val="clear" w:color="auto" w:fill="auto"/>
            <w:vAlign w:val="center"/>
            <w:hideMark/>
          </w:tcPr>
          <w:p w14:paraId="652F6FFE"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10</w:t>
            </w:r>
          </w:p>
        </w:tc>
        <w:tc>
          <w:tcPr>
            <w:tcW w:w="992" w:type="dxa"/>
            <w:tcBorders>
              <w:top w:val="nil"/>
              <w:left w:val="nil"/>
              <w:bottom w:val="single" w:sz="4" w:space="0" w:color="auto"/>
              <w:right w:val="single" w:sz="4" w:space="0" w:color="auto"/>
            </w:tcBorders>
            <w:shd w:val="clear" w:color="auto" w:fill="auto"/>
            <w:noWrap/>
            <w:vAlign w:val="center"/>
            <w:hideMark/>
          </w:tcPr>
          <w:p w14:paraId="67E84E45" w14:textId="77777777" w:rsidR="004C1A0C" w:rsidRPr="004C1A0C" w:rsidRDefault="004C1A0C" w:rsidP="004C1A0C">
            <w:pPr>
              <w:widowControl/>
              <w:jc w:val="center"/>
              <w:rPr>
                <w:rFonts w:ascii="宋体" w:eastAsia="宋体" w:hAnsi="宋体" w:cs="宋体"/>
                <w:kern w:val="0"/>
                <w:sz w:val="20"/>
                <w:szCs w:val="20"/>
              </w:rPr>
            </w:pPr>
            <w:r w:rsidRPr="004C1A0C">
              <w:rPr>
                <w:rFonts w:ascii="宋体" w:eastAsia="宋体" w:hAnsi="宋体" w:cs="宋体" w:hint="eastAsia"/>
                <w:kern w:val="0"/>
                <w:sz w:val="20"/>
                <w:szCs w:val="20"/>
              </w:rPr>
              <w:t>7.5</w:t>
            </w:r>
          </w:p>
        </w:tc>
      </w:tr>
      <w:tr w:rsidR="004C1A0C" w:rsidRPr="004C1A0C" w14:paraId="4D6D2C93" w14:textId="77777777" w:rsidTr="004C1A0C">
        <w:trPr>
          <w:trHeight w:val="467"/>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2EEAAA9B"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合计</w:t>
            </w:r>
          </w:p>
        </w:tc>
        <w:tc>
          <w:tcPr>
            <w:tcW w:w="880" w:type="dxa"/>
            <w:tcBorders>
              <w:top w:val="nil"/>
              <w:left w:val="nil"/>
              <w:bottom w:val="single" w:sz="4" w:space="0" w:color="auto"/>
              <w:right w:val="single" w:sz="4" w:space="0" w:color="auto"/>
            </w:tcBorders>
            <w:shd w:val="clear" w:color="auto" w:fill="auto"/>
            <w:noWrap/>
            <w:vAlign w:val="center"/>
            <w:hideMark/>
          </w:tcPr>
          <w:p w14:paraId="7B9FD399"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100</w:t>
            </w:r>
          </w:p>
        </w:tc>
        <w:tc>
          <w:tcPr>
            <w:tcW w:w="1134" w:type="dxa"/>
            <w:tcBorders>
              <w:top w:val="nil"/>
              <w:left w:val="nil"/>
              <w:bottom w:val="single" w:sz="4" w:space="0" w:color="auto"/>
              <w:right w:val="single" w:sz="4" w:space="0" w:color="auto"/>
            </w:tcBorders>
            <w:shd w:val="clear" w:color="auto" w:fill="auto"/>
            <w:noWrap/>
            <w:vAlign w:val="center"/>
            <w:hideMark/>
          </w:tcPr>
          <w:p w14:paraId="3D8585E0"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w:t>
            </w:r>
          </w:p>
        </w:tc>
        <w:tc>
          <w:tcPr>
            <w:tcW w:w="850" w:type="dxa"/>
            <w:tcBorders>
              <w:top w:val="nil"/>
              <w:left w:val="nil"/>
              <w:bottom w:val="single" w:sz="4" w:space="0" w:color="auto"/>
              <w:right w:val="single" w:sz="4" w:space="0" w:color="auto"/>
            </w:tcBorders>
            <w:shd w:val="clear" w:color="auto" w:fill="auto"/>
            <w:noWrap/>
            <w:vAlign w:val="center"/>
            <w:hideMark/>
          </w:tcPr>
          <w:p w14:paraId="466DAE6D"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100</w:t>
            </w:r>
          </w:p>
        </w:tc>
        <w:tc>
          <w:tcPr>
            <w:tcW w:w="3402" w:type="dxa"/>
            <w:tcBorders>
              <w:top w:val="nil"/>
              <w:left w:val="nil"/>
              <w:bottom w:val="single" w:sz="4" w:space="0" w:color="auto"/>
              <w:right w:val="single" w:sz="4" w:space="0" w:color="auto"/>
            </w:tcBorders>
            <w:shd w:val="clear" w:color="auto" w:fill="auto"/>
            <w:noWrap/>
            <w:vAlign w:val="center"/>
            <w:hideMark/>
          </w:tcPr>
          <w:p w14:paraId="78C97372" w14:textId="77777777" w:rsidR="004C1A0C" w:rsidRPr="004C1A0C" w:rsidRDefault="004C1A0C" w:rsidP="004C1A0C">
            <w:pPr>
              <w:widowControl/>
              <w:jc w:val="center"/>
              <w:rPr>
                <w:rFonts w:ascii="宋体" w:eastAsia="宋体" w:hAnsi="宋体" w:cs="宋体"/>
                <w:b/>
                <w:bCs/>
                <w:kern w:val="0"/>
                <w:sz w:val="24"/>
              </w:rPr>
            </w:pPr>
            <w:r w:rsidRPr="004C1A0C">
              <w:rPr>
                <w:rFonts w:ascii="宋体" w:eastAsia="宋体" w:hAnsi="宋体" w:cs="宋体" w:hint="eastAsia"/>
                <w:b/>
                <w:bCs/>
                <w:kern w:val="0"/>
                <w:sz w:val="24"/>
              </w:rPr>
              <w:t>——</w:t>
            </w:r>
          </w:p>
        </w:tc>
        <w:tc>
          <w:tcPr>
            <w:tcW w:w="851" w:type="dxa"/>
            <w:tcBorders>
              <w:top w:val="nil"/>
              <w:left w:val="nil"/>
              <w:bottom w:val="single" w:sz="4" w:space="0" w:color="auto"/>
              <w:right w:val="single" w:sz="4" w:space="0" w:color="auto"/>
            </w:tcBorders>
            <w:shd w:val="clear" w:color="auto" w:fill="auto"/>
            <w:noWrap/>
            <w:vAlign w:val="center"/>
            <w:hideMark/>
          </w:tcPr>
          <w:p w14:paraId="635ED32C"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100</w:t>
            </w:r>
          </w:p>
        </w:tc>
        <w:tc>
          <w:tcPr>
            <w:tcW w:w="992" w:type="dxa"/>
            <w:tcBorders>
              <w:top w:val="nil"/>
              <w:left w:val="nil"/>
              <w:bottom w:val="single" w:sz="4" w:space="0" w:color="auto"/>
              <w:right w:val="single" w:sz="4" w:space="0" w:color="auto"/>
            </w:tcBorders>
            <w:shd w:val="clear" w:color="auto" w:fill="auto"/>
            <w:noWrap/>
            <w:vAlign w:val="center"/>
            <w:hideMark/>
          </w:tcPr>
          <w:p w14:paraId="47D83B71" w14:textId="77777777" w:rsidR="004C1A0C" w:rsidRPr="004C1A0C" w:rsidRDefault="004C1A0C" w:rsidP="004C1A0C">
            <w:pPr>
              <w:widowControl/>
              <w:jc w:val="center"/>
              <w:rPr>
                <w:rFonts w:ascii="宋体" w:eastAsia="宋体" w:hAnsi="宋体" w:cs="宋体"/>
                <w:b/>
                <w:bCs/>
                <w:kern w:val="0"/>
                <w:sz w:val="20"/>
                <w:szCs w:val="20"/>
              </w:rPr>
            </w:pPr>
            <w:r w:rsidRPr="004C1A0C">
              <w:rPr>
                <w:rFonts w:ascii="宋体" w:eastAsia="宋体" w:hAnsi="宋体" w:cs="宋体" w:hint="eastAsia"/>
                <w:b/>
                <w:bCs/>
                <w:kern w:val="0"/>
                <w:sz w:val="20"/>
                <w:szCs w:val="20"/>
              </w:rPr>
              <w:t>90.8</w:t>
            </w:r>
          </w:p>
        </w:tc>
      </w:tr>
    </w:tbl>
    <w:p w14:paraId="5EF75D77" w14:textId="77777777" w:rsidR="00D352A1" w:rsidRDefault="005C4FF7">
      <w:pPr>
        <w:spacing w:line="640" w:lineRule="exact"/>
        <w:ind w:firstLineChars="200" w:firstLine="640"/>
        <w:rPr>
          <w:rFonts w:ascii="黑体" w:eastAsia="黑体"/>
          <w:sz w:val="32"/>
          <w:szCs w:val="32"/>
        </w:rPr>
      </w:pPr>
      <w:r>
        <w:rPr>
          <w:rFonts w:ascii="黑体" w:eastAsia="黑体" w:hint="eastAsia"/>
          <w:sz w:val="32"/>
          <w:szCs w:val="32"/>
        </w:rPr>
        <w:t>四、绩效评价指标分析</w:t>
      </w:r>
      <w:bookmarkEnd w:id="23"/>
      <w:bookmarkEnd w:id="24"/>
    </w:p>
    <w:p w14:paraId="52C980FC"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25" w:name="_Toc35588410"/>
      <w:bookmarkStart w:id="26" w:name="_Toc1113"/>
      <w:r>
        <w:rPr>
          <w:rFonts w:ascii="楷体_GB2312" w:eastAsia="楷体_GB2312" w:hint="eastAsia"/>
          <w:color w:val="000000"/>
          <w:sz w:val="32"/>
          <w:szCs w:val="32"/>
        </w:rPr>
        <w:t>（一）项目决策情况</w:t>
      </w:r>
      <w:bookmarkEnd w:id="25"/>
      <w:bookmarkEnd w:id="26"/>
    </w:p>
    <w:p w14:paraId="17662CD3" w14:textId="77777777" w:rsidR="00D352A1" w:rsidRDefault="005C4FF7">
      <w:pPr>
        <w:adjustRightInd w:val="0"/>
        <w:snapToGrid w:val="0"/>
        <w:spacing w:line="600" w:lineRule="exact"/>
        <w:ind w:firstLineChars="200" w:firstLine="640"/>
        <w:outlineLvl w:val="2"/>
        <w:rPr>
          <w:kern w:val="0"/>
          <w:sz w:val="32"/>
          <w:szCs w:val="32"/>
        </w:rPr>
      </w:pPr>
      <w:bookmarkStart w:id="27" w:name="_Toc35588411"/>
      <w:r>
        <w:rPr>
          <w:rFonts w:hint="eastAsia"/>
          <w:kern w:val="0"/>
          <w:sz w:val="32"/>
          <w:szCs w:val="32"/>
        </w:rPr>
        <w:t>1.</w:t>
      </w:r>
      <w:r>
        <w:rPr>
          <w:rFonts w:hint="eastAsia"/>
          <w:kern w:val="0"/>
          <w:sz w:val="32"/>
          <w:szCs w:val="32"/>
        </w:rPr>
        <w:t>项目立项</w:t>
      </w:r>
      <w:bookmarkEnd w:id="27"/>
    </w:p>
    <w:p w14:paraId="3139EC15" w14:textId="4F6F301D" w:rsidR="00D352A1" w:rsidRDefault="005C4FF7">
      <w:pPr>
        <w:spacing w:line="640" w:lineRule="exact"/>
        <w:ind w:firstLineChars="200" w:firstLine="640"/>
        <w:rPr>
          <w:sz w:val="32"/>
          <w:szCs w:val="28"/>
        </w:rPr>
      </w:pPr>
      <w:r>
        <w:rPr>
          <w:rFonts w:hint="eastAsia"/>
          <w:sz w:val="32"/>
          <w:szCs w:val="28"/>
        </w:rPr>
        <w:t>立项依据方面。编辑出版《北京地域文化通览》自</w:t>
      </w:r>
      <w:r>
        <w:rPr>
          <w:rFonts w:hint="eastAsia"/>
          <w:sz w:val="32"/>
          <w:szCs w:val="28"/>
        </w:rPr>
        <w:t>2021</w:t>
      </w:r>
      <w:r>
        <w:rPr>
          <w:rFonts w:hint="eastAsia"/>
          <w:sz w:val="32"/>
          <w:szCs w:val="28"/>
        </w:rPr>
        <w:t>年起开始实施，旨在深入挖掘北京地区特别是各区有特色的、有亮点的历史文化，通过宣传北京的历史文化精神，增强人民群众</w:t>
      </w:r>
      <w:r w:rsidR="0073047E">
        <w:rPr>
          <w:rFonts w:hint="eastAsia"/>
          <w:sz w:val="32"/>
          <w:szCs w:val="28"/>
        </w:rPr>
        <w:t>的文化自信</w:t>
      </w:r>
      <w:r>
        <w:rPr>
          <w:rFonts w:hint="eastAsia"/>
          <w:sz w:val="32"/>
          <w:szCs w:val="28"/>
        </w:rPr>
        <w:t>，</w:t>
      </w:r>
      <w:r w:rsidR="0073047E">
        <w:rPr>
          <w:rFonts w:hint="eastAsia"/>
          <w:sz w:val="32"/>
          <w:szCs w:val="28"/>
        </w:rPr>
        <w:t>进一步助力</w:t>
      </w:r>
      <w:r w:rsidR="0073047E">
        <w:rPr>
          <w:sz w:val="32"/>
          <w:szCs w:val="28"/>
        </w:rPr>
        <w:t>各区经济社会发展</w:t>
      </w:r>
      <w:r>
        <w:rPr>
          <w:rFonts w:hint="eastAsia"/>
          <w:sz w:val="32"/>
          <w:szCs w:val="28"/>
        </w:rPr>
        <w:t>。项目实施与市政府参事室（市文史馆）、文史处“组织馆员进行文史研究、书画创作等弘扬中华文化的活动”的职能相契合，立项依据充分。</w:t>
      </w:r>
    </w:p>
    <w:p w14:paraId="527A72BA" w14:textId="36BCC8F2" w:rsidR="00D352A1" w:rsidRDefault="005C4FF7">
      <w:pPr>
        <w:spacing w:line="640" w:lineRule="exact"/>
        <w:ind w:firstLineChars="200" w:firstLine="640"/>
        <w:rPr>
          <w:sz w:val="32"/>
          <w:szCs w:val="28"/>
        </w:rPr>
      </w:pPr>
      <w:r>
        <w:rPr>
          <w:rFonts w:hint="eastAsia"/>
          <w:sz w:val="32"/>
          <w:szCs w:val="28"/>
        </w:rPr>
        <w:t>立项程序方面。项目根据年度工作任务提出资金需求，按并经市政府参事室（文史馆）秘书处牵头组织预算评审后，报主任办公会审议通过，随部门预算审批立项，立项程序规范。</w:t>
      </w:r>
    </w:p>
    <w:p w14:paraId="630DB462" w14:textId="77777777" w:rsidR="00D352A1" w:rsidRDefault="005C4FF7">
      <w:pPr>
        <w:adjustRightInd w:val="0"/>
        <w:snapToGrid w:val="0"/>
        <w:spacing w:line="600" w:lineRule="exact"/>
        <w:ind w:firstLineChars="200" w:firstLine="640"/>
        <w:outlineLvl w:val="2"/>
        <w:rPr>
          <w:kern w:val="0"/>
          <w:sz w:val="32"/>
          <w:szCs w:val="32"/>
        </w:rPr>
      </w:pPr>
      <w:bookmarkStart w:id="28" w:name="_Toc35588412"/>
      <w:r>
        <w:rPr>
          <w:rFonts w:hint="eastAsia"/>
          <w:kern w:val="0"/>
          <w:sz w:val="32"/>
          <w:szCs w:val="32"/>
        </w:rPr>
        <w:lastRenderedPageBreak/>
        <w:t>2.</w:t>
      </w:r>
      <w:r>
        <w:rPr>
          <w:rFonts w:hint="eastAsia"/>
          <w:kern w:val="0"/>
          <w:sz w:val="32"/>
          <w:szCs w:val="32"/>
        </w:rPr>
        <w:t>绩效目标</w:t>
      </w:r>
      <w:bookmarkEnd w:id="28"/>
    </w:p>
    <w:p w14:paraId="6FCCFFF3" w14:textId="08655C63" w:rsidR="00D352A1" w:rsidRDefault="005C4FF7">
      <w:pPr>
        <w:adjustRightInd w:val="0"/>
        <w:snapToGrid w:val="0"/>
        <w:spacing w:line="600" w:lineRule="exact"/>
        <w:ind w:firstLineChars="200" w:firstLine="640"/>
        <w:rPr>
          <w:rFonts w:ascii="仿宋_GB2312"/>
          <w:iCs/>
          <w:sz w:val="32"/>
          <w:szCs w:val="32"/>
        </w:rPr>
      </w:pPr>
      <w:r>
        <w:rPr>
          <w:rFonts w:ascii="仿宋_GB2312" w:hint="eastAsia"/>
          <w:color w:val="000000"/>
          <w:sz w:val="32"/>
          <w:szCs w:val="32"/>
        </w:rPr>
        <w:t>项目设置了“深入挖掘北京地区特别是各区有特色的、有亮点的历史文化，用10</w:t>
      </w:r>
      <w:r w:rsidR="0073047E">
        <w:rPr>
          <w:rFonts w:ascii="仿宋_GB2312" w:hint="eastAsia"/>
          <w:color w:val="000000"/>
          <w:sz w:val="32"/>
          <w:szCs w:val="32"/>
        </w:rPr>
        <w:t>余</w:t>
      </w:r>
      <w:r>
        <w:rPr>
          <w:rFonts w:ascii="仿宋_GB2312" w:hint="eastAsia"/>
          <w:color w:val="000000"/>
          <w:sz w:val="32"/>
          <w:szCs w:val="32"/>
        </w:rPr>
        <w:t>年的时间，按区编辑出版《北京地域文化通览》分区卷16部；宣传北京的历史文化精神，增强人民</w:t>
      </w:r>
      <w:r w:rsidR="0073047E">
        <w:rPr>
          <w:rFonts w:ascii="仿宋_GB2312" w:hint="eastAsia"/>
          <w:color w:val="000000"/>
          <w:sz w:val="32"/>
          <w:szCs w:val="32"/>
        </w:rPr>
        <w:t>的文化自信</w:t>
      </w:r>
      <w:r>
        <w:rPr>
          <w:rFonts w:ascii="仿宋_GB2312" w:hint="eastAsia"/>
          <w:color w:val="000000"/>
          <w:sz w:val="32"/>
          <w:szCs w:val="32"/>
        </w:rPr>
        <w:t>，</w:t>
      </w:r>
      <w:r w:rsidR="0073047E">
        <w:rPr>
          <w:rFonts w:ascii="仿宋_GB2312" w:hint="eastAsia"/>
          <w:color w:val="000000"/>
          <w:sz w:val="32"/>
          <w:szCs w:val="32"/>
        </w:rPr>
        <w:t>助力</w:t>
      </w:r>
      <w:r>
        <w:rPr>
          <w:rFonts w:ascii="仿宋_GB2312" w:hint="eastAsia"/>
          <w:color w:val="000000"/>
          <w:sz w:val="32"/>
          <w:szCs w:val="32"/>
        </w:rPr>
        <w:t>区域经济文化发展”的年度绩效目标。</w:t>
      </w:r>
      <w:r>
        <w:rPr>
          <w:rFonts w:ascii="仿宋_GB2312" w:hint="eastAsia"/>
          <w:iCs/>
          <w:sz w:val="32"/>
          <w:szCs w:val="32"/>
        </w:rPr>
        <w:t>围绕绩效目标，项目设置了相应的成本、产出、效益及满意度指标，指标架构完整</w:t>
      </w:r>
      <w:r>
        <w:rPr>
          <w:rFonts w:ascii="仿宋_GB2312" w:hint="eastAsia"/>
          <w:color w:val="000000"/>
          <w:sz w:val="32"/>
          <w:szCs w:val="32"/>
        </w:rPr>
        <w:t>。</w:t>
      </w:r>
    </w:p>
    <w:p w14:paraId="2683F0B6" w14:textId="77777777" w:rsidR="00D352A1" w:rsidRDefault="005C4FF7">
      <w:pPr>
        <w:adjustRightInd w:val="0"/>
        <w:snapToGrid w:val="0"/>
        <w:spacing w:line="600" w:lineRule="exact"/>
        <w:ind w:firstLineChars="200" w:firstLine="640"/>
        <w:outlineLvl w:val="2"/>
        <w:rPr>
          <w:kern w:val="0"/>
          <w:sz w:val="32"/>
          <w:szCs w:val="32"/>
        </w:rPr>
      </w:pPr>
      <w:bookmarkStart w:id="29" w:name="_Toc35588413"/>
      <w:r>
        <w:rPr>
          <w:rFonts w:hint="eastAsia"/>
          <w:kern w:val="0"/>
          <w:sz w:val="32"/>
          <w:szCs w:val="32"/>
        </w:rPr>
        <w:t>3.</w:t>
      </w:r>
      <w:r>
        <w:rPr>
          <w:rFonts w:hint="eastAsia"/>
          <w:kern w:val="0"/>
          <w:sz w:val="32"/>
          <w:szCs w:val="32"/>
        </w:rPr>
        <w:t>资金投入</w:t>
      </w:r>
      <w:bookmarkEnd w:id="29"/>
    </w:p>
    <w:p w14:paraId="1D9FFB4E" w14:textId="77777777" w:rsidR="00D352A1" w:rsidRDefault="005C4FF7">
      <w:pPr>
        <w:spacing w:line="640" w:lineRule="exact"/>
        <w:ind w:firstLineChars="200" w:firstLine="640"/>
        <w:rPr>
          <w:sz w:val="32"/>
          <w:szCs w:val="28"/>
        </w:rPr>
      </w:pPr>
      <w:r>
        <w:rPr>
          <w:rFonts w:hint="eastAsia"/>
          <w:sz w:val="32"/>
          <w:szCs w:val="28"/>
        </w:rPr>
        <w:t>立项之初，项目根据工作内容编制了预算明细，预算明细包括《西城卷》出版有关的设计制作费、校对费、印刷费及《通州卷》编写有关的数据采集费、调研费、专家咨询费、稿费等，各项预算均明确了预算测算过程及依据。经市政府参事室（文史馆）秘书处聘请第三方机构对项目进行预算评审后，审定预算金额</w:t>
      </w:r>
      <w:r>
        <w:rPr>
          <w:rFonts w:hint="eastAsia"/>
          <w:sz w:val="32"/>
          <w:szCs w:val="28"/>
        </w:rPr>
        <w:t>49.40</w:t>
      </w:r>
      <w:r>
        <w:rPr>
          <w:rFonts w:hint="eastAsia"/>
          <w:sz w:val="32"/>
          <w:szCs w:val="28"/>
        </w:rPr>
        <w:t>万元。项目预算测算过程清晰，且进行了第三方预算评审，预算编制依据较为充分。</w:t>
      </w:r>
    </w:p>
    <w:p w14:paraId="67D950DA"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30" w:name="_Toc35588414"/>
      <w:bookmarkStart w:id="31" w:name="_Toc27772"/>
      <w:r>
        <w:rPr>
          <w:rFonts w:ascii="楷体_GB2312" w:eastAsia="楷体_GB2312" w:hint="eastAsia"/>
          <w:color w:val="000000"/>
          <w:sz w:val="32"/>
          <w:szCs w:val="32"/>
        </w:rPr>
        <w:t>（二）项目过程情况</w:t>
      </w:r>
      <w:bookmarkEnd w:id="30"/>
      <w:bookmarkEnd w:id="31"/>
    </w:p>
    <w:p w14:paraId="16FF9B2E" w14:textId="77777777" w:rsidR="00D352A1" w:rsidRDefault="005C4FF7">
      <w:pPr>
        <w:adjustRightInd w:val="0"/>
        <w:snapToGrid w:val="0"/>
        <w:spacing w:line="600" w:lineRule="exact"/>
        <w:ind w:firstLineChars="200" w:firstLine="640"/>
        <w:outlineLvl w:val="2"/>
        <w:rPr>
          <w:kern w:val="0"/>
          <w:sz w:val="32"/>
          <w:szCs w:val="32"/>
        </w:rPr>
      </w:pPr>
      <w:bookmarkStart w:id="32" w:name="_Toc35588415"/>
      <w:r>
        <w:rPr>
          <w:rFonts w:hint="eastAsia"/>
          <w:kern w:val="0"/>
          <w:sz w:val="32"/>
          <w:szCs w:val="32"/>
        </w:rPr>
        <w:t>1.</w:t>
      </w:r>
      <w:r>
        <w:rPr>
          <w:rFonts w:hint="eastAsia"/>
          <w:kern w:val="0"/>
          <w:sz w:val="32"/>
          <w:szCs w:val="32"/>
        </w:rPr>
        <w:t>资金管理</w:t>
      </w:r>
      <w:bookmarkEnd w:id="32"/>
    </w:p>
    <w:p w14:paraId="67E032BA" w14:textId="19714FD7" w:rsidR="00D352A1" w:rsidRDefault="005C4FF7">
      <w:pPr>
        <w:adjustRightInd w:val="0"/>
        <w:snapToGrid w:val="0"/>
        <w:spacing w:line="600" w:lineRule="exact"/>
        <w:ind w:firstLineChars="200" w:firstLine="640"/>
        <w:rPr>
          <w:sz w:val="32"/>
          <w:szCs w:val="28"/>
        </w:rPr>
      </w:pPr>
      <w:r>
        <w:rPr>
          <w:rFonts w:ascii="仿宋_GB2312" w:hint="eastAsia"/>
          <w:color w:val="000000"/>
          <w:sz w:val="32"/>
          <w:szCs w:val="32"/>
        </w:rPr>
        <w:t>项目资金管理及使用依据《</w:t>
      </w:r>
      <w:r>
        <w:rPr>
          <w:rFonts w:ascii="仿宋_GB2312" w:hint="eastAsia"/>
          <w:sz w:val="32"/>
        </w:rPr>
        <w:t>参事室（文史馆）预算管理办法（试行）</w:t>
      </w:r>
      <w:r>
        <w:rPr>
          <w:rFonts w:ascii="仿宋_GB2312" w:hint="eastAsia"/>
          <w:color w:val="000000"/>
          <w:sz w:val="32"/>
          <w:szCs w:val="32"/>
        </w:rPr>
        <w:t>》《</w:t>
      </w:r>
      <w:r>
        <w:rPr>
          <w:rFonts w:ascii="仿宋_GB2312" w:hint="eastAsia"/>
          <w:sz w:val="32"/>
        </w:rPr>
        <w:t>参事室（文史馆）财务管理制度（试行）</w:t>
      </w:r>
      <w:r>
        <w:rPr>
          <w:rFonts w:ascii="仿宋_GB2312" w:hint="eastAsia"/>
          <w:color w:val="000000"/>
          <w:sz w:val="32"/>
          <w:szCs w:val="32"/>
        </w:rPr>
        <w:t>》《</w:t>
      </w:r>
      <w:r>
        <w:rPr>
          <w:rFonts w:ascii="仿宋_GB2312" w:hint="eastAsia"/>
          <w:sz w:val="32"/>
        </w:rPr>
        <w:t>参事室（文史馆）会计档案管理办法（试行）</w:t>
      </w:r>
      <w:r>
        <w:rPr>
          <w:rFonts w:ascii="仿宋_GB2312" w:hint="eastAsia"/>
          <w:color w:val="000000"/>
          <w:sz w:val="32"/>
          <w:szCs w:val="32"/>
        </w:rPr>
        <w:t>》《</w:t>
      </w:r>
      <w:r>
        <w:rPr>
          <w:rFonts w:ascii="仿宋_GB2312" w:hint="eastAsia"/>
          <w:sz w:val="32"/>
        </w:rPr>
        <w:t>参事室（文史馆）</w:t>
      </w:r>
      <w:r>
        <w:rPr>
          <w:rFonts w:ascii="仿宋_GB2312" w:hint="eastAsia"/>
          <w:sz w:val="32"/>
        </w:rPr>
        <w:lastRenderedPageBreak/>
        <w:t>资金支出管理办法（试行）</w:t>
      </w:r>
      <w:r>
        <w:rPr>
          <w:rFonts w:ascii="仿宋_GB2312" w:hint="eastAsia"/>
          <w:color w:val="000000"/>
          <w:sz w:val="32"/>
          <w:szCs w:val="32"/>
        </w:rPr>
        <w:t>》等单位内部有关制度执行。</w:t>
      </w:r>
    </w:p>
    <w:p w14:paraId="7178F57B" w14:textId="51AA0F17" w:rsidR="00D352A1" w:rsidRDefault="005C4FF7">
      <w:pPr>
        <w:spacing w:line="640" w:lineRule="exact"/>
        <w:ind w:firstLineChars="200" w:firstLine="640"/>
        <w:rPr>
          <w:sz w:val="32"/>
          <w:szCs w:val="28"/>
        </w:rPr>
      </w:pPr>
      <w:r>
        <w:rPr>
          <w:rFonts w:hint="eastAsia"/>
          <w:sz w:val="32"/>
          <w:szCs w:val="28"/>
        </w:rPr>
        <w:t>截至</w:t>
      </w:r>
      <w:r>
        <w:rPr>
          <w:rFonts w:hint="eastAsia"/>
          <w:sz w:val="32"/>
          <w:szCs w:val="28"/>
        </w:rPr>
        <w:t>2024</w:t>
      </w:r>
      <w:r>
        <w:rPr>
          <w:rFonts w:hint="eastAsia"/>
          <w:sz w:val="32"/>
          <w:szCs w:val="28"/>
        </w:rPr>
        <w:t>年</w:t>
      </w:r>
      <w:r>
        <w:rPr>
          <w:rFonts w:hint="eastAsia"/>
          <w:sz w:val="32"/>
          <w:szCs w:val="28"/>
        </w:rPr>
        <w:t>12</w:t>
      </w:r>
      <w:r>
        <w:rPr>
          <w:rFonts w:hint="eastAsia"/>
          <w:sz w:val="32"/>
          <w:szCs w:val="28"/>
        </w:rPr>
        <w:t>月</w:t>
      </w:r>
      <w:r>
        <w:rPr>
          <w:rFonts w:hint="eastAsia"/>
          <w:sz w:val="32"/>
          <w:szCs w:val="28"/>
        </w:rPr>
        <w:t>31</w:t>
      </w:r>
      <w:r>
        <w:rPr>
          <w:rFonts w:hint="eastAsia"/>
          <w:sz w:val="32"/>
          <w:szCs w:val="28"/>
        </w:rPr>
        <w:t>日，项目实际支出</w:t>
      </w:r>
      <w:r>
        <w:rPr>
          <w:rFonts w:hint="eastAsia"/>
          <w:sz w:val="32"/>
          <w:szCs w:val="28"/>
        </w:rPr>
        <w:t>46.84</w:t>
      </w:r>
      <w:r>
        <w:rPr>
          <w:rFonts w:hint="eastAsia"/>
          <w:sz w:val="32"/>
          <w:szCs w:val="28"/>
        </w:rPr>
        <w:t>万元，预算执行率</w:t>
      </w:r>
      <w:r>
        <w:rPr>
          <w:rFonts w:hint="eastAsia"/>
          <w:sz w:val="32"/>
          <w:szCs w:val="28"/>
        </w:rPr>
        <w:t>94.82%</w:t>
      </w:r>
      <w:r>
        <w:rPr>
          <w:rFonts w:hint="eastAsia"/>
          <w:sz w:val="32"/>
          <w:szCs w:val="28"/>
        </w:rPr>
        <w:t>。</w:t>
      </w:r>
    </w:p>
    <w:p w14:paraId="1D2673AD" w14:textId="77777777" w:rsidR="00D352A1" w:rsidRDefault="005C4FF7">
      <w:pPr>
        <w:spacing w:line="640" w:lineRule="exact"/>
        <w:ind w:firstLineChars="200" w:firstLine="640"/>
        <w:rPr>
          <w:kern w:val="0"/>
          <w:sz w:val="32"/>
          <w:szCs w:val="32"/>
        </w:rPr>
      </w:pPr>
      <w:r>
        <w:rPr>
          <w:rFonts w:hint="eastAsia"/>
          <w:kern w:val="0"/>
          <w:sz w:val="32"/>
          <w:szCs w:val="32"/>
        </w:rPr>
        <w:t>2.</w:t>
      </w:r>
      <w:r>
        <w:rPr>
          <w:rFonts w:hint="eastAsia"/>
          <w:kern w:val="0"/>
          <w:sz w:val="32"/>
          <w:szCs w:val="32"/>
        </w:rPr>
        <w:t>组织实施</w:t>
      </w:r>
    </w:p>
    <w:p w14:paraId="511CCB53" w14:textId="65D93246" w:rsidR="00D352A1" w:rsidRDefault="005C4FF7">
      <w:pPr>
        <w:spacing w:line="640" w:lineRule="exact"/>
        <w:ind w:firstLineChars="200" w:firstLine="640"/>
        <w:rPr>
          <w:rFonts w:ascii="仿宋_GB2312"/>
          <w:color w:val="000000"/>
          <w:sz w:val="32"/>
          <w:szCs w:val="32"/>
          <w:highlight w:val="yellow"/>
        </w:rPr>
      </w:pPr>
      <w:r>
        <w:rPr>
          <w:rFonts w:ascii="仿宋_GB2312" w:hint="eastAsia"/>
          <w:color w:val="000000"/>
          <w:sz w:val="32"/>
          <w:szCs w:val="32"/>
        </w:rPr>
        <w:t>项目的编写、出版工作均经过三方比价形成预算并确定委托业务单位。</w:t>
      </w:r>
      <w:r>
        <w:rPr>
          <w:rFonts w:hint="eastAsia"/>
          <w:sz w:val="32"/>
          <w:szCs w:val="28"/>
        </w:rPr>
        <w:t>《西城卷》出版合同于</w:t>
      </w:r>
      <w:r>
        <w:rPr>
          <w:rFonts w:hint="eastAsia"/>
          <w:sz w:val="32"/>
          <w:szCs w:val="28"/>
        </w:rPr>
        <w:t>2024</w:t>
      </w:r>
      <w:r>
        <w:rPr>
          <w:rFonts w:hint="eastAsia"/>
          <w:sz w:val="32"/>
          <w:szCs w:val="28"/>
        </w:rPr>
        <w:t>年</w:t>
      </w:r>
      <w:r>
        <w:rPr>
          <w:rFonts w:hint="eastAsia"/>
          <w:sz w:val="32"/>
          <w:szCs w:val="28"/>
        </w:rPr>
        <w:t>6</w:t>
      </w:r>
      <w:r>
        <w:rPr>
          <w:rFonts w:hint="eastAsia"/>
          <w:sz w:val="32"/>
          <w:szCs w:val="28"/>
        </w:rPr>
        <w:t>月签订，</w:t>
      </w:r>
      <w:r>
        <w:rPr>
          <w:rFonts w:hint="eastAsia"/>
          <w:sz w:val="32"/>
          <w:szCs w:val="28"/>
        </w:rPr>
        <w:t>2025</w:t>
      </w:r>
      <w:r>
        <w:rPr>
          <w:rFonts w:hint="eastAsia"/>
          <w:sz w:val="32"/>
          <w:szCs w:val="28"/>
        </w:rPr>
        <w:t>年</w:t>
      </w:r>
      <w:r>
        <w:rPr>
          <w:rFonts w:hint="eastAsia"/>
          <w:sz w:val="32"/>
          <w:szCs w:val="28"/>
        </w:rPr>
        <w:t>1</w:t>
      </w:r>
      <w:r>
        <w:rPr>
          <w:rFonts w:hint="eastAsia"/>
          <w:sz w:val="32"/>
          <w:szCs w:val="28"/>
        </w:rPr>
        <w:t>月</w:t>
      </w:r>
      <w:r>
        <w:rPr>
          <w:rFonts w:hint="eastAsia"/>
          <w:sz w:val="32"/>
          <w:szCs w:val="28"/>
        </w:rPr>
        <w:t>16</w:t>
      </w:r>
      <w:r>
        <w:rPr>
          <w:rFonts w:hint="eastAsia"/>
          <w:sz w:val="32"/>
          <w:szCs w:val="28"/>
        </w:rPr>
        <w:t>日出版工作通过验收，形成《图书出版验收单》。《通州卷》编写合同于</w:t>
      </w:r>
      <w:r>
        <w:rPr>
          <w:rFonts w:hint="eastAsia"/>
          <w:sz w:val="32"/>
          <w:szCs w:val="28"/>
        </w:rPr>
        <w:t>2024</w:t>
      </w:r>
      <w:r>
        <w:rPr>
          <w:rFonts w:hint="eastAsia"/>
          <w:sz w:val="32"/>
          <w:szCs w:val="28"/>
        </w:rPr>
        <w:t>年</w:t>
      </w:r>
      <w:r>
        <w:rPr>
          <w:rFonts w:hint="eastAsia"/>
          <w:sz w:val="32"/>
          <w:szCs w:val="28"/>
        </w:rPr>
        <w:t>5</w:t>
      </w:r>
      <w:r>
        <w:rPr>
          <w:rFonts w:hint="eastAsia"/>
          <w:sz w:val="32"/>
          <w:szCs w:val="28"/>
        </w:rPr>
        <w:t>月签订，编写期间，多次组织召开启动会、编撰工作会，对编写工作进行部署与交流。编写工作于年底前基本完成初稿，市政府参事室（市文史馆）组织召开编审工作会，就书稿内容进行了审定。</w:t>
      </w:r>
    </w:p>
    <w:p w14:paraId="2964DCD7"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33" w:name="_Toc35588417"/>
      <w:bookmarkStart w:id="34" w:name="_Toc8532"/>
      <w:r>
        <w:rPr>
          <w:rFonts w:ascii="楷体_GB2312" w:eastAsia="楷体_GB2312" w:hint="eastAsia"/>
          <w:color w:val="000000"/>
          <w:sz w:val="32"/>
          <w:szCs w:val="32"/>
        </w:rPr>
        <w:t>（三）项目产出情况</w:t>
      </w:r>
      <w:bookmarkEnd w:id="33"/>
      <w:bookmarkEnd w:id="34"/>
    </w:p>
    <w:p w14:paraId="4999E9BF" w14:textId="77777777" w:rsidR="00D352A1" w:rsidRDefault="005C4FF7">
      <w:pPr>
        <w:spacing w:line="640" w:lineRule="exact"/>
        <w:ind w:firstLineChars="200" w:firstLine="640"/>
        <w:rPr>
          <w:sz w:val="32"/>
          <w:szCs w:val="28"/>
        </w:rPr>
      </w:pPr>
      <w:r>
        <w:rPr>
          <w:rFonts w:hint="eastAsia"/>
          <w:sz w:val="32"/>
          <w:szCs w:val="28"/>
        </w:rPr>
        <w:t>1.</w:t>
      </w:r>
      <w:r>
        <w:rPr>
          <w:rFonts w:hint="eastAsia"/>
          <w:sz w:val="32"/>
          <w:szCs w:val="28"/>
        </w:rPr>
        <w:t>产出数量</w:t>
      </w:r>
    </w:p>
    <w:p w14:paraId="185CDEDE" w14:textId="77777777" w:rsidR="00D352A1" w:rsidRDefault="005C4FF7">
      <w:pPr>
        <w:spacing w:line="640" w:lineRule="exact"/>
        <w:ind w:firstLineChars="200" w:firstLine="640"/>
        <w:rPr>
          <w:sz w:val="32"/>
          <w:szCs w:val="28"/>
        </w:rPr>
      </w:pPr>
      <w:r>
        <w:rPr>
          <w:rFonts w:hint="eastAsia"/>
          <w:sz w:val="32"/>
          <w:szCs w:val="28"/>
        </w:rPr>
        <w:t>项目完成了《西城卷》出版，刊印</w:t>
      </w:r>
      <w:r>
        <w:rPr>
          <w:rFonts w:hint="eastAsia"/>
          <w:sz w:val="32"/>
          <w:szCs w:val="28"/>
        </w:rPr>
        <w:t>2000</w:t>
      </w:r>
      <w:r>
        <w:rPr>
          <w:rFonts w:hint="eastAsia"/>
          <w:sz w:val="32"/>
          <w:szCs w:val="28"/>
        </w:rPr>
        <w:t>册。</w:t>
      </w:r>
      <w:r>
        <w:rPr>
          <w:rFonts w:ascii="仿宋_GB2312" w:hAnsi="仿宋_GB2312" w:cs="仿宋_GB2312" w:hint="eastAsia"/>
          <w:color w:val="000000"/>
          <w:sz w:val="32"/>
          <w:szCs w:val="32"/>
        </w:rPr>
        <w:t>全书40万字，设有历史沿革、坛</w:t>
      </w:r>
      <w:r>
        <w:rPr>
          <w:rFonts w:hint="eastAsia"/>
          <w:sz w:val="32"/>
          <w:szCs w:val="28"/>
        </w:rPr>
        <w:t>庙文化、水系文脉、工商文化、园林文化、戏曲文化、宗教文化和特色文化</w:t>
      </w:r>
      <w:r>
        <w:rPr>
          <w:rFonts w:hint="eastAsia"/>
          <w:sz w:val="32"/>
          <w:szCs w:val="28"/>
        </w:rPr>
        <w:t>8</w:t>
      </w:r>
      <w:r>
        <w:rPr>
          <w:rFonts w:hint="eastAsia"/>
          <w:sz w:val="32"/>
          <w:szCs w:val="28"/>
        </w:rPr>
        <w:t>个章节，配图约</w:t>
      </w:r>
      <w:r>
        <w:rPr>
          <w:rFonts w:hint="eastAsia"/>
          <w:sz w:val="32"/>
          <w:szCs w:val="28"/>
        </w:rPr>
        <w:t>300</w:t>
      </w:r>
      <w:r>
        <w:rPr>
          <w:rFonts w:hint="eastAsia"/>
          <w:sz w:val="32"/>
          <w:szCs w:val="28"/>
        </w:rPr>
        <w:t>幅。完成《通州卷》初稿编写。项目绩效目标中产出数量指标均得以达成。</w:t>
      </w:r>
    </w:p>
    <w:p w14:paraId="4E964283" w14:textId="77777777" w:rsidR="00D352A1" w:rsidRDefault="005C4FF7">
      <w:pPr>
        <w:spacing w:line="640" w:lineRule="exact"/>
        <w:ind w:firstLineChars="200" w:firstLine="640"/>
        <w:rPr>
          <w:sz w:val="32"/>
          <w:szCs w:val="28"/>
        </w:rPr>
      </w:pPr>
      <w:r>
        <w:rPr>
          <w:rFonts w:hint="eastAsia"/>
          <w:sz w:val="32"/>
          <w:szCs w:val="28"/>
        </w:rPr>
        <w:t>2.</w:t>
      </w:r>
      <w:r>
        <w:rPr>
          <w:rFonts w:hint="eastAsia"/>
          <w:sz w:val="32"/>
          <w:szCs w:val="28"/>
        </w:rPr>
        <w:t>产出质量</w:t>
      </w:r>
    </w:p>
    <w:p w14:paraId="205CF499" w14:textId="77777777" w:rsidR="00D352A1" w:rsidRDefault="005C4FF7">
      <w:pPr>
        <w:spacing w:line="640" w:lineRule="exact"/>
        <w:ind w:firstLineChars="200" w:firstLine="640"/>
        <w:rPr>
          <w:sz w:val="32"/>
          <w:szCs w:val="28"/>
        </w:rPr>
      </w:pPr>
      <w:r>
        <w:rPr>
          <w:rFonts w:hint="eastAsia"/>
          <w:sz w:val="32"/>
          <w:szCs w:val="28"/>
        </w:rPr>
        <w:t>编写方面，《通州卷》编写形成了工作方案、提纲，为编写工作提供指导与指引。实施过程中，通过组织各类工作会议进行</w:t>
      </w:r>
      <w:r>
        <w:rPr>
          <w:rFonts w:hint="eastAsia"/>
          <w:sz w:val="32"/>
          <w:szCs w:val="28"/>
        </w:rPr>
        <w:lastRenderedPageBreak/>
        <w:t>汇报与交流，把控编写工作质量。出版方面，通过合同约束、验收把控成书印制质量。根据项目绩效自评表，编写内容自采自编率</w:t>
      </w:r>
      <w:r>
        <w:rPr>
          <w:rFonts w:hint="eastAsia"/>
          <w:sz w:val="32"/>
          <w:szCs w:val="28"/>
        </w:rPr>
        <w:t>100%</w:t>
      </w:r>
      <w:r>
        <w:rPr>
          <w:rFonts w:hint="eastAsia"/>
          <w:sz w:val="32"/>
          <w:szCs w:val="28"/>
        </w:rPr>
        <w:t>，出版工作验收合格率</w:t>
      </w:r>
      <w:r>
        <w:rPr>
          <w:rFonts w:hint="eastAsia"/>
          <w:sz w:val="32"/>
          <w:szCs w:val="28"/>
        </w:rPr>
        <w:t>100%</w:t>
      </w:r>
      <w:r>
        <w:rPr>
          <w:rFonts w:hint="eastAsia"/>
          <w:sz w:val="32"/>
          <w:szCs w:val="28"/>
        </w:rPr>
        <w:t>，达到预期。</w:t>
      </w:r>
    </w:p>
    <w:p w14:paraId="29B933D3" w14:textId="77777777" w:rsidR="00D352A1" w:rsidRDefault="005C4FF7">
      <w:pPr>
        <w:spacing w:line="640" w:lineRule="exact"/>
        <w:ind w:firstLineChars="200" w:firstLine="640"/>
        <w:rPr>
          <w:sz w:val="32"/>
          <w:szCs w:val="28"/>
        </w:rPr>
      </w:pPr>
      <w:r>
        <w:rPr>
          <w:rFonts w:hint="eastAsia"/>
          <w:sz w:val="32"/>
          <w:szCs w:val="28"/>
        </w:rPr>
        <w:t>3.</w:t>
      </w:r>
      <w:r>
        <w:rPr>
          <w:rFonts w:hint="eastAsia"/>
          <w:sz w:val="32"/>
          <w:szCs w:val="28"/>
        </w:rPr>
        <w:t>产出时效</w:t>
      </w:r>
    </w:p>
    <w:p w14:paraId="504D2A51" w14:textId="77777777" w:rsidR="00D352A1" w:rsidRDefault="005C4FF7">
      <w:pPr>
        <w:spacing w:line="640" w:lineRule="exact"/>
        <w:ind w:firstLineChars="200" w:firstLine="640"/>
        <w:rPr>
          <w:sz w:val="32"/>
          <w:szCs w:val="28"/>
        </w:rPr>
      </w:pPr>
      <w:r>
        <w:rPr>
          <w:rFonts w:hint="eastAsia"/>
          <w:sz w:val="32"/>
          <w:szCs w:val="28"/>
        </w:rPr>
        <w:t>出版方面，根据项目单位提交的《图书出版验收单》，《西城卷》于</w:t>
      </w:r>
      <w:r>
        <w:rPr>
          <w:rFonts w:hint="eastAsia"/>
          <w:sz w:val="32"/>
          <w:szCs w:val="28"/>
        </w:rPr>
        <w:t>2025</w:t>
      </w:r>
      <w:r>
        <w:rPr>
          <w:rFonts w:hint="eastAsia"/>
          <w:sz w:val="32"/>
          <w:szCs w:val="28"/>
        </w:rPr>
        <w:t>年</w:t>
      </w:r>
      <w:r>
        <w:rPr>
          <w:rFonts w:hint="eastAsia"/>
          <w:sz w:val="32"/>
          <w:szCs w:val="28"/>
        </w:rPr>
        <w:t>1</w:t>
      </w:r>
      <w:r>
        <w:rPr>
          <w:rFonts w:hint="eastAsia"/>
          <w:sz w:val="32"/>
          <w:szCs w:val="28"/>
        </w:rPr>
        <w:t>月完成验收，相较项目绩效目标表中时效指标及出版合同中“</w:t>
      </w:r>
      <w:r>
        <w:rPr>
          <w:rFonts w:hint="eastAsia"/>
          <w:sz w:val="32"/>
          <w:szCs w:val="28"/>
        </w:rPr>
        <w:t>2024</w:t>
      </w:r>
      <w:r>
        <w:rPr>
          <w:rFonts w:hint="eastAsia"/>
          <w:sz w:val="32"/>
          <w:szCs w:val="28"/>
        </w:rPr>
        <w:t>年</w:t>
      </w:r>
      <w:r>
        <w:rPr>
          <w:rFonts w:hint="eastAsia"/>
          <w:sz w:val="32"/>
          <w:szCs w:val="28"/>
        </w:rPr>
        <w:t>12</w:t>
      </w:r>
      <w:r>
        <w:rPr>
          <w:rFonts w:hint="eastAsia"/>
          <w:sz w:val="32"/>
          <w:szCs w:val="28"/>
        </w:rPr>
        <w:t>月</w:t>
      </w:r>
      <w:r>
        <w:rPr>
          <w:rFonts w:hint="eastAsia"/>
          <w:sz w:val="32"/>
          <w:szCs w:val="28"/>
        </w:rPr>
        <w:t>1</w:t>
      </w:r>
      <w:r>
        <w:rPr>
          <w:rFonts w:hint="eastAsia"/>
          <w:sz w:val="32"/>
          <w:szCs w:val="28"/>
        </w:rPr>
        <w:t>日前出版”的约定略显滞后。编写方面，项目绩效目标表中设置了“初稿编辑完成时间≤</w:t>
      </w:r>
      <w:r>
        <w:rPr>
          <w:rFonts w:hint="eastAsia"/>
          <w:sz w:val="32"/>
          <w:szCs w:val="28"/>
        </w:rPr>
        <w:t>9</w:t>
      </w:r>
      <w:r>
        <w:rPr>
          <w:rFonts w:hint="eastAsia"/>
          <w:sz w:val="32"/>
          <w:szCs w:val="28"/>
        </w:rPr>
        <w:t>月”的时效指标，实际《通州卷》初稿于</w:t>
      </w:r>
      <w:r>
        <w:rPr>
          <w:rFonts w:hint="eastAsia"/>
          <w:sz w:val="32"/>
          <w:szCs w:val="28"/>
        </w:rPr>
        <w:t>2024</w:t>
      </w:r>
      <w:r>
        <w:rPr>
          <w:rFonts w:hint="eastAsia"/>
          <w:sz w:val="32"/>
          <w:szCs w:val="28"/>
        </w:rPr>
        <w:t>年</w:t>
      </w:r>
      <w:r>
        <w:rPr>
          <w:rFonts w:hint="eastAsia"/>
          <w:sz w:val="32"/>
          <w:szCs w:val="28"/>
        </w:rPr>
        <w:t>11</w:t>
      </w:r>
      <w:r>
        <w:rPr>
          <w:rFonts w:hint="eastAsia"/>
          <w:sz w:val="32"/>
          <w:szCs w:val="28"/>
        </w:rPr>
        <w:t>月完成。通过查阅项目单位提交的《通州卷编撰工作方案》发现，工作方案中约定的初稿完成时间为</w:t>
      </w:r>
      <w:r>
        <w:rPr>
          <w:rFonts w:hint="eastAsia"/>
          <w:sz w:val="32"/>
          <w:szCs w:val="28"/>
        </w:rPr>
        <w:t>11</w:t>
      </w:r>
      <w:r>
        <w:rPr>
          <w:rFonts w:hint="eastAsia"/>
          <w:sz w:val="32"/>
          <w:szCs w:val="28"/>
        </w:rPr>
        <w:t>月底，项目按计划及时完成了初稿编写工作，但绩效目标表中时效指标设置与工作计划存在一定偏差。</w:t>
      </w:r>
    </w:p>
    <w:p w14:paraId="6F5C07BA" w14:textId="77777777" w:rsidR="00D352A1" w:rsidRDefault="005C4FF7">
      <w:pPr>
        <w:spacing w:line="640" w:lineRule="exact"/>
        <w:ind w:firstLineChars="200" w:firstLine="640"/>
        <w:rPr>
          <w:sz w:val="32"/>
          <w:szCs w:val="28"/>
        </w:rPr>
      </w:pPr>
      <w:r>
        <w:rPr>
          <w:rFonts w:hint="eastAsia"/>
          <w:sz w:val="32"/>
          <w:szCs w:val="28"/>
        </w:rPr>
        <w:t>4.</w:t>
      </w:r>
      <w:r>
        <w:rPr>
          <w:rFonts w:hint="eastAsia"/>
          <w:sz w:val="32"/>
          <w:szCs w:val="28"/>
        </w:rPr>
        <w:t>产出成本</w:t>
      </w:r>
    </w:p>
    <w:p w14:paraId="5B8E2ECC" w14:textId="77777777" w:rsidR="00D352A1" w:rsidRDefault="005C4FF7">
      <w:pPr>
        <w:spacing w:line="640" w:lineRule="exact"/>
        <w:ind w:firstLineChars="200" w:firstLine="640"/>
        <w:rPr>
          <w:sz w:val="32"/>
          <w:szCs w:val="28"/>
        </w:rPr>
      </w:pPr>
      <w:r>
        <w:rPr>
          <w:rFonts w:hint="eastAsia"/>
          <w:sz w:val="32"/>
          <w:szCs w:val="28"/>
        </w:rPr>
        <w:t>项目采取了预算评审、三方比价等成本措施，并在在绩效目标表中分别设置了编写、出版的经济成本指标，对支出成本进行管控。实际执行中，支出《西城卷》出版经费</w:t>
      </w:r>
      <w:r>
        <w:rPr>
          <w:rFonts w:hint="eastAsia"/>
          <w:sz w:val="32"/>
          <w:szCs w:val="28"/>
        </w:rPr>
        <w:t>19.56</w:t>
      </w:r>
      <w:r>
        <w:rPr>
          <w:rFonts w:hint="eastAsia"/>
          <w:sz w:val="32"/>
          <w:szCs w:val="28"/>
        </w:rPr>
        <w:t>万元，与“≤</w:t>
      </w:r>
      <w:r>
        <w:rPr>
          <w:rFonts w:hint="eastAsia"/>
          <w:sz w:val="32"/>
          <w:szCs w:val="28"/>
        </w:rPr>
        <w:t>19.56</w:t>
      </w:r>
      <w:r>
        <w:rPr>
          <w:rFonts w:hint="eastAsia"/>
          <w:sz w:val="32"/>
          <w:szCs w:val="28"/>
        </w:rPr>
        <w:t>万元”经济成本指标相符；支出《通州卷》编写经费</w:t>
      </w:r>
      <w:r>
        <w:rPr>
          <w:rFonts w:hint="eastAsia"/>
          <w:sz w:val="32"/>
          <w:szCs w:val="28"/>
        </w:rPr>
        <w:t>27.28</w:t>
      </w:r>
      <w:r>
        <w:rPr>
          <w:rFonts w:hint="eastAsia"/>
          <w:sz w:val="32"/>
          <w:szCs w:val="28"/>
        </w:rPr>
        <w:t>万元，与“≤</w:t>
      </w:r>
      <w:r>
        <w:rPr>
          <w:rFonts w:hint="eastAsia"/>
          <w:sz w:val="32"/>
          <w:szCs w:val="28"/>
        </w:rPr>
        <w:t>29.84</w:t>
      </w:r>
      <w:r>
        <w:rPr>
          <w:rFonts w:hint="eastAsia"/>
          <w:sz w:val="32"/>
          <w:szCs w:val="28"/>
        </w:rPr>
        <w:t>万元”的指标要求相符。项目整体支出水平与预期相符。</w:t>
      </w:r>
    </w:p>
    <w:p w14:paraId="78A62205"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35" w:name="_Toc5110"/>
      <w:bookmarkStart w:id="36" w:name="_Toc35588422"/>
      <w:r>
        <w:rPr>
          <w:rFonts w:ascii="楷体_GB2312" w:eastAsia="楷体_GB2312" w:hint="eastAsia"/>
          <w:color w:val="000000"/>
          <w:sz w:val="32"/>
          <w:szCs w:val="32"/>
        </w:rPr>
        <w:lastRenderedPageBreak/>
        <w:t>（四）项目效益情况</w:t>
      </w:r>
      <w:bookmarkEnd w:id="35"/>
      <w:bookmarkEnd w:id="36"/>
    </w:p>
    <w:p w14:paraId="4329EE26" w14:textId="77777777" w:rsidR="00D352A1" w:rsidRDefault="005C4FF7">
      <w:pPr>
        <w:spacing w:line="640" w:lineRule="exact"/>
        <w:ind w:firstLineChars="200" w:firstLine="640"/>
        <w:rPr>
          <w:sz w:val="32"/>
          <w:szCs w:val="28"/>
        </w:rPr>
      </w:pPr>
      <w:r>
        <w:rPr>
          <w:rFonts w:hint="eastAsia"/>
          <w:sz w:val="32"/>
          <w:szCs w:val="28"/>
        </w:rPr>
        <w:t>1.</w:t>
      </w:r>
      <w:r>
        <w:rPr>
          <w:rFonts w:hint="eastAsia"/>
          <w:sz w:val="32"/>
          <w:szCs w:val="28"/>
        </w:rPr>
        <w:t>社会效益</w:t>
      </w:r>
    </w:p>
    <w:p w14:paraId="33EC9001" w14:textId="0385B7C9" w:rsidR="00D352A1" w:rsidRDefault="005C4FF7">
      <w:pPr>
        <w:spacing w:line="640" w:lineRule="exact"/>
        <w:ind w:firstLineChars="200" w:firstLine="640"/>
        <w:rPr>
          <w:sz w:val="32"/>
          <w:szCs w:val="28"/>
        </w:rPr>
      </w:pPr>
      <w:r>
        <w:rPr>
          <w:rFonts w:hint="eastAsia"/>
          <w:sz w:val="32"/>
          <w:szCs w:val="28"/>
        </w:rPr>
        <w:t>《西城卷》对西城地域文化的特色和亮点进行了系统梳理，首次提出“三轴四片”的文化空间理论框架，即以中轴线、长安街、西单—金融街为三大文化轴线，以什刹海、宣南、大栅栏、天桥为四大文化片区，构建了西城文化的整体格局。在工商文化研究方面，创新性地梳理出“老字号基因图谱”，为北京商业文化研究提供了新的视角。在史料挖掘方面也取得重要突破，并首次发掘大栅栏商业账簿等未刊史料，为后续研究提供了宝贵的一手资料。</w:t>
      </w:r>
    </w:p>
    <w:p w14:paraId="314FC3CB" w14:textId="5909F901" w:rsidR="00D352A1" w:rsidRDefault="005C4FF7">
      <w:pPr>
        <w:spacing w:line="640" w:lineRule="exact"/>
        <w:ind w:firstLineChars="200" w:firstLine="640"/>
        <w:rPr>
          <w:sz w:val="32"/>
          <w:szCs w:val="28"/>
        </w:rPr>
      </w:pPr>
      <w:r>
        <w:rPr>
          <w:rFonts w:hint="eastAsia"/>
          <w:sz w:val="32"/>
          <w:szCs w:val="28"/>
        </w:rPr>
        <w:t>《西城卷》不仅填补了相关领域的学术空白，也为后续各区卷的编写提供了重要参考。同时，研究成果也为北京中轴线申遗、城市更新等提供了历史依据，发挥了重要的实践价值。</w:t>
      </w:r>
    </w:p>
    <w:p w14:paraId="79E1AE7A" w14:textId="77777777" w:rsidR="00D352A1" w:rsidRDefault="005C4FF7">
      <w:pPr>
        <w:spacing w:line="640" w:lineRule="exact"/>
        <w:ind w:firstLineChars="200" w:firstLine="640"/>
        <w:rPr>
          <w:sz w:val="32"/>
          <w:szCs w:val="28"/>
        </w:rPr>
      </w:pPr>
      <w:r>
        <w:rPr>
          <w:rFonts w:hint="eastAsia"/>
          <w:sz w:val="32"/>
          <w:szCs w:val="28"/>
        </w:rPr>
        <w:t>2.</w:t>
      </w:r>
      <w:r>
        <w:rPr>
          <w:rFonts w:hint="eastAsia"/>
          <w:sz w:val="32"/>
          <w:szCs w:val="28"/>
        </w:rPr>
        <w:t>服务对象满意度</w:t>
      </w:r>
    </w:p>
    <w:p w14:paraId="403CEB0F" w14:textId="28201EAB" w:rsidR="00D352A1" w:rsidRDefault="005C4FF7">
      <w:pPr>
        <w:spacing w:line="640" w:lineRule="exact"/>
        <w:ind w:firstLineChars="200" w:firstLine="640"/>
        <w:rPr>
          <w:sz w:val="32"/>
          <w:szCs w:val="28"/>
        </w:rPr>
      </w:pPr>
      <w:r>
        <w:rPr>
          <w:rFonts w:hint="eastAsia"/>
          <w:sz w:val="32"/>
          <w:szCs w:val="28"/>
        </w:rPr>
        <w:t>为了解读者对已出版的《西城卷》在栏目、文章、配图、编排等方面的意见建议，把后续分区卷出版工作做得更好，项目于</w:t>
      </w:r>
      <w:r>
        <w:rPr>
          <w:rFonts w:hint="eastAsia"/>
          <w:sz w:val="32"/>
          <w:szCs w:val="28"/>
        </w:rPr>
        <w:t>2025</w:t>
      </w:r>
      <w:r>
        <w:rPr>
          <w:rFonts w:hint="eastAsia"/>
          <w:sz w:val="32"/>
          <w:szCs w:val="28"/>
        </w:rPr>
        <w:t>年初开展了读者满意度调查。调查以向读者发放问卷的形式进行，共发放调查问卷</w:t>
      </w:r>
      <w:r>
        <w:rPr>
          <w:rFonts w:hint="eastAsia"/>
          <w:sz w:val="32"/>
          <w:szCs w:val="28"/>
        </w:rPr>
        <w:t>100</w:t>
      </w:r>
      <w:r>
        <w:rPr>
          <w:rFonts w:hint="eastAsia"/>
          <w:sz w:val="32"/>
          <w:szCs w:val="28"/>
        </w:rPr>
        <w:t>余份。问卷共设置</w:t>
      </w:r>
      <w:r>
        <w:rPr>
          <w:rFonts w:hint="eastAsia"/>
          <w:sz w:val="32"/>
          <w:szCs w:val="28"/>
        </w:rPr>
        <w:t>13</w:t>
      </w:r>
      <w:r>
        <w:rPr>
          <w:rFonts w:hint="eastAsia"/>
          <w:sz w:val="32"/>
          <w:szCs w:val="28"/>
        </w:rPr>
        <w:t>项问题，包括调查对象基本信息、阅读时间、阅读目的、总体评价等。总体</w:t>
      </w:r>
      <w:r>
        <w:rPr>
          <w:rFonts w:hint="eastAsia"/>
          <w:sz w:val="32"/>
          <w:szCs w:val="28"/>
        </w:rPr>
        <w:lastRenderedPageBreak/>
        <w:t>上，读者反映良好。</w:t>
      </w:r>
    </w:p>
    <w:p w14:paraId="38966080" w14:textId="77777777" w:rsidR="00D352A1" w:rsidRDefault="005C4FF7">
      <w:pPr>
        <w:adjustRightInd w:val="0"/>
        <w:snapToGrid w:val="0"/>
        <w:spacing w:line="600" w:lineRule="exact"/>
        <w:ind w:firstLineChars="200" w:firstLine="640"/>
        <w:outlineLvl w:val="0"/>
        <w:rPr>
          <w:rFonts w:ascii="黑体" w:eastAsia="黑体"/>
          <w:sz w:val="32"/>
          <w:szCs w:val="32"/>
        </w:rPr>
      </w:pPr>
      <w:bookmarkStart w:id="37" w:name="_Toc15804"/>
      <w:bookmarkStart w:id="38" w:name="_Toc35588424"/>
      <w:r>
        <w:rPr>
          <w:rFonts w:ascii="黑体" w:eastAsia="黑体" w:hint="eastAsia"/>
          <w:sz w:val="32"/>
          <w:szCs w:val="32"/>
        </w:rPr>
        <w:t>五、主要经验及做法、存在的问题及原因分析</w:t>
      </w:r>
      <w:bookmarkEnd w:id="37"/>
      <w:bookmarkEnd w:id="38"/>
    </w:p>
    <w:p w14:paraId="7C00E32A"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39" w:name="_Toc35588425"/>
      <w:bookmarkStart w:id="40" w:name="_Toc23506"/>
      <w:r>
        <w:rPr>
          <w:rFonts w:ascii="楷体_GB2312" w:eastAsia="楷体_GB2312" w:hint="eastAsia"/>
          <w:color w:val="000000"/>
          <w:sz w:val="32"/>
          <w:szCs w:val="32"/>
        </w:rPr>
        <w:t>（一）主要经验及做法</w:t>
      </w:r>
      <w:bookmarkEnd w:id="39"/>
      <w:bookmarkEnd w:id="40"/>
    </w:p>
    <w:p w14:paraId="4F91901F" w14:textId="2573EB35" w:rsidR="00D352A1" w:rsidRDefault="005C4FF7">
      <w:pPr>
        <w:spacing w:line="640" w:lineRule="exact"/>
        <w:ind w:firstLineChars="200" w:firstLine="640"/>
        <w:rPr>
          <w:sz w:val="32"/>
          <w:szCs w:val="28"/>
        </w:rPr>
      </w:pPr>
      <w:bookmarkStart w:id="41" w:name="_Toc35588426"/>
      <w:r>
        <w:rPr>
          <w:rFonts w:hint="eastAsia"/>
          <w:sz w:val="32"/>
          <w:szCs w:val="28"/>
        </w:rPr>
        <w:t>《北京地域文化通览·分区卷》是北京文史馆文化传播的重要</w:t>
      </w:r>
      <w:r w:rsidR="0073047E">
        <w:rPr>
          <w:rFonts w:hint="eastAsia"/>
          <w:sz w:val="32"/>
          <w:szCs w:val="28"/>
        </w:rPr>
        <w:t>载体</w:t>
      </w:r>
      <w:r>
        <w:rPr>
          <w:rFonts w:hint="eastAsia"/>
          <w:sz w:val="32"/>
          <w:szCs w:val="28"/>
        </w:rPr>
        <w:t>，是宣传先进文化思想，发挥市文史馆馆员和市政府参事在北京历史文化研究方面的专长，利用首都丰富的历史文化资源</w:t>
      </w:r>
      <w:r w:rsidR="0073047E">
        <w:rPr>
          <w:rFonts w:hint="eastAsia"/>
          <w:sz w:val="32"/>
          <w:szCs w:val="28"/>
        </w:rPr>
        <w:t>，向社会各界热爱中国优秀传统文化的各界读者深入解析北京历史文化</w:t>
      </w:r>
      <w:r>
        <w:rPr>
          <w:rFonts w:hint="eastAsia"/>
          <w:sz w:val="32"/>
          <w:szCs w:val="28"/>
        </w:rPr>
        <w:t>丰富内涵的重要</w:t>
      </w:r>
      <w:r w:rsidR="0073047E">
        <w:rPr>
          <w:rFonts w:hint="eastAsia"/>
          <w:sz w:val="32"/>
          <w:szCs w:val="28"/>
        </w:rPr>
        <w:t>方面</w:t>
      </w:r>
      <w:r>
        <w:rPr>
          <w:rFonts w:hint="eastAsia"/>
          <w:sz w:val="32"/>
          <w:szCs w:val="28"/>
        </w:rPr>
        <w:t>，一方面增强北京市文史研究馆在社会上研究交流和宣传中国优秀传统文化的影响力；另一方面也为弘扬北京人文精神，</w:t>
      </w:r>
      <w:r w:rsidR="0073047E">
        <w:rPr>
          <w:rFonts w:hint="eastAsia"/>
          <w:sz w:val="32"/>
          <w:szCs w:val="28"/>
        </w:rPr>
        <w:t>为人们学习普及历史文化知识，“满足人民过上美好生活的新期待，</w:t>
      </w:r>
      <w:r>
        <w:rPr>
          <w:rFonts w:hint="eastAsia"/>
          <w:sz w:val="32"/>
          <w:szCs w:val="28"/>
        </w:rPr>
        <w:t>提供丰富的精神食粮”的需要，为建设全国文化中心和人文北京贡献力量。</w:t>
      </w:r>
    </w:p>
    <w:p w14:paraId="3101A9CE"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42" w:name="_Toc3593"/>
      <w:r>
        <w:rPr>
          <w:rFonts w:ascii="楷体_GB2312" w:eastAsia="楷体_GB2312" w:hint="eastAsia"/>
          <w:color w:val="000000"/>
          <w:sz w:val="32"/>
          <w:szCs w:val="32"/>
        </w:rPr>
        <w:t>（二）存在的主要问题及原因分析</w:t>
      </w:r>
      <w:bookmarkEnd w:id="41"/>
      <w:bookmarkEnd w:id="42"/>
    </w:p>
    <w:p w14:paraId="27DBFF2E" w14:textId="77777777" w:rsidR="00D352A1" w:rsidRDefault="005C4FF7">
      <w:pPr>
        <w:adjustRightInd w:val="0"/>
        <w:snapToGrid w:val="0"/>
        <w:spacing w:line="600" w:lineRule="exact"/>
        <w:ind w:firstLineChars="200" w:firstLine="640"/>
        <w:outlineLvl w:val="2"/>
        <w:rPr>
          <w:kern w:val="0"/>
          <w:sz w:val="32"/>
          <w:szCs w:val="32"/>
        </w:rPr>
      </w:pPr>
      <w:r>
        <w:rPr>
          <w:rFonts w:hint="eastAsia"/>
          <w:kern w:val="0"/>
          <w:sz w:val="32"/>
          <w:szCs w:val="32"/>
        </w:rPr>
        <w:t>1.</w:t>
      </w:r>
      <w:r>
        <w:rPr>
          <w:rFonts w:hint="eastAsia"/>
          <w:kern w:val="0"/>
          <w:sz w:val="32"/>
          <w:szCs w:val="32"/>
        </w:rPr>
        <w:t>绩效目标与年度任务的匹配性不足，个别指标值与实际存在偏差</w:t>
      </w:r>
    </w:p>
    <w:p w14:paraId="50FE73B9" w14:textId="79B60F82" w:rsidR="00D352A1" w:rsidRDefault="005C4FF7">
      <w:pPr>
        <w:spacing w:line="640" w:lineRule="exact"/>
        <w:ind w:firstLineChars="200" w:firstLine="640"/>
        <w:rPr>
          <w:sz w:val="32"/>
          <w:szCs w:val="28"/>
        </w:rPr>
      </w:pPr>
      <w:r>
        <w:rPr>
          <w:rFonts w:hint="eastAsia"/>
          <w:sz w:val="32"/>
          <w:szCs w:val="28"/>
        </w:rPr>
        <w:t>一是项目年度绩效目标阐述为“深入挖掘北京地区特别是各区有特色的、有亮点的历史文化，用</w:t>
      </w:r>
      <w:r>
        <w:rPr>
          <w:rFonts w:hint="eastAsia"/>
          <w:sz w:val="32"/>
          <w:szCs w:val="28"/>
        </w:rPr>
        <w:t>10</w:t>
      </w:r>
      <w:r w:rsidR="0073047E">
        <w:rPr>
          <w:rFonts w:hint="eastAsia"/>
          <w:sz w:val="32"/>
          <w:szCs w:val="28"/>
        </w:rPr>
        <w:t>余</w:t>
      </w:r>
      <w:bookmarkStart w:id="43" w:name="_GoBack"/>
      <w:bookmarkEnd w:id="43"/>
      <w:r>
        <w:rPr>
          <w:rFonts w:hint="eastAsia"/>
          <w:sz w:val="32"/>
          <w:szCs w:val="28"/>
        </w:rPr>
        <w:t>年的时间，按区编辑出版《北京地域文化通览》分区卷</w:t>
      </w:r>
      <w:r>
        <w:rPr>
          <w:rFonts w:hint="eastAsia"/>
          <w:sz w:val="32"/>
          <w:szCs w:val="28"/>
        </w:rPr>
        <w:t>16</w:t>
      </w:r>
      <w:r>
        <w:rPr>
          <w:rFonts w:hint="eastAsia"/>
          <w:sz w:val="32"/>
          <w:szCs w:val="28"/>
        </w:rPr>
        <w:t>部”等，与总体绩效目标表述相同。二是时效指标设置的合理性不足。</w:t>
      </w:r>
    </w:p>
    <w:p w14:paraId="56B13934" w14:textId="77777777" w:rsidR="00D352A1" w:rsidRDefault="005C4FF7">
      <w:pPr>
        <w:adjustRightInd w:val="0"/>
        <w:snapToGrid w:val="0"/>
        <w:spacing w:line="600" w:lineRule="exact"/>
        <w:ind w:firstLineChars="200" w:firstLine="640"/>
        <w:outlineLvl w:val="2"/>
        <w:rPr>
          <w:kern w:val="0"/>
          <w:sz w:val="32"/>
          <w:szCs w:val="32"/>
        </w:rPr>
      </w:pPr>
      <w:r>
        <w:rPr>
          <w:rFonts w:hint="eastAsia"/>
          <w:kern w:val="0"/>
          <w:sz w:val="32"/>
          <w:szCs w:val="32"/>
        </w:rPr>
        <w:t>2.</w:t>
      </w:r>
      <w:r>
        <w:rPr>
          <w:rFonts w:hint="eastAsia"/>
          <w:kern w:val="0"/>
          <w:sz w:val="32"/>
          <w:szCs w:val="32"/>
        </w:rPr>
        <w:t>验收管理有待加强，满意度调查需进一步完善</w:t>
      </w:r>
    </w:p>
    <w:p w14:paraId="54B070F3" w14:textId="361E6795" w:rsidR="00D352A1" w:rsidRDefault="005C4FF7">
      <w:pPr>
        <w:spacing w:line="640" w:lineRule="exact"/>
        <w:ind w:firstLineChars="200" w:firstLine="640"/>
        <w:rPr>
          <w:sz w:val="32"/>
          <w:szCs w:val="28"/>
        </w:rPr>
      </w:pPr>
      <w:r>
        <w:rPr>
          <w:rFonts w:hint="eastAsia"/>
          <w:sz w:val="32"/>
          <w:szCs w:val="28"/>
        </w:rPr>
        <w:lastRenderedPageBreak/>
        <w:t>一是编写工作委托业务费已于年度内全额支付，但未见验收相关资料，验收管理的规范性有待加强。二是《西城卷》出版后已赠阅</w:t>
      </w:r>
      <w:r>
        <w:rPr>
          <w:rFonts w:hint="eastAsia"/>
          <w:sz w:val="32"/>
          <w:szCs w:val="28"/>
        </w:rPr>
        <w:t>1400</w:t>
      </w:r>
      <w:r>
        <w:rPr>
          <w:rFonts w:hint="eastAsia"/>
          <w:sz w:val="32"/>
          <w:szCs w:val="28"/>
        </w:rPr>
        <w:t>册，但满意度调查样本量仅</w:t>
      </w:r>
      <w:r>
        <w:rPr>
          <w:rFonts w:hint="eastAsia"/>
          <w:sz w:val="32"/>
          <w:szCs w:val="28"/>
        </w:rPr>
        <w:t>100</w:t>
      </w:r>
      <w:r>
        <w:rPr>
          <w:rFonts w:hint="eastAsia"/>
          <w:sz w:val="32"/>
          <w:szCs w:val="28"/>
        </w:rPr>
        <w:t>余份，样本量偏低。</w:t>
      </w:r>
    </w:p>
    <w:p w14:paraId="2F3D7867" w14:textId="77777777" w:rsidR="00D352A1" w:rsidRDefault="005C4FF7">
      <w:pPr>
        <w:adjustRightInd w:val="0"/>
        <w:snapToGrid w:val="0"/>
        <w:spacing w:line="600" w:lineRule="exact"/>
        <w:ind w:firstLineChars="200" w:firstLine="640"/>
        <w:outlineLvl w:val="0"/>
        <w:rPr>
          <w:rFonts w:ascii="黑体" w:eastAsia="黑体"/>
          <w:sz w:val="32"/>
          <w:szCs w:val="32"/>
        </w:rPr>
      </w:pPr>
      <w:bookmarkStart w:id="44" w:name="_Toc30189"/>
      <w:bookmarkStart w:id="45" w:name="_Toc35588427"/>
      <w:r>
        <w:rPr>
          <w:rFonts w:ascii="黑体" w:eastAsia="黑体" w:hint="eastAsia"/>
          <w:sz w:val="32"/>
          <w:szCs w:val="32"/>
        </w:rPr>
        <w:t>六、有关建议</w:t>
      </w:r>
      <w:bookmarkEnd w:id="44"/>
      <w:bookmarkEnd w:id="45"/>
    </w:p>
    <w:p w14:paraId="6440D052" w14:textId="77777777" w:rsidR="00D352A1" w:rsidRDefault="005C4FF7">
      <w:pPr>
        <w:adjustRightInd w:val="0"/>
        <w:snapToGrid w:val="0"/>
        <w:spacing w:line="600" w:lineRule="exact"/>
        <w:ind w:firstLineChars="200" w:firstLine="640"/>
        <w:outlineLvl w:val="1"/>
        <w:rPr>
          <w:rFonts w:ascii="仿宋_GB2312"/>
          <w:iCs/>
          <w:sz w:val="32"/>
          <w:szCs w:val="32"/>
        </w:rPr>
      </w:pPr>
      <w:bookmarkStart w:id="46" w:name="_Toc5851"/>
      <w:r>
        <w:rPr>
          <w:rFonts w:ascii="楷体_GB2312" w:eastAsia="楷体_GB2312" w:hint="eastAsia"/>
          <w:color w:val="000000"/>
          <w:sz w:val="32"/>
          <w:szCs w:val="32"/>
        </w:rPr>
        <w:t>（一）规范绩效目标设置，提高绩效指标约束作用</w:t>
      </w:r>
      <w:bookmarkEnd w:id="46"/>
    </w:p>
    <w:p w14:paraId="3BB65331" w14:textId="0A8E1C47" w:rsidR="00D352A1" w:rsidRDefault="005C4FF7">
      <w:pPr>
        <w:spacing w:line="640" w:lineRule="exact"/>
        <w:ind w:firstLineChars="200" w:firstLine="640"/>
        <w:rPr>
          <w:sz w:val="32"/>
          <w:szCs w:val="28"/>
        </w:rPr>
      </w:pPr>
      <w:r>
        <w:rPr>
          <w:rFonts w:hint="eastAsia"/>
          <w:sz w:val="32"/>
          <w:szCs w:val="28"/>
        </w:rPr>
        <w:t>一是完善年度绩效目标表述。。二是以“高度关联、重点突出、量化易评”为原则完善绩效指标设置，指标值设置应与工作计划贴合。</w:t>
      </w:r>
    </w:p>
    <w:p w14:paraId="332FA257" w14:textId="77777777" w:rsidR="00D352A1" w:rsidRDefault="005C4FF7">
      <w:pPr>
        <w:adjustRightInd w:val="0"/>
        <w:snapToGrid w:val="0"/>
        <w:spacing w:line="600" w:lineRule="exact"/>
        <w:ind w:firstLineChars="200" w:firstLine="640"/>
        <w:outlineLvl w:val="1"/>
        <w:rPr>
          <w:rFonts w:ascii="楷体_GB2312" w:eastAsia="楷体_GB2312"/>
          <w:color w:val="000000"/>
          <w:sz w:val="32"/>
          <w:szCs w:val="32"/>
        </w:rPr>
      </w:pPr>
      <w:bookmarkStart w:id="47" w:name="_Toc28081"/>
      <w:r>
        <w:rPr>
          <w:rFonts w:ascii="楷体_GB2312" w:eastAsia="楷体_GB2312" w:hint="eastAsia"/>
          <w:color w:val="000000"/>
          <w:sz w:val="32"/>
          <w:szCs w:val="32"/>
        </w:rPr>
        <w:t>（二）强化验收管理，切实发挥满意度调查作用</w:t>
      </w:r>
      <w:bookmarkEnd w:id="47"/>
    </w:p>
    <w:p w14:paraId="4573A5FE" w14:textId="77777777" w:rsidR="00D352A1" w:rsidRDefault="005C4FF7">
      <w:pPr>
        <w:spacing w:line="640" w:lineRule="exact"/>
        <w:ind w:firstLineChars="200" w:firstLine="640"/>
        <w:rPr>
          <w:sz w:val="32"/>
          <w:szCs w:val="28"/>
        </w:rPr>
      </w:pPr>
      <w:r>
        <w:rPr>
          <w:rFonts w:hint="eastAsia"/>
          <w:sz w:val="32"/>
          <w:szCs w:val="28"/>
        </w:rPr>
        <w:t>一是严格按照合同约定履行有关委托业务验收程序及手续，提高组织实施的规范性。二是进一步完善满意度调查，扩大满意度样本量，扎实做好统计分析，为满意度指标完成情况提供佐证的同时，为后续项目优化与改进提供有力参考。</w:t>
      </w:r>
    </w:p>
    <w:p w14:paraId="6520B649" w14:textId="2C8E93BA" w:rsidR="00D352A1" w:rsidRDefault="00D352A1">
      <w:pPr>
        <w:adjustRightInd w:val="0"/>
        <w:snapToGrid w:val="0"/>
        <w:spacing w:line="600" w:lineRule="exact"/>
        <w:ind w:firstLineChars="200" w:firstLine="640"/>
        <w:rPr>
          <w:rFonts w:ascii="仿宋_GB2312"/>
          <w:color w:val="000000"/>
          <w:sz w:val="32"/>
          <w:szCs w:val="32"/>
        </w:rPr>
      </w:pPr>
    </w:p>
    <w:sectPr w:rsidR="00D352A1">
      <w:headerReference w:type="default" r:id="rId8"/>
      <w:footerReference w:type="default" r:id="rId9"/>
      <w:pgSz w:w="11906" w:h="16838"/>
      <w:pgMar w:top="2098" w:right="1531" w:bottom="1985" w:left="153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9AAE4" w14:textId="77777777" w:rsidR="00AA2C24" w:rsidRDefault="00AA2C24">
      <w:r>
        <w:separator/>
      </w:r>
    </w:p>
  </w:endnote>
  <w:endnote w:type="continuationSeparator" w:id="0">
    <w:p w14:paraId="66B9893B" w14:textId="77777777" w:rsidR="00AA2C24" w:rsidRDefault="00AA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Verdana">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6FF" w:usb1="420024FF" w:usb2="02000000" w:usb3="00000000" w:csb0="0000019F" w:csb1="00000000"/>
  </w:font>
  <w:font w:name="华文中宋">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0D38D" w14:textId="3F8A8C7D" w:rsidR="00D352A1" w:rsidRDefault="005C4FF7">
    <w:pPr>
      <w:pStyle w:val="a9"/>
      <w:ind w:firstLine="480"/>
      <w:jc w:val="center"/>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3047E">
      <w:rPr>
        <w:rFonts w:ascii="宋体" w:hAnsi="宋体"/>
        <w:noProof/>
        <w:sz w:val="28"/>
        <w:szCs w:val="28"/>
      </w:rPr>
      <w:t>12</w:t>
    </w:r>
    <w:r>
      <w:rPr>
        <w:rFonts w:ascii="宋体" w:hAnsi="宋体"/>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4FC1" w14:textId="77777777" w:rsidR="00AA2C24" w:rsidRDefault="00AA2C24">
      <w:r>
        <w:separator/>
      </w:r>
    </w:p>
  </w:footnote>
  <w:footnote w:type="continuationSeparator" w:id="0">
    <w:p w14:paraId="743C503D" w14:textId="77777777" w:rsidR="00AA2C24" w:rsidRDefault="00AA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8F8DB" w14:textId="77777777" w:rsidR="00D352A1" w:rsidRDefault="00D352A1">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C5567"/>
    <w:multiLevelType w:val="multilevel"/>
    <w:tmpl w:val="260C5567"/>
    <w:lvl w:ilvl="0">
      <w:start w:val="1"/>
      <w:numFmt w:val="decimal"/>
      <w:pStyle w:val="CharCharCharChar"/>
      <w:lvlText w:val="（%1）"/>
      <w:lvlJc w:val="left"/>
      <w:pPr>
        <w:tabs>
          <w:tab w:val="left" w:pos="3750"/>
        </w:tabs>
        <w:ind w:left="3750" w:hanging="2250"/>
      </w:pPr>
      <w:rPr>
        <w:rFonts w:hint="eastAsia"/>
      </w:rPr>
    </w:lvl>
    <w:lvl w:ilvl="1">
      <w:start w:val="1"/>
      <w:numFmt w:val="lowerLetter"/>
      <w:lvlText w:val="%2)"/>
      <w:lvlJc w:val="left"/>
      <w:pPr>
        <w:tabs>
          <w:tab w:val="left" w:pos="2340"/>
        </w:tabs>
        <w:ind w:left="2340" w:hanging="420"/>
      </w:pPr>
    </w:lvl>
    <w:lvl w:ilvl="2">
      <w:start w:val="1"/>
      <w:numFmt w:val="lowerRoman"/>
      <w:lvlText w:val="%3."/>
      <w:lvlJc w:val="right"/>
      <w:pPr>
        <w:tabs>
          <w:tab w:val="left" w:pos="2760"/>
        </w:tabs>
        <w:ind w:left="2760" w:hanging="420"/>
      </w:pPr>
    </w:lvl>
    <w:lvl w:ilvl="3">
      <w:start w:val="1"/>
      <w:numFmt w:val="decimal"/>
      <w:lvlText w:val="%4."/>
      <w:lvlJc w:val="left"/>
      <w:pPr>
        <w:tabs>
          <w:tab w:val="left" w:pos="3180"/>
        </w:tabs>
        <w:ind w:left="3180" w:hanging="420"/>
      </w:pPr>
    </w:lvl>
    <w:lvl w:ilvl="4">
      <w:start w:val="1"/>
      <w:numFmt w:val="lowerLetter"/>
      <w:lvlText w:val="%5)"/>
      <w:lvlJc w:val="left"/>
      <w:pPr>
        <w:tabs>
          <w:tab w:val="left" w:pos="3600"/>
        </w:tabs>
        <w:ind w:left="3600" w:hanging="420"/>
      </w:pPr>
    </w:lvl>
    <w:lvl w:ilvl="5">
      <w:start w:val="1"/>
      <w:numFmt w:val="lowerRoman"/>
      <w:lvlText w:val="%6."/>
      <w:lvlJc w:val="right"/>
      <w:pPr>
        <w:tabs>
          <w:tab w:val="left" w:pos="4020"/>
        </w:tabs>
        <w:ind w:left="4020" w:hanging="420"/>
      </w:pPr>
    </w:lvl>
    <w:lvl w:ilvl="6">
      <w:start w:val="1"/>
      <w:numFmt w:val="decimal"/>
      <w:lvlText w:val="%7."/>
      <w:lvlJc w:val="left"/>
      <w:pPr>
        <w:tabs>
          <w:tab w:val="left" w:pos="4440"/>
        </w:tabs>
        <w:ind w:left="4440" w:hanging="420"/>
      </w:pPr>
    </w:lvl>
    <w:lvl w:ilvl="7">
      <w:start w:val="1"/>
      <w:numFmt w:val="lowerLetter"/>
      <w:lvlText w:val="%8)"/>
      <w:lvlJc w:val="left"/>
      <w:pPr>
        <w:tabs>
          <w:tab w:val="left" w:pos="4860"/>
        </w:tabs>
        <w:ind w:left="4860" w:hanging="420"/>
      </w:pPr>
    </w:lvl>
    <w:lvl w:ilvl="8">
      <w:start w:val="1"/>
      <w:numFmt w:val="lowerRoman"/>
      <w:lvlText w:val="%9."/>
      <w:lvlJc w:val="right"/>
      <w:pPr>
        <w:tabs>
          <w:tab w:val="left" w:pos="5280"/>
        </w:tabs>
        <w:ind w:left="5280" w:hanging="420"/>
      </w:pPr>
    </w:lvl>
  </w:abstractNum>
  <w:abstractNum w:abstractNumId="1" w15:restartNumberingAfterBreak="0">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0"/>
  <w:drawingGridVerticalSpacing w:val="204"/>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0081C"/>
    <w:rsid w:val="0000098C"/>
    <w:rsid w:val="00001685"/>
    <w:rsid w:val="00001D0F"/>
    <w:rsid w:val="00002C5A"/>
    <w:rsid w:val="00002CC0"/>
    <w:rsid w:val="00003574"/>
    <w:rsid w:val="00005B90"/>
    <w:rsid w:val="00006622"/>
    <w:rsid w:val="00006FEC"/>
    <w:rsid w:val="000072FC"/>
    <w:rsid w:val="000101E1"/>
    <w:rsid w:val="00011E6D"/>
    <w:rsid w:val="00011EB2"/>
    <w:rsid w:val="00013124"/>
    <w:rsid w:val="0001370A"/>
    <w:rsid w:val="00013F58"/>
    <w:rsid w:val="0001492F"/>
    <w:rsid w:val="00016D27"/>
    <w:rsid w:val="00021ED0"/>
    <w:rsid w:val="000235C9"/>
    <w:rsid w:val="00023F0A"/>
    <w:rsid w:val="000242B0"/>
    <w:rsid w:val="00024F81"/>
    <w:rsid w:val="0002730A"/>
    <w:rsid w:val="00027C84"/>
    <w:rsid w:val="00030FB0"/>
    <w:rsid w:val="00035EDA"/>
    <w:rsid w:val="00037010"/>
    <w:rsid w:val="00042B8E"/>
    <w:rsid w:val="00044F2F"/>
    <w:rsid w:val="0004726C"/>
    <w:rsid w:val="000517CE"/>
    <w:rsid w:val="000519CA"/>
    <w:rsid w:val="00055DFF"/>
    <w:rsid w:val="00056A8B"/>
    <w:rsid w:val="00057691"/>
    <w:rsid w:val="00057C7D"/>
    <w:rsid w:val="00062E1B"/>
    <w:rsid w:val="00064B02"/>
    <w:rsid w:val="00065850"/>
    <w:rsid w:val="0007065B"/>
    <w:rsid w:val="00071CE6"/>
    <w:rsid w:val="000723DA"/>
    <w:rsid w:val="00073156"/>
    <w:rsid w:val="00073421"/>
    <w:rsid w:val="0007527B"/>
    <w:rsid w:val="00076B9D"/>
    <w:rsid w:val="000808E8"/>
    <w:rsid w:val="00081DF0"/>
    <w:rsid w:val="000821DD"/>
    <w:rsid w:val="000822D8"/>
    <w:rsid w:val="00082839"/>
    <w:rsid w:val="000852F0"/>
    <w:rsid w:val="00085EDC"/>
    <w:rsid w:val="00086A59"/>
    <w:rsid w:val="0008763A"/>
    <w:rsid w:val="000905C5"/>
    <w:rsid w:val="0009145A"/>
    <w:rsid w:val="000918E8"/>
    <w:rsid w:val="00091D75"/>
    <w:rsid w:val="00092357"/>
    <w:rsid w:val="00093CCE"/>
    <w:rsid w:val="00095DF3"/>
    <w:rsid w:val="000971A3"/>
    <w:rsid w:val="00097B95"/>
    <w:rsid w:val="000A1138"/>
    <w:rsid w:val="000A19CD"/>
    <w:rsid w:val="000A1EFB"/>
    <w:rsid w:val="000A53A1"/>
    <w:rsid w:val="000A6177"/>
    <w:rsid w:val="000A7EA9"/>
    <w:rsid w:val="000B0673"/>
    <w:rsid w:val="000B1179"/>
    <w:rsid w:val="000B1B2D"/>
    <w:rsid w:val="000B1D16"/>
    <w:rsid w:val="000B1E3F"/>
    <w:rsid w:val="000B1E65"/>
    <w:rsid w:val="000B2E20"/>
    <w:rsid w:val="000B3751"/>
    <w:rsid w:val="000B424C"/>
    <w:rsid w:val="000B45D0"/>
    <w:rsid w:val="000B7F12"/>
    <w:rsid w:val="000C1A70"/>
    <w:rsid w:val="000C21BD"/>
    <w:rsid w:val="000C276F"/>
    <w:rsid w:val="000C2824"/>
    <w:rsid w:val="000C2882"/>
    <w:rsid w:val="000C3C52"/>
    <w:rsid w:val="000C6102"/>
    <w:rsid w:val="000C7F6C"/>
    <w:rsid w:val="000D05ED"/>
    <w:rsid w:val="000D0AFB"/>
    <w:rsid w:val="000D0F03"/>
    <w:rsid w:val="000D24DE"/>
    <w:rsid w:val="000D3C4F"/>
    <w:rsid w:val="000D4313"/>
    <w:rsid w:val="000D54C0"/>
    <w:rsid w:val="000E0CCC"/>
    <w:rsid w:val="000E0D61"/>
    <w:rsid w:val="000E2098"/>
    <w:rsid w:val="000E210A"/>
    <w:rsid w:val="000E2FED"/>
    <w:rsid w:val="000E4787"/>
    <w:rsid w:val="000E638C"/>
    <w:rsid w:val="000F12F8"/>
    <w:rsid w:val="000F1CFA"/>
    <w:rsid w:val="000F1EE7"/>
    <w:rsid w:val="000F289D"/>
    <w:rsid w:val="000F585B"/>
    <w:rsid w:val="000F6975"/>
    <w:rsid w:val="001002B5"/>
    <w:rsid w:val="00100349"/>
    <w:rsid w:val="001003B7"/>
    <w:rsid w:val="00100979"/>
    <w:rsid w:val="00102429"/>
    <w:rsid w:val="0010259D"/>
    <w:rsid w:val="00102A23"/>
    <w:rsid w:val="00102CAC"/>
    <w:rsid w:val="00104634"/>
    <w:rsid w:val="001047E0"/>
    <w:rsid w:val="00104836"/>
    <w:rsid w:val="00104EBF"/>
    <w:rsid w:val="00111C5D"/>
    <w:rsid w:val="001122C9"/>
    <w:rsid w:val="00113A3E"/>
    <w:rsid w:val="00115148"/>
    <w:rsid w:val="00115220"/>
    <w:rsid w:val="00115CF4"/>
    <w:rsid w:val="0011618B"/>
    <w:rsid w:val="0011748C"/>
    <w:rsid w:val="001201FE"/>
    <w:rsid w:val="00120EB3"/>
    <w:rsid w:val="00120FE9"/>
    <w:rsid w:val="001236DB"/>
    <w:rsid w:val="00123E26"/>
    <w:rsid w:val="00124090"/>
    <w:rsid w:val="00125CAF"/>
    <w:rsid w:val="00126129"/>
    <w:rsid w:val="00126A7B"/>
    <w:rsid w:val="00131A76"/>
    <w:rsid w:val="001354FF"/>
    <w:rsid w:val="001361AF"/>
    <w:rsid w:val="001363F1"/>
    <w:rsid w:val="001379EA"/>
    <w:rsid w:val="00141726"/>
    <w:rsid w:val="0014283E"/>
    <w:rsid w:val="00144411"/>
    <w:rsid w:val="00145FDE"/>
    <w:rsid w:val="0014617D"/>
    <w:rsid w:val="0014692E"/>
    <w:rsid w:val="00147809"/>
    <w:rsid w:val="00151066"/>
    <w:rsid w:val="00151F99"/>
    <w:rsid w:val="001527C4"/>
    <w:rsid w:val="0015345B"/>
    <w:rsid w:val="00153C2F"/>
    <w:rsid w:val="00154F8C"/>
    <w:rsid w:val="0015642C"/>
    <w:rsid w:val="00160B5D"/>
    <w:rsid w:val="00160E57"/>
    <w:rsid w:val="00162694"/>
    <w:rsid w:val="00164992"/>
    <w:rsid w:val="00165A62"/>
    <w:rsid w:val="001667CE"/>
    <w:rsid w:val="00171C50"/>
    <w:rsid w:val="00172BBC"/>
    <w:rsid w:val="0017377A"/>
    <w:rsid w:val="0017500A"/>
    <w:rsid w:val="0017546F"/>
    <w:rsid w:val="00176617"/>
    <w:rsid w:val="00176961"/>
    <w:rsid w:val="001801DC"/>
    <w:rsid w:val="00182A2C"/>
    <w:rsid w:val="00182DE9"/>
    <w:rsid w:val="0018352F"/>
    <w:rsid w:val="00185007"/>
    <w:rsid w:val="001878CD"/>
    <w:rsid w:val="00187A36"/>
    <w:rsid w:val="001901A1"/>
    <w:rsid w:val="00191052"/>
    <w:rsid w:val="00191F48"/>
    <w:rsid w:val="00192276"/>
    <w:rsid w:val="0019254C"/>
    <w:rsid w:val="00194BD7"/>
    <w:rsid w:val="00194D64"/>
    <w:rsid w:val="00196157"/>
    <w:rsid w:val="0019653A"/>
    <w:rsid w:val="001966BB"/>
    <w:rsid w:val="00196AD7"/>
    <w:rsid w:val="001A0223"/>
    <w:rsid w:val="001A22A0"/>
    <w:rsid w:val="001A26E7"/>
    <w:rsid w:val="001A42EB"/>
    <w:rsid w:val="001A537A"/>
    <w:rsid w:val="001A7752"/>
    <w:rsid w:val="001B555C"/>
    <w:rsid w:val="001B74A9"/>
    <w:rsid w:val="001C0B2C"/>
    <w:rsid w:val="001C2862"/>
    <w:rsid w:val="001C68F8"/>
    <w:rsid w:val="001C71C5"/>
    <w:rsid w:val="001D068A"/>
    <w:rsid w:val="001D103F"/>
    <w:rsid w:val="001D10A7"/>
    <w:rsid w:val="001D4FED"/>
    <w:rsid w:val="001D601D"/>
    <w:rsid w:val="001D7061"/>
    <w:rsid w:val="001E37AB"/>
    <w:rsid w:val="001E4396"/>
    <w:rsid w:val="001E5E51"/>
    <w:rsid w:val="001E67D3"/>
    <w:rsid w:val="001E7C50"/>
    <w:rsid w:val="001F1A35"/>
    <w:rsid w:val="001F356B"/>
    <w:rsid w:val="001F54AE"/>
    <w:rsid w:val="002007D8"/>
    <w:rsid w:val="00202702"/>
    <w:rsid w:val="0020286F"/>
    <w:rsid w:val="00206518"/>
    <w:rsid w:val="0020739A"/>
    <w:rsid w:val="0021003B"/>
    <w:rsid w:val="00210055"/>
    <w:rsid w:val="00210A15"/>
    <w:rsid w:val="002124C1"/>
    <w:rsid w:val="00212606"/>
    <w:rsid w:val="00212636"/>
    <w:rsid w:val="00213B08"/>
    <w:rsid w:val="00215532"/>
    <w:rsid w:val="00215A30"/>
    <w:rsid w:val="00223625"/>
    <w:rsid w:val="0022412D"/>
    <w:rsid w:val="00225C76"/>
    <w:rsid w:val="002278FD"/>
    <w:rsid w:val="002300D0"/>
    <w:rsid w:val="00230FA6"/>
    <w:rsid w:val="002319E8"/>
    <w:rsid w:val="002323CE"/>
    <w:rsid w:val="002328B0"/>
    <w:rsid w:val="00233995"/>
    <w:rsid w:val="00233E4B"/>
    <w:rsid w:val="00234413"/>
    <w:rsid w:val="0023522F"/>
    <w:rsid w:val="002366F0"/>
    <w:rsid w:val="0024045D"/>
    <w:rsid w:val="002405A2"/>
    <w:rsid w:val="00245143"/>
    <w:rsid w:val="00247B0F"/>
    <w:rsid w:val="0025066C"/>
    <w:rsid w:val="0025226A"/>
    <w:rsid w:val="00252D25"/>
    <w:rsid w:val="0025370D"/>
    <w:rsid w:val="00254270"/>
    <w:rsid w:val="00254E45"/>
    <w:rsid w:val="00256E14"/>
    <w:rsid w:val="0026014C"/>
    <w:rsid w:val="00260C7B"/>
    <w:rsid w:val="00260E5C"/>
    <w:rsid w:val="00262D13"/>
    <w:rsid w:val="002700B9"/>
    <w:rsid w:val="00270A0A"/>
    <w:rsid w:val="002722E4"/>
    <w:rsid w:val="00273432"/>
    <w:rsid w:val="002756A8"/>
    <w:rsid w:val="00275B67"/>
    <w:rsid w:val="0027670C"/>
    <w:rsid w:val="00276E28"/>
    <w:rsid w:val="00280015"/>
    <w:rsid w:val="002805AE"/>
    <w:rsid w:val="00280A74"/>
    <w:rsid w:val="00281550"/>
    <w:rsid w:val="00282E8F"/>
    <w:rsid w:val="00285A07"/>
    <w:rsid w:val="0029035B"/>
    <w:rsid w:val="00293139"/>
    <w:rsid w:val="00294C3D"/>
    <w:rsid w:val="002951BE"/>
    <w:rsid w:val="002970CA"/>
    <w:rsid w:val="00297718"/>
    <w:rsid w:val="0029796B"/>
    <w:rsid w:val="00297F00"/>
    <w:rsid w:val="002A0B7A"/>
    <w:rsid w:val="002A2328"/>
    <w:rsid w:val="002A2657"/>
    <w:rsid w:val="002A3048"/>
    <w:rsid w:val="002A6240"/>
    <w:rsid w:val="002A6353"/>
    <w:rsid w:val="002B501D"/>
    <w:rsid w:val="002B68C4"/>
    <w:rsid w:val="002B7DB2"/>
    <w:rsid w:val="002C0D11"/>
    <w:rsid w:val="002C6220"/>
    <w:rsid w:val="002C687E"/>
    <w:rsid w:val="002C7186"/>
    <w:rsid w:val="002C7583"/>
    <w:rsid w:val="002D2500"/>
    <w:rsid w:val="002D26C2"/>
    <w:rsid w:val="002E25B2"/>
    <w:rsid w:val="002E2E8D"/>
    <w:rsid w:val="002E36DD"/>
    <w:rsid w:val="002E7EF1"/>
    <w:rsid w:val="002F0CF7"/>
    <w:rsid w:val="002F179F"/>
    <w:rsid w:val="002F43ED"/>
    <w:rsid w:val="002F440A"/>
    <w:rsid w:val="002F5374"/>
    <w:rsid w:val="002F6464"/>
    <w:rsid w:val="002F7072"/>
    <w:rsid w:val="00301F4D"/>
    <w:rsid w:val="00302DA8"/>
    <w:rsid w:val="003032D4"/>
    <w:rsid w:val="00305057"/>
    <w:rsid w:val="00305808"/>
    <w:rsid w:val="00307AF9"/>
    <w:rsid w:val="00312391"/>
    <w:rsid w:val="00312C8A"/>
    <w:rsid w:val="003141F6"/>
    <w:rsid w:val="00314833"/>
    <w:rsid w:val="00314FE6"/>
    <w:rsid w:val="00315443"/>
    <w:rsid w:val="003161FC"/>
    <w:rsid w:val="00322514"/>
    <w:rsid w:val="00323127"/>
    <w:rsid w:val="0032389D"/>
    <w:rsid w:val="00324058"/>
    <w:rsid w:val="003240C7"/>
    <w:rsid w:val="00324F87"/>
    <w:rsid w:val="00325F64"/>
    <w:rsid w:val="00326463"/>
    <w:rsid w:val="0032654F"/>
    <w:rsid w:val="00326FEC"/>
    <w:rsid w:val="003314A2"/>
    <w:rsid w:val="003320C3"/>
    <w:rsid w:val="00332D8F"/>
    <w:rsid w:val="003361F4"/>
    <w:rsid w:val="00336A93"/>
    <w:rsid w:val="003413E0"/>
    <w:rsid w:val="00342D15"/>
    <w:rsid w:val="00346EAC"/>
    <w:rsid w:val="00354130"/>
    <w:rsid w:val="003619FE"/>
    <w:rsid w:val="00362308"/>
    <w:rsid w:val="003624E3"/>
    <w:rsid w:val="0036610F"/>
    <w:rsid w:val="00367DD2"/>
    <w:rsid w:val="00370CDD"/>
    <w:rsid w:val="00376DF5"/>
    <w:rsid w:val="003779D1"/>
    <w:rsid w:val="00381E7B"/>
    <w:rsid w:val="003822EB"/>
    <w:rsid w:val="00386FCA"/>
    <w:rsid w:val="0039088B"/>
    <w:rsid w:val="0039185B"/>
    <w:rsid w:val="0039321A"/>
    <w:rsid w:val="0039368D"/>
    <w:rsid w:val="00393BAB"/>
    <w:rsid w:val="003942A7"/>
    <w:rsid w:val="0039518E"/>
    <w:rsid w:val="0039551F"/>
    <w:rsid w:val="0039560B"/>
    <w:rsid w:val="00395807"/>
    <w:rsid w:val="00395C83"/>
    <w:rsid w:val="003972CC"/>
    <w:rsid w:val="003A319C"/>
    <w:rsid w:val="003A3699"/>
    <w:rsid w:val="003A5778"/>
    <w:rsid w:val="003A5AE0"/>
    <w:rsid w:val="003A5D89"/>
    <w:rsid w:val="003A603E"/>
    <w:rsid w:val="003A7540"/>
    <w:rsid w:val="003A7B16"/>
    <w:rsid w:val="003B18BF"/>
    <w:rsid w:val="003B2E3C"/>
    <w:rsid w:val="003B3270"/>
    <w:rsid w:val="003B32BD"/>
    <w:rsid w:val="003B3A56"/>
    <w:rsid w:val="003B467D"/>
    <w:rsid w:val="003C154B"/>
    <w:rsid w:val="003C1A4F"/>
    <w:rsid w:val="003C2410"/>
    <w:rsid w:val="003C24C6"/>
    <w:rsid w:val="003C278B"/>
    <w:rsid w:val="003C27EC"/>
    <w:rsid w:val="003C284C"/>
    <w:rsid w:val="003C2A79"/>
    <w:rsid w:val="003C38CE"/>
    <w:rsid w:val="003C38DA"/>
    <w:rsid w:val="003D0203"/>
    <w:rsid w:val="003D0B3A"/>
    <w:rsid w:val="003D0EA5"/>
    <w:rsid w:val="003D1A2C"/>
    <w:rsid w:val="003D485B"/>
    <w:rsid w:val="003E0464"/>
    <w:rsid w:val="003E1822"/>
    <w:rsid w:val="003E1963"/>
    <w:rsid w:val="003E27F1"/>
    <w:rsid w:val="003E40D5"/>
    <w:rsid w:val="003E4CCA"/>
    <w:rsid w:val="003E7DFD"/>
    <w:rsid w:val="003F1877"/>
    <w:rsid w:val="003F2D95"/>
    <w:rsid w:val="003F3565"/>
    <w:rsid w:val="003F6358"/>
    <w:rsid w:val="004025E6"/>
    <w:rsid w:val="00403345"/>
    <w:rsid w:val="0040412B"/>
    <w:rsid w:val="004050E0"/>
    <w:rsid w:val="00405AB1"/>
    <w:rsid w:val="0041097F"/>
    <w:rsid w:val="004115F0"/>
    <w:rsid w:val="004127E7"/>
    <w:rsid w:val="004147ED"/>
    <w:rsid w:val="004153C9"/>
    <w:rsid w:val="004153E1"/>
    <w:rsid w:val="00415E86"/>
    <w:rsid w:val="0041789F"/>
    <w:rsid w:val="00417AB1"/>
    <w:rsid w:val="00417FC8"/>
    <w:rsid w:val="0042020B"/>
    <w:rsid w:val="00423105"/>
    <w:rsid w:val="00423EE3"/>
    <w:rsid w:val="004250E6"/>
    <w:rsid w:val="00426359"/>
    <w:rsid w:val="00427006"/>
    <w:rsid w:val="004275D7"/>
    <w:rsid w:val="004327A7"/>
    <w:rsid w:val="00433D3A"/>
    <w:rsid w:val="00433FB4"/>
    <w:rsid w:val="00435AA5"/>
    <w:rsid w:val="0043745A"/>
    <w:rsid w:val="004410A6"/>
    <w:rsid w:val="00442274"/>
    <w:rsid w:val="0044321D"/>
    <w:rsid w:val="00445ACC"/>
    <w:rsid w:val="004461AC"/>
    <w:rsid w:val="0044692D"/>
    <w:rsid w:val="00446AE3"/>
    <w:rsid w:val="004523CE"/>
    <w:rsid w:val="00454812"/>
    <w:rsid w:val="00456994"/>
    <w:rsid w:val="00457BD5"/>
    <w:rsid w:val="00462F4C"/>
    <w:rsid w:val="004637D3"/>
    <w:rsid w:val="0046436D"/>
    <w:rsid w:val="00467DE7"/>
    <w:rsid w:val="00471ECD"/>
    <w:rsid w:val="00473BB1"/>
    <w:rsid w:val="00476E87"/>
    <w:rsid w:val="0047727F"/>
    <w:rsid w:val="004814E9"/>
    <w:rsid w:val="00483D18"/>
    <w:rsid w:val="004847F4"/>
    <w:rsid w:val="00485D6D"/>
    <w:rsid w:val="004879FC"/>
    <w:rsid w:val="0049201C"/>
    <w:rsid w:val="00494FBD"/>
    <w:rsid w:val="004A0F37"/>
    <w:rsid w:val="004A19D7"/>
    <w:rsid w:val="004A1ABC"/>
    <w:rsid w:val="004A45B0"/>
    <w:rsid w:val="004A4DFD"/>
    <w:rsid w:val="004A5F12"/>
    <w:rsid w:val="004B1586"/>
    <w:rsid w:val="004B25B7"/>
    <w:rsid w:val="004B2A84"/>
    <w:rsid w:val="004B2EE9"/>
    <w:rsid w:val="004B4FBA"/>
    <w:rsid w:val="004B6E95"/>
    <w:rsid w:val="004B71E6"/>
    <w:rsid w:val="004C0072"/>
    <w:rsid w:val="004C0A81"/>
    <w:rsid w:val="004C115E"/>
    <w:rsid w:val="004C1242"/>
    <w:rsid w:val="004C1A0C"/>
    <w:rsid w:val="004C340D"/>
    <w:rsid w:val="004C3790"/>
    <w:rsid w:val="004C6980"/>
    <w:rsid w:val="004C6CD6"/>
    <w:rsid w:val="004D0648"/>
    <w:rsid w:val="004D231A"/>
    <w:rsid w:val="004D36F9"/>
    <w:rsid w:val="004D3D46"/>
    <w:rsid w:val="004D3E4A"/>
    <w:rsid w:val="004D5C80"/>
    <w:rsid w:val="004D6784"/>
    <w:rsid w:val="004D6801"/>
    <w:rsid w:val="004D7D2B"/>
    <w:rsid w:val="004E17B8"/>
    <w:rsid w:val="004E30BD"/>
    <w:rsid w:val="004E3F5F"/>
    <w:rsid w:val="004E420C"/>
    <w:rsid w:val="004E4935"/>
    <w:rsid w:val="004F1770"/>
    <w:rsid w:val="004F3E80"/>
    <w:rsid w:val="004F460B"/>
    <w:rsid w:val="004F7940"/>
    <w:rsid w:val="00500623"/>
    <w:rsid w:val="00501CB8"/>
    <w:rsid w:val="00507443"/>
    <w:rsid w:val="00507649"/>
    <w:rsid w:val="005079E5"/>
    <w:rsid w:val="00511412"/>
    <w:rsid w:val="005137D9"/>
    <w:rsid w:val="00516DFE"/>
    <w:rsid w:val="00517A6A"/>
    <w:rsid w:val="00523F84"/>
    <w:rsid w:val="00527039"/>
    <w:rsid w:val="005316E7"/>
    <w:rsid w:val="005325B6"/>
    <w:rsid w:val="00532AE6"/>
    <w:rsid w:val="00532C1C"/>
    <w:rsid w:val="00534AE6"/>
    <w:rsid w:val="00535039"/>
    <w:rsid w:val="0053541C"/>
    <w:rsid w:val="00535D21"/>
    <w:rsid w:val="005362B5"/>
    <w:rsid w:val="00536628"/>
    <w:rsid w:val="005413C8"/>
    <w:rsid w:val="00541490"/>
    <w:rsid w:val="00542540"/>
    <w:rsid w:val="005442F0"/>
    <w:rsid w:val="00545D99"/>
    <w:rsid w:val="00546EA5"/>
    <w:rsid w:val="005473ED"/>
    <w:rsid w:val="00547526"/>
    <w:rsid w:val="00547A85"/>
    <w:rsid w:val="00547D2B"/>
    <w:rsid w:val="00547E73"/>
    <w:rsid w:val="00547EFF"/>
    <w:rsid w:val="005517BF"/>
    <w:rsid w:val="005524D3"/>
    <w:rsid w:val="0055339F"/>
    <w:rsid w:val="005535AE"/>
    <w:rsid w:val="005536DD"/>
    <w:rsid w:val="005556E5"/>
    <w:rsid w:val="005563B0"/>
    <w:rsid w:val="0055688C"/>
    <w:rsid w:val="00556A91"/>
    <w:rsid w:val="00560219"/>
    <w:rsid w:val="005618A2"/>
    <w:rsid w:val="005621C9"/>
    <w:rsid w:val="005625B6"/>
    <w:rsid w:val="0056339F"/>
    <w:rsid w:val="00566905"/>
    <w:rsid w:val="005670F4"/>
    <w:rsid w:val="005676C6"/>
    <w:rsid w:val="00567D36"/>
    <w:rsid w:val="00570FE6"/>
    <w:rsid w:val="005710FF"/>
    <w:rsid w:val="005737E2"/>
    <w:rsid w:val="00573BC3"/>
    <w:rsid w:val="005744DE"/>
    <w:rsid w:val="005824FB"/>
    <w:rsid w:val="00582932"/>
    <w:rsid w:val="005858E9"/>
    <w:rsid w:val="00591A62"/>
    <w:rsid w:val="00591DAE"/>
    <w:rsid w:val="0059257A"/>
    <w:rsid w:val="00593906"/>
    <w:rsid w:val="00594021"/>
    <w:rsid w:val="005950D4"/>
    <w:rsid w:val="005958BB"/>
    <w:rsid w:val="005967CB"/>
    <w:rsid w:val="0059795A"/>
    <w:rsid w:val="00597D39"/>
    <w:rsid w:val="005A1C2D"/>
    <w:rsid w:val="005A44E1"/>
    <w:rsid w:val="005A4AA0"/>
    <w:rsid w:val="005A51D8"/>
    <w:rsid w:val="005A63E0"/>
    <w:rsid w:val="005B2C1A"/>
    <w:rsid w:val="005B3574"/>
    <w:rsid w:val="005B4180"/>
    <w:rsid w:val="005B44FC"/>
    <w:rsid w:val="005B4DEA"/>
    <w:rsid w:val="005B4DF7"/>
    <w:rsid w:val="005B573B"/>
    <w:rsid w:val="005B5A88"/>
    <w:rsid w:val="005B5D86"/>
    <w:rsid w:val="005B5F22"/>
    <w:rsid w:val="005C2489"/>
    <w:rsid w:val="005C2622"/>
    <w:rsid w:val="005C2EA1"/>
    <w:rsid w:val="005C3A40"/>
    <w:rsid w:val="005C3D79"/>
    <w:rsid w:val="005C4FF7"/>
    <w:rsid w:val="005C51EC"/>
    <w:rsid w:val="005C5256"/>
    <w:rsid w:val="005C7381"/>
    <w:rsid w:val="005C7D97"/>
    <w:rsid w:val="005D03EC"/>
    <w:rsid w:val="005D0419"/>
    <w:rsid w:val="005D160B"/>
    <w:rsid w:val="005D4537"/>
    <w:rsid w:val="005D45BF"/>
    <w:rsid w:val="005D59D7"/>
    <w:rsid w:val="005D5F3D"/>
    <w:rsid w:val="005E33C2"/>
    <w:rsid w:val="005E5D5F"/>
    <w:rsid w:val="005E7717"/>
    <w:rsid w:val="005F0007"/>
    <w:rsid w:val="005F3BD3"/>
    <w:rsid w:val="005F571C"/>
    <w:rsid w:val="005F6F5F"/>
    <w:rsid w:val="005F6F8F"/>
    <w:rsid w:val="00604BA7"/>
    <w:rsid w:val="00605316"/>
    <w:rsid w:val="0060577D"/>
    <w:rsid w:val="00605B89"/>
    <w:rsid w:val="00605DCC"/>
    <w:rsid w:val="00607DD9"/>
    <w:rsid w:val="006100BE"/>
    <w:rsid w:val="00611499"/>
    <w:rsid w:val="006134C2"/>
    <w:rsid w:val="00615411"/>
    <w:rsid w:val="0062019F"/>
    <w:rsid w:val="0062044F"/>
    <w:rsid w:val="00621059"/>
    <w:rsid w:val="00621BBB"/>
    <w:rsid w:val="00621BF0"/>
    <w:rsid w:val="006239E4"/>
    <w:rsid w:val="00623D1E"/>
    <w:rsid w:val="00625C47"/>
    <w:rsid w:val="00625EC0"/>
    <w:rsid w:val="00626374"/>
    <w:rsid w:val="00627298"/>
    <w:rsid w:val="00627456"/>
    <w:rsid w:val="00627B91"/>
    <w:rsid w:val="00627FD5"/>
    <w:rsid w:val="006314DF"/>
    <w:rsid w:val="00632F49"/>
    <w:rsid w:val="00633BD1"/>
    <w:rsid w:val="00634EE1"/>
    <w:rsid w:val="00635CCC"/>
    <w:rsid w:val="006376BC"/>
    <w:rsid w:val="00640656"/>
    <w:rsid w:val="00644B1E"/>
    <w:rsid w:val="006475F8"/>
    <w:rsid w:val="00651918"/>
    <w:rsid w:val="00651B70"/>
    <w:rsid w:val="00651E1E"/>
    <w:rsid w:val="006523B1"/>
    <w:rsid w:val="00660A41"/>
    <w:rsid w:val="00661E86"/>
    <w:rsid w:val="006623DA"/>
    <w:rsid w:val="0066273E"/>
    <w:rsid w:val="0066312F"/>
    <w:rsid w:val="00664B3A"/>
    <w:rsid w:val="00664D90"/>
    <w:rsid w:val="006650DF"/>
    <w:rsid w:val="00670FF5"/>
    <w:rsid w:val="00671A6B"/>
    <w:rsid w:val="00675E49"/>
    <w:rsid w:val="00677019"/>
    <w:rsid w:val="00680AF8"/>
    <w:rsid w:val="0068146D"/>
    <w:rsid w:val="00682E5F"/>
    <w:rsid w:val="00683413"/>
    <w:rsid w:val="00684249"/>
    <w:rsid w:val="00684C08"/>
    <w:rsid w:val="00686F8B"/>
    <w:rsid w:val="00690478"/>
    <w:rsid w:val="00690C66"/>
    <w:rsid w:val="00691898"/>
    <w:rsid w:val="00692138"/>
    <w:rsid w:val="006924E2"/>
    <w:rsid w:val="00692AB1"/>
    <w:rsid w:val="00694834"/>
    <w:rsid w:val="00695F1E"/>
    <w:rsid w:val="00696B1E"/>
    <w:rsid w:val="006A0B24"/>
    <w:rsid w:val="006A4B91"/>
    <w:rsid w:val="006A4DE4"/>
    <w:rsid w:val="006A60E3"/>
    <w:rsid w:val="006B0D29"/>
    <w:rsid w:val="006B0EC9"/>
    <w:rsid w:val="006B1AE4"/>
    <w:rsid w:val="006B214E"/>
    <w:rsid w:val="006B3600"/>
    <w:rsid w:val="006C05AD"/>
    <w:rsid w:val="006C2CB1"/>
    <w:rsid w:val="006C2E3B"/>
    <w:rsid w:val="006C321B"/>
    <w:rsid w:val="006C4475"/>
    <w:rsid w:val="006C65AA"/>
    <w:rsid w:val="006C6D73"/>
    <w:rsid w:val="006C73CC"/>
    <w:rsid w:val="006C7D5A"/>
    <w:rsid w:val="006D16FF"/>
    <w:rsid w:val="006D22D8"/>
    <w:rsid w:val="006D282E"/>
    <w:rsid w:val="006D2B5B"/>
    <w:rsid w:val="006D3206"/>
    <w:rsid w:val="006D347F"/>
    <w:rsid w:val="006D37D5"/>
    <w:rsid w:val="006D469A"/>
    <w:rsid w:val="006D4C5C"/>
    <w:rsid w:val="006D4CAF"/>
    <w:rsid w:val="006D5222"/>
    <w:rsid w:val="006D63E0"/>
    <w:rsid w:val="006E25A7"/>
    <w:rsid w:val="006E43BA"/>
    <w:rsid w:val="006E44DA"/>
    <w:rsid w:val="006E5685"/>
    <w:rsid w:val="006F3721"/>
    <w:rsid w:val="006F3BDD"/>
    <w:rsid w:val="006F4F31"/>
    <w:rsid w:val="006F5173"/>
    <w:rsid w:val="006F5DF1"/>
    <w:rsid w:val="006F5EFC"/>
    <w:rsid w:val="00700A5B"/>
    <w:rsid w:val="00700EAB"/>
    <w:rsid w:val="00701EAD"/>
    <w:rsid w:val="0070330B"/>
    <w:rsid w:val="00703B43"/>
    <w:rsid w:val="00704319"/>
    <w:rsid w:val="00711ECE"/>
    <w:rsid w:val="007123C7"/>
    <w:rsid w:val="00714206"/>
    <w:rsid w:val="0071634B"/>
    <w:rsid w:val="007168A8"/>
    <w:rsid w:val="00716E2D"/>
    <w:rsid w:val="00717752"/>
    <w:rsid w:val="007203D9"/>
    <w:rsid w:val="00720FC3"/>
    <w:rsid w:val="00721AAB"/>
    <w:rsid w:val="00721B7A"/>
    <w:rsid w:val="00721F8D"/>
    <w:rsid w:val="00722793"/>
    <w:rsid w:val="00722980"/>
    <w:rsid w:val="00725787"/>
    <w:rsid w:val="007278B2"/>
    <w:rsid w:val="0073047E"/>
    <w:rsid w:val="00731A1A"/>
    <w:rsid w:val="00731B5F"/>
    <w:rsid w:val="00732591"/>
    <w:rsid w:val="00734752"/>
    <w:rsid w:val="00734830"/>
    <w:rsid w:val="00735CC7"/>
    <w:rsid w:val="007365AB"/>
    <w:rsid w:val="00737989"/>
    <w:rsid w:val="00740E50"/>
    <w:rsid w:val="007418B2"/>
    <w:rsid w:val="00742A08"/>
    <w:rsid w:val="007466A2"/>
    <w:rsid w:val="00746BAC"/>
    <w:rsid w:val="00747188"/>
    <w:rsid w:val="00747E0D"/>
    <w:rsid w:val="00750E6B"/>
    <w:rsid w:val="00750F88"/>
    <w:rsid w:val="00751C2B"/>
    <w:rsid w:val="00752161"/>
    <w:rsid w:val="007521B2"/>
    <w:rsid w:val="007533A0"/>
    <w:rsid w:val="007546A6"/>
    <w:rsid w:val="00756773"/>
    <w:rsid w:val="0075785E"/>
    <w:rsid w:val="00760047"/>
    <w:rsid w:val="007629AC"/>
    <w:rsid w:val="00762B5C"/>
    <w:rsid w:val="00763647"/>
    <w:rsid w:val="00763B54"/>
    <w:rsid w:val="007640B8"/>
    <w:rsid w:val="0076441C"/>
    <w:rsid w:val="00765813"/>
    <w:rsid w:val="00765CBC"/>
    <w:rsid w:val="007664DE"/>
    <w:rsid w:val="00766845"/>
    <w:rsid w:val="007734F7"/>
    <w:rsid w:val="00773EFF"/>
    <w:rsid w:val="007748F5"/>
    <w:rsid w:val="00775EFA"/>
    <w:rsid w:val="007768A2"/>
    <w:rsid w:val="007800F6"/>
    <w:rsid w:val="00780577"/>
    <w:rsid w:val="0078166B"/>
    <w:rsid w:val="00781BF8"/>
    <w:rsid w:val="0078335F"/>
    <w:rsid w:val="0078337B"/>
    <w:rsid w:val="00785833"/>
    <w:rsid w:val="007860FC"/>
    <w:rsid w:val="00786763"/>
    <w:rsid w:val="00786D0B"/>
    <w:rsid w:val="00791BFD"/>
    <w:rsid w:val="00791DD3"/>
    <w:rsid w:val="007940B9"/>
    <w:rsid w:val="0079471C"/>
    <w:rsid w:val="00796E05"/>
    <w:rsid w:val="00797252"/>
    <w:rsid w:val="007A0348"/>
    <w:rsid w:val="007A166E"/>
    <w:rsid w:val="007A24B8"/>
    <w:rsid w:val="007A4A8C"/>
    <w:rsid w:val="007A4ED2"/>
    <w:rsid w:val="007A612B"/>
    <w:rsid w:val="007A7887"/>
    <w:rsid w:val="007B1AC0"/>
    <w:rsid w:val="007B31EB"/>
    <w:rsid w:val="007B3259"/>
    <w:rsid w:val="007B4FE5"/>
    <w:rsid w:val="007B7195"/>
    <w:rsid w:val="007B7DEA"/>
    <w:rsid w:val="007C0C50"/>
    <w:rsid w:val="007C0D66"/>
    <w:rsid w:val="007C168D"/>
    <w:rsid w:val="007C2D7E"/>
    <w:rsid w:val="007C31F9"/>
    <w:rsid w:val="007C350A"/>
    <w:rsid w:val="007C5198"/>
    <w:rsid w:val="007C6AED"/>
    <w:rsid w:val="007D2025"/>
    <w:rsid w:val="007D20A7"/>
    <w:rsid w:val="007D45DB"/>
    <w:rsid w:val="007D476F"/>
    <w:rsid w:val="007D6E68"/>
    <w:rsid w:val="007E0080"/>
    <w:rsid w:val="007E2661"/>
    <w:rsid w:val="007E2A8F"/>
    <w:rsid w:val="007E2DEC"/>
    <w:rsid w:val="007E33DE"/>
    <w:rsid w:val="007E50B7"/>
    <w:rsid w:val="007E7745"/>
    <w:rsid w:val="007F04D1"/>
    <w:rsid w:val="007F17FE"/>
    <w:rsid w:val="007F30F2"/>
    <w:rsid w:val="007F5244"/>
    <w:rsid w:val="007F6C3F"/>
    <w:rsid w:val="007F7CB9"/>
    <w:rsid w:val="0080022A"/>
    <w:rsid w:val="008003B5"/>
    <w:rsid w:val="00801D50"/>
    <w:rsid w:val="00801E6F"/>
    <w:rsid w:val="00802AE7"/>
    <w:rsid w:val="0080393B"/>
    <w:rsid w:val="00803F3B"/>
    <w:rsid w:val="00804347"/>
    <w:rsid w:val="00804AF7"/>
    <w:rsid w:val="0080563C"/>
    <w:rsid w:val="00806234"/>
    <w:rsid w:val="00806298"/>
    <w:rsid w:val="00806644"/>
    <w:rsid w:val="00807BC2"/>
    <w:rsid w:val="00807DAE"/>
    <w:rsid w:val="00811EC7"/>
    <w:rsid w:val="00812A36"/>
    <w:rsid w:val="00813DBE"/>
    <w:rsid w:val="008140CD"/>
    <w:rsid w:val="0081433C"/>
    <w:rsid w:val="008150DD"/>
    <w:rsid w:val="008171BC"/>
    <w:rsid w:val="00824F08"/>
    <w:rsid w:val="008271F9"/>
    <w:rsid w:val="00827F7D"/>
    <w:rsid w:val="00833291"/>
    <w:rsid w:val="00834076"/>
    <w:rsid w:val="008358AD"/>
    <w:rsid w:val="00836BE2"/>
    <w:rsid w:val="00840374"/>
    <w:rsid w:val="00840DA8"/>
    <w:rsid w:val="008410DE"/>
    <w:rsid w:val="00842AC4"/>
    <w:rsid w:val="00844315"/>
    <w:rsid w:val="00850040"/>
    <w:rsid w:val="0085028A"/>
    <w:rsid w:val="00850E2F"/>
    <w:rsid w:val="00850F6E"/>
    <w:rsid w:val="0085156B"/>
    <w:rsid w:val="00853192"/>
    <w:rsid w:val="00853D69"/>
    <w:rsid w:val="00854533"/>
    <w:rsid w:val="00855A93"/>
    <w:rsid w:val="00856055"/>
    <w:rsid w:val="00860B57"/>
    <w:rsid w:val="00860B7F"/>
    <w:rsid w:val="00862907"/>
    <w:rsid w:val="00863FCE"/>
    <w:rsid w:val="00865826"/>
    <w:rsid w:val="00865A8D"/>
    <w:rsid w:val="008660D7"/>
    <w:rsid w:val="0086717C"/>
    <w:rsid w:val="00867AC2"/>
    <w:rsid w:val="00871460"/>
    <w:rsid w:val="008728BD"/>
    <w:rsid w:val="00872D72"/>
    <w:rsid w:val="0087336C"/>
    <w:rsid w:val="008735FE"/>
    <w:rsid w:val="00873BDC"/>
    <w:rsid w:val="00873DB7"/>
    <w:rsid w:val="00875750"/>
    <w:rsid w:val="00876ED3"/>
    <w:rsid w:val="008771E9"/>
    <w:rsid w:val="008772CC"/>
    <w:rsid w:val="00883316"/>
    <w:rsid w:val="00884F3C"/>
    <w:rsid w:val="0088525F"/>
    <w:rsid w:val="00887215"/>
    <w:rsid w:val="008872B2"/>
    <w:rsid w:val="0088751F"/>
    <w:rsid w:val="00894361"/>
    <w:rsid w:val="00896E35"/>
    <w:rsid w:val="0089730B"/>
    <w:rsid w:val="008976C9"/>
    <w:rsid w:val="00897836"/>
    <w:rsid w:val="008A13E4"/>
    <w:rsid w:val="008A1CAE"/>
    <w:rsid w:val="008A3D55"/>
    <w:rsid w:val="008A48AF"/>
    <w:rsid w:val="008A53A7"/>
    <w:rsid w:val="008A5C0A"/>
    <w:rsid w:val="008A6924"/>
    <w:rsid w:val="008A7421"/>
    <w:rsid w:val="008A7656"/>
    <w:rsid w:val="008B37DB"/>
    <w:rsid w:val="008B3970"/>
    <w:rsid w:val="008B3F78"/>
    <w:rsid w:val="008B43D6"/>
    <w:rsid w:val="008B4D74"/>
    <w:rsid w:val="008B55FF"/>
    <w:rsid w:val="008B7721"/>
    <w:rsid w:val="008B7CF5"/>
    <w:rsid w:val="008C2447"/>
    <w:rsid w:val="008C2C23"/>
    <w:rsid w:val="008C2F7E"/>
    <w:rsid w:val="008C449C"/>
    <w:rsid w:val="008C5329"/>
    <w:rsid w:val="008C7D29"/>
    <w:rsid w:val="008D10D4"/>
    <w:rsid w:val="008D21EE"/>
    <w:rsid w:val="008D243A"/>
    <w:rsid w:val="008D30C6"/>
    <w:rsid w:val="008D3ADE"/>
    <w:rsid w:val="008D4B3C"/>
    <w:rsid w:val="008D5BA9"/>
    <w:rsid w:val="008D6546"/>
    <w:rsid w:val="008D7832"/>
    <w:rsid w:val="008E2D07"/>
    <w:rsid w:val="008E3A4A"/>
    <w:rsid w:val="008E766C"/>
    <w:rsid w:val="008E76DA"/>
    <w:rsid w:val="008F0796"/>
    <w:rsid w:val="008F3EBF"/>
    <w:rsid w:val="008F4EBF"/>
    <w:rsid w:val="008F60C2"/>
    <w:rsid w:val="008F66F7"/>
    <w:rsid w:val="00901D6B"/>
    <w:rsid w:val="009041AE"/>
    <w:rsid w:val="0090451C"/>
    <w:rsid w:val="0090528E"/>
    <w:rsid w:val="009071C8"/>
    <w:rsid w:val="00907806"/>
    <w:rsid w:val="0091153F"/>
    <w:rsid w:val="00911783"/>
    <w:rsid w:val="00911B54"/>
    <w:rsid w:val="00912341"/>
    <w:rsid w:val="0091333F"/>
    <w:rsid w:val="0091335B"/>
    <w:rsid w:val="00923D0A"/>
    <w:rsid w:val="00926350"/>
    <w:rsid w:val="00932767"/>
    <w:rsid w:val="00935626"/>
    <w:rsid w:val="0094175A"/>
    <w:rsid w:val="00941D01"/>
    <w:rsid w:val="00943FC4"/>
    <w:rsid w:val="00944345"/>
    <w:rsid w:val="009443F1"/>
    <w:rsid w:val="009461C8"/>
    <w:rsid w:val="009464FD"/>
    <w:rsid w:val="00947681"/>
    <w:rsid w:val="00950416"/>
    <w:rsid w:val="009528C8"/>
    <w:rsid w:val="0095344E"/>
    <w:rsid w:val="00954759"/>
    <w:rsid w:val="0095527E"/>
    <w:rsid w:val="009608D9"/>
    <w:rsid w:val="00960AA1"/>
    <w:rsid w:val="0096288B"/>
    <w:rsid w:val="00963002"/>
    <w:rsid w:val="009631CA"/>
    <w:rsid w:val="0096327C"/>
    <w:rsid w:val="0096366C"/>
    <w:rsid w:val="009657F4"/>
    <w:rsid w:val="00965823"/>
    <w:rsid w:val="00967679"/>
    <w:rsid w:val="00967872"/>
    <w:rsid w:val="00967AA2"/>
    <w:rsid w:val="00967C8E"/>
    <w:rsid w:val="00971997"/>
    <w:rsid w:val="00974550"/>
    <w:rsid w:val="00974DBA"/>
    <w:rsid w:val="00977A10"/>
    <w:rsid w:val="009810B5"/>
    <w:rsid w:val="00981AED"/>
    <w:rsid w:val="009831DC"/>
    <w:rsid w:val="00984BFA"/>
    <w:rsid w:val="00985B4C"/>
    <w:rsid w:val="00990A5D"/>
    <w:rsid w:val="0099369F"/>
    <w:rsid w:val="009951DC"/>
    <w:rsid w:val="0099635A"/>
    <w:rsid w:val="00996450"/>
    <w:rsid w:val="009A1FCE"/>
    <w:rsid w:val="009A209A"/>
    <w:rsid w:val="009A25E6"/>
    <w:rsid w:val="009A3B1D"/>
    <w:rsid w:val="009A4287"/>
    <w:rsid w:val="009A43A4"/>
    <w:rsid w:val="009A5158"/>
    <w:rsid w:val="009A56FF"/>
    <w:rsid w:val="009A5B1A"/>
    <w:rsid w:val="009A6C7E"/>
    <w:rsid w:val="009B0498"/>
    <w:rsid w:val="009B0921"/>
    <w:rsid w:val="009B0D77"/>
    <w:rsid w:val="009B16FB"/>
    <w:rsid w:val="009B1A12"/>
    <w:rsid w:val="009B1A14"/>
    <w:rsid w:val="009B3052"/>
    <w:rsid w:val="009B5D4E"/>
    <w:rsid w:val="009B75CB"/>
    <w:rsid w:val="009C00D0"/>
    <w:rsid w:val="009C214A"/>
    <w:rsid w:val="009C254A"/>
    <w:rsid w:val="009C456E"/>
    <w:rsid w:val="009C47EF"/>
    <w:rsid w:val="009C4811"/>
    <w:rsid w:val="009C5C37"/>
    <w:rsid w:val="009C620B"/>
    <w:rsid w:val="009D00F8"/>
    <w:rsid w:val="009D1DDC"/>
    <w:rsid w:val="009D1F27"/>
    <w:rsid w:val="009D37F7"/>
    <w:rsid w:val="009D38E7"/>
    <w:rsid w:val="009D66E9"/>
    <w:rsid w:val="009D68EF"/>
    <w:rsid w:val="009D71F4"/>
    <w:rsid w:val="009D75A4"/>
    <w:rsid w:val="009E157E"/>
    <w:rsid w:val="009E201E"/>
    <w:rsid w:val="009E24A3"/>
    <w:rsid w:val="009E29BD"/>
    <w:rsid w:val="009E3BB0"/>
    <w:rsid w:val="009E4C37"/>
    <w:rsid w:val="009E5EA9"/>
    <w:rsid w:val="009E6D81"/>
    <w:rsid w:val="009E7CC6"/>
    <w:rsid w:val="009F0F96"/>
    <w:rsid w:val="009F26DF"/>
    <w:rsid w:val="009F3B5F"/>
    <w:rsid w:val="009F3E90"/>
    <w:rsid w:val="009F49C1"/>
    <w:rsid w:val="009F558C"/>
    <w:rsid w:val="00A00D2B"/>
    <w:rsid w:val="00A01DA8"/>
    <w:rsid w:val="00A03355"/>
    <w:rsid w:val="00A03DBA"/>
    <w:rsid w:val="00A04C9B"/>
    <w:rsid w:val="00A14418"/>
    <w:rsid w:val="00A14FE3"/>
    <w:rsid w:val="00A2065B"/>
    <w:rsid w:val="00A20C19"/>
    <w:rsid w:val="00A2122F"/>
    <w:rsid w:val="00A217F6"/>
    <w:rsid w:val="00A219FE"/>
    <w:rsid w:val="00A231E8"/>
    <w:rsid w:val="00A2415E"/>
    <w:rsid w:val="00A24E81"/>
    <w:rsid w:val="00A24EB8"/>
    <w:rsid w:val="00A3125E"/>
    <w:rsid w:val="00A337B8"/>
    <w:rsid w:val="00A34876"/>
    <w:rsid w:val="00A37052"/>
    <w:rsid w:val="00A416BD"/>
    <w:rsid w:val="00A42A19"/>
    <w:rsid w:val="00A42C5E"/>
    <w:rsid w:val="00A467CE"/>
    <w:rsid w:val="00A46D20"/>
    <w:rsid w:val="00A54D61"/>
    <w:rsid w:val="00A54F81"/>
    <w:rsid w:val="00A5600B"/>
    <w:rsid w:val="00A56A6A"/>
    <w:rsid w:val="00A60CC7"/>
    <w:rsid w:val="00A62156"/>
    <w:rsid w:val="00A62B7D"/>
    <w:rsid w:val="00A63053"/>
    <w:rsid w:val="00A63E38"/>
    <w:rsid w:val="00A6466C"/>
    <w:rsid w:val="00A64BC4"/>
    <w:rsid w:val="00A664D0"/>
    <w:rsid w:val="00A67327"/>
    <w:rsid w:val="00A676A4"/>
    <w:rsid w:val="00A67BDF"/>
    <w:rsid w:val="00A73504"/>
    <w:rsid w:val="00A7380C"/>
    <w:rsid w:val="00A74118"/>
    <w:rsid w:val="00A74AC4"/>
    <w:rsid w:val="00A74B34"/>
    <w:rsid w:val="00A77F99"/>
    <w:rsid w:val="00A80B9F"/>
    <w:rsid w:val="00A84478"/>
    <w:rsid w:val="00A845AE"/>
    <w:rsid w:val="00A846ED"/>
    <w:rsid w:val="00A859F7"/>
    <w:rsid w:val="00A87505"/>
    <w:rsid w:val="00A87ACC"/>
    <w:rsid w:val="00A90898"/>
    <w:rsid w:val="00A9090F"/>
    <w:rsid w:val="00A9158D"/>
    <w:rsid w:val="00A93097"/>
    <w:rsid w:val="00A93C4D"/>
    <w:rsid w:val="00A96D2A"/>
    <w:rsid w:val="00AA1527"/>
    <w:rsid w:val="00AA2C24"/>
    <w:rsid w:val="00AA3DB8"/>
    <w:rsid w:val="00AB1050"/>
    <w:rsid w:val="00AB2828"/>
    <w:rsid w:val="00AB2B04"/>
    <w:rsid w:val="00AB474A"/>
    <w:rsid w:val="00AB5E55"/>
    <w:rsid w:val="00AB607B"/>
    <w:rsid w:val="00AB65F2"/>
    <w:rsid w:val="00AB6E26"/>
    <w:rsid w:val="00AB742C"/>
    <w:rsid w:val="00AC2D01"/>
    <w:rsid w:val="00AC2EBF"/>
    <w:rsid w:val="00AC45D7"/>
    <w:rsid w:val="00AC4EA5"/>
    <w:rsid w:val="00AC56CF"/>
    <w:rsid w:val="00AC67CC"/>
    <w:rsid w:val="00AC6E9B"/>
    <w:rsid w:val="00AC7625"/>
    <w:rsid w:val="00AD2438"/>
    <w:rsid w:val="00AD2657"/>
    <w:rsid w:val="00AD48FC"/>
    <w:rsid w:val="00AD5347"/>
    <w:rsid w:val="00AD68BA"/>
    <w:rsid w:val="00AD6C39"/>
    <w:rsid w:val="00AD6F73"/>
    <w:rsid w:val="00AD7F34"/>
    <w:rsid w:val="00AE004C"/>
    <w:rsid w:val="00AE0272"/>
    <w:rsid w:val="00AE14CF"/>
    <w:rsid w:val="00AE2371"/>
    <w:rsid w:val="00AE23E1"/>
    <w:rsid w:val="00AE312C"/>
    <w:rsid w:val="00AE316F"/>
    <w:rsid w:val="00AE4992"/>
    <w:rsid w:val="00AE68D8"/>
    <w:rsid w:val="00AE6A5B"/>
    <w:rsid w:val="00AE7B1C"/>
    <w:rsid w:val="00AE7F59"/>
    <w:rsid w:val="00AF0B56"/>
    <w:rsid w:val="00AF1038"/>
    <w:rsid w:val="00AF1B9E"/>
    <w:rsid w:val="00AF4E9D"/>
    <w:rsid w:val="00AF60C2"/>
    <w:rsid w:val="00AF79B1"/>
    <w:rsid w:val="00B00331"/>
    <w:rsid w:val="00B013F0"/>
    <w:rsid w:val="00B02052"/>
    <w:rsid w:val="00B02AD9"/>
    <w:rsid w:val="00B0499B"/>
    <w:rsid w:val="00B0542E"/>
    <w:rsid w:val="00B12185"/>
    <w:rsid w:val="00B1221B"/>
    <w:rsid w:val="00B14800"/>
    <w:rsid w:val="00B20896"/>
    <w:rsid w:val="00B22616"/>
    <w:rsid w:val="00B23DB3"/>
    <w:rsid w:val="00B302F8"/>
    <w:rsid w:val="00B30C4D"/>
    <w:rsid w:val="00B30D4C"/>
    <w:rsid w:val="00B33A6E"/>
    <w:rsid w:val="00B34B2B"/>
    <w:rsid w:val="00B35773"/>
    <w:rsid w:val="00B35A27"/>
    <w:rsid w:val="00B369B5"/>
    <w:rsid w:val="00B36FF6"/>
    <w:rsid w:val="00B375CD"/>
    <w:rsid w:val="00B4073B"/>
    <w:rsid w:val="00B40BB9"/>
    <w:rsid w:val="00B43B1B"/>
    <w:rsid w:val="00B43F13"/>
    <w:rsid w:val="00B441CC"/>
    <w:rsid w:val="00B456FA"/>
    <w:rsid w:val="00B473E6"/>
    <w:rsid w:val="00B52E08"/>
    <w:rsid w:val="00B558BA"/>
    <w:rsid w:val="00B6125C"/>
    <w:rsid w:val="00B6378E"/>
    <w:rsid w:val="00B64598"/>
    <w:rsid w:val="00B645CA"/>
    <w:rsid w:val="00B657BC"/>
    <w:rsid w:val="00B65BB0"/>
    <w:rsid w:val="00B735A1"/>
    <w:rsid w:val="00B760C4"/>
    <w:rsid w:val="00B76C47"/>
    <w:rsid w:val="00B8144B"/>
    <w:rsid w:val="00B815A2"/>
    <w:rsid w:val="00B8194B"/>
    <w:rsid w:val="00B83395"/>
    <w:rsid w:val="00B84902"/>
    <w:rsid w:val="00B867C5"/>
    <w:rsid w:val="00B86E02"/>
    <w:rsid w:val="00B9098A"/>
    <w:rsid w:val="00B90AA1"/>
    <w:rsid w:val="00B914F1"/>
    <w:rsid w:val="00B91CA3"/>
    <w:rsid w:val="00B922F4"/>
    <w:rsid w:val="00B92A6D"/>
    <w:rsid w:val="00B92EB4"/>
    <w:rsid w:val="00B954E1"/>
    <w:rsid w:val="00B95971"/>
    <w:rsid w:val="00B973F0"/>
    <w:rsid w:val="00B97422"/>
    <w:rsid w:val="00B97695"/>
    <w:rsid w:val="00BA0F98"/>
    <w:rsid w:val="00BA106C"/>
    <w:rsid w:val="00BA2CF5"/>
    <w:rsid w:val="00BA2EBE"/>
    <w:rsid w:val="00BA4822"/>
    <w:rsid w:val="00BA5683"/>
    <w:rsid w:val="00BA5CD9"/>
    <w:rsid w:val="00BA7A96"/>
    <w:rsid w:val="00BB1896"/>
    <w:rsid w:val="00BB3E31"/>
    <w:rsid w:val="00BB5257"/>
    <w:rsid w:val="00BB6B3D"/>
    <w:rsid w:val="00BC1AE7"/>
    <w:rsid w:val="00BC1FC1"/>
    <w:rsid w:val="00BC51FA"/>
    <w:rsid w:val="00BC5FC3"/>
    <w:rsid w:val="00BC737B"/>
    <w:rsid w:val="00BD3617"/>
    <w:rsid w:val="00BD3D40"/>
    <w:rsid w:val="00BD5373"/>
    <w:rsid w:val="00BD6288"/>
    <w:rsid w:val="00BD7D1E"/>
    <w:rsid w:val="00BE3944"/>
    <w:rsid w:val="00BE4FAF"/>
    <w:rsid w:val="00BE6DD3"/>
    <w:rsid w:val="00BE7239"/>
    <w:rsid w:val="00BF1772"/>
    <w:rsid w:val="00BF18FE"/>
    <w:rsid w:val="00BF1F25"/>
    <w:rsid w:val="00BF2F57"/>
    <w:rsid w:val="00BF3917"/>
    <w:rsid w:val="00BF477D"/>
    <w:rsid w:val="00BF4D32"/>
    <w:rsid w:val="00BF5BCB"/>
    <w:rsid w:val="00BF76ED"/>
    <w:rsid w:val="00C01119"/>
    <w:rsid w:val="00C0138D"/>
    <w:rsid w:val="00C043D0"/>
    <w:rsid w:val="00C0441D"/>
    <w:rsid w:val="00C051C1"/>
    <w:rsid w:val="00C07D89"/>
    <w:rsid w:val="00C1189D"/>
    <w:rsid w:val="00C11EFD"/>
    <w:rsid w:val="00C127F1"/>
    <w:rsid w:val="00C153B9"/>
    <w:rsid w:val="00C15601"/>
    <w:rsid w:val="00C159E1"/>
    <w:rsid w:val="00C1739F"/>
    <w:rsid w:val="00C21B5A"/>
    <w:rsid w:val="00C236CA"/>
    <w:rsid w:val="00C23ED2"/>
    <w:rsid w:val="00C30336"/>
    <w:rsid w:val="00C31A2F"/>
    <w:rsid w:val="00C340D2"/>
    <w:rsid w:val="00C3573B"/>
    <w:rsid w:val="00C3604E"/>
    <w:rsid w:val="00C404F4"/>
    <w:rsid w:val="00C41675"/>
    <w:rsid w:val="00C41AF7"/>
    <w:rsid w:val="00C41B3F"/>
    <w:rsid w:val="00C43D2A"/>
    <w:rsid w:val="00C44C23"/>
    <w:rsid w:val="00C45A1B"/>
    <w:rsid w:val="00C46997"/>
    <w:rsid w:val="00C4754E"/>
    <w:rsid w:val="00C47C3D"/>
    <w:rsid w:val="00C50832"/>
    <w:rsid w:val="00C5171D"/>
    <w:rsid w:val="00C5255E"/>
    <w:rsid w:val="00C52C6C"/>
    <w:rsid w:val="00C53050"/>
    <w:rsid w:val="00C545A8"/>
    <w:rsid w:val="00C55E8F"/>
    <w:rsid w:val="00C56390"/>
    <w:rsid w:val="00C61447"/>
    <w:rsid w:val="00C617B1"/>
    <w:rsid w:val="00C67832"/>
    <w:rsid w:val="00C70EF6"/>
    <w:rsid w:val="00C713AE"/>
    <w:rsid w:val="00C718D2"/>
    <w:rsid w:val="00C71F91"/>
    <w:rsid w:val="00C75D8B"/>
    <w:rsid w:val="00C80628"/>
    <w:rsid w:val="00C80A85"/>
    <w:rsid w:val="00C80F1B"/>
    <w:rsid w:val="00C849FF"/>
    <w:rsid w:val="00C8521A"/>
    <w:rsid w:val="00C85253"/>
    <w:rsid w:val="00C90507"/>
    <w:rsid w:val="00C90D6B"/>
    <w:rsid w:val="00C91612"/>
    <w:rsid w:val="00C97764"/>
    <w:rsid w:val="00CA0543"/>
    <w:rsid w:val="00CA6825"/>
    <w:rsid w:val="00CA77C7"/>
    <w:rsid w:val="00CB1504"/>
    <w:rsid w:val="00CB2448"/>
    <w:rsid w:val="00CB396F"/>
    <w:rsid w:val="00CB75D2"/>
    <w:rsid w:val="00CC1062"/>
    <w:rsid w:val="00CC2106"/>
    <w:rsid w:val="00CC32DB"/>
    <w:rsid w:val="00CC548A"/>
    <w:rsid w:val="00CC6644"/>
    <w:rsid w:val="00CC7DEE"/>
    <w:rsid w:val="00CD5785"/>
    <w:rsid w:val="00CD7263"/>
    <w:rsid w:val="00CD7571"/>
    <w:rsid w:val="00CE16D3"/>
    <w:rsid w:val="00CE179B"/>
    <w:rsid w:val="00CE20E4"/>
    <w:rsid w:val="00CE20F5"/>
    <w:rsid w:val="00CE4AA3"/>
    <w:rsid w:val="00CE4C52"/>
    <w:rsid w:val="00CE5FF4"/>
    <w:rsid w:val="00CE6289"/>
    <w:rsid w:val="00CF10B1"/>
    <w:rsid w:val="00CF3B59"/>
    <w:rsid w:val="00CF3C6E"/>
    <w:rsid w:val="00CF4331"/>
    <w:rsid w:val="00CF78B6"/>
    <w:rsid w:val="00D00E91"/>
    <w:rsid w:val="00D01239"/>
    <w:rsid w:val="00D01302"/>
    <w:rsid w:val="00D014A1"/>
    <w:rsid w:val="00D015A6"/>
    <w:rsid w:val="00D01F7E"/>
    <w:rsid w:val="00D03730"/>
    <w:rsid w:val="00D04379"/>
    <w:rsid w:val="00D0501A"/>
    <w:rsid w:val="00D0522D"/>
    <w:rsid w:val="00D06B00"/>
    <w:rsid w:val="00D07414"/>
    <w:rsid w:val="00D07548"/>
    <w:rsid w:val="00D10330"/>
    <w:rsid w:val="00D107BD"/>
    <w:rsid w:val="00D11267"/>
    <w:rsid w:val="00D12059"/>
    <w:rsid w:val="00D1225B"/>
    <w:rsid w:val="00D15045"/>
    <w:rsid w:val="00D21445"/>
    <w:rsid w:val="00D21E6B"/>
    <w:rsid w:val="00D235AE"/>
    <w:rsid w:val="00D23C76"/>
    <w:rsid w:val="00D253E4"/>
    <w:rsid w:val="00D25D50"/>
    <w:rsid w:val="00D26490"/>
    <w:rsid w:val="00D26E12"/>
    <w:rsid w:val="00D31C00"/>
    <w:rsid w:val="00D3270D"/>
    <w:rsid w:val="00D32CD4"/>
    <w:rsid w:val="00D33EFC"/>
    <w:rsid w:val="00D3411D"/>
    <w:rsid w:val="00D34C35"/>
    <w:rsid w:val="00D34C91"/>
    <w:rsid w:val="00D352A1"/>
    <w:rsid w:val="00D3583E"/>
    <w:rsid w:val="00D36E61"/>
    <w:rsid w:val="00D3785F"/>
    <w:rsid w:val="00D3799E"/>
    <w:rsid w:val="00D40553"/>
    <w:rsid w:val="00D414F2"/>
    <w:rsid w:val="00D4268C"/>
    <w:rsid w:val="00D428A2"/>
    <w:rsid w:val="00D443DC"/>
    <w:rsid w:val="00D45BEF"/>
    <w:rsid w:val="00D47A42"/>
    <w:rsid w:val="00D50282"/>
    <w:rsid w:val="00D52083"/>
    <w:rsid w:val="00D52784"/>
    <w:rsid w:val="00D52AE4"/>
    <w:rsid w:val="00D553E7"/>
    <w:rsid w:val="00D615A8"/>
    <w:rsid w:val="00D622A4"/>
    <w:rsid w:val="00D64628"/>
    <w:rsid w:val="00D66AA5"/>
    <w:rsid w:val="00D71919"/>
    <w:rsid w:val="00D74058"/>
    <w:rsid w:val="00D805B0"/>
    <w:rsid w:val="00D832DF"/>
    <w:rsid w:val="00D83621"/>
    <w:rsid w:val="00D84CBD"/>
    <w:rsid w:val="00D85A65"/>
    <w:rsid w:val="00D85D3C"/>
    <w:rsid w:val="00D87FC4"/>
    <w:rsid w:val="00D91E34"/>
    <w:rsid w:val="00D9347E"/>
    <w:rsid w:val="00D93B1D"/>
    <w:rsid w:val="00D94D2F"/>
    <w:rsid w:val="00D9595F"/>
    <w:rsid w:val="00D96AB6"/>
    <w:rsid w:val="00D96D97"/>
    <w:rsid w:val="00D9764F"/>
    <w:rsid w:val="00D97892"/>
    <w:rsid w:val="00D979AE"/>
    <w:rsid w:val="00D97A4C"/>
    <w:rsid w:val="00DA0C69"/>
    <w:rsid w:val="00DA3E45"/>
    <w:rsid w:val="00DA7DF1"/>
    <w:rsid w:val="00DB13AF"/>
    <w:rsid w:val="00DB1D33"/>
    <w:rsid w:val="00DB3B6A"/>
    <w:rsid w:val="00DB5032"/>
    <w:rsid w:val="00DB5754"/>
    <w:rsid w:val="00DB59A6"/>
    <w:rsid w:val="00DB5FA8"/>
    <w:rsid w:val="00DB631D"/>
    <w:rsid w:val="00DB6523"/>
    <w:rsid w:val="00DC1005"/>
    <w:rsid w:val="00DC267D"/>
    <w:rsid w:val="00DC293D"/>
    <w:rsid w:val="00DC31FE"/>
    <w:rsid w:val="00DC33C5"/>
    <w:rsid w:val="00DC55EB"/>
    <w:rsid w:val="00DC5C08"/>
    <w:rsid w:val="00DC62E1"/>
    <w:rsid w:val="00DC66E5"/>
    <w:rsid w:val="00DC6C19"/>
    <w:rsid w:val="00DC74F8"/>
    <w:rsid w:val="00DD010E"/>
    <w:rsid w:val="00DD1777"/>
    <w:rsid w:val="00DD1915"/>
    <w:rsid w:val="00DD21C1"/>
    <w:rsid w:val="00DD4683"/>
    <w:rsid w:val="00DD46E4"/>
    <w:rsid w:val="00DD753C"/>
    <w:rsid w:val="00DD7D05"/>
    <w:rsid w:val="00DE3B72"/>
    <w:rsid w:val="00DE3CAB"/>
    <w:rsid w:val="00DE47AD"/>
    <w:rsid w:val="00DE4A6D"/>
    <w:rsid w:val="00DE4BE4"/>
    <w:rsid w:val="00DE5CC7"/>
    <w:rsid w:val="00DE7878"/>
    <w:rsid w:val="00DF07A2"/>
    <w:rsid w:val="00DF0C16"/>
    <w:rsid w:val="00DF2A21"/>
    <w:rsid w:val="00DF4ACA"/>
    <w:rsid w:val="00DF4B0C"/>
    <w:rsid w:val="00DF5799"/>
    <w:rsid w:val="00DF65E0"/>
    <w:rsid w:val="00DF723F"/>
    <w:rsid w:val="00DF7285"/>
    <w:rsid w:val="00E00607"/>
    <w:rsid w:val="00E02BD6"/>
    <w:rsid w:val="00E0345C"/>
    <w:rsid w:val="00E0401A"/>
    <w:rsid w:val="00E04575"/>
    <w:rsid w:val="00E04B70"/>
    <w:rsid w:val="00E04D51"/>
    <w:rsid w:val="00E05C45"/>
    <w:rsid w:val="00E0624C"/>
    <w:rsid w:val="00E103C6"/>
    <w:rsid w:val="00E10ACF"/>
    <w:rsid w:val="00E1245E"/>
    <w:rsid w:val="00E12920"/>
    <w:rsid w:val="00E17518"/>
    <w:rsid w:val="00E1763D"/>
    <w:rsid w:val="00E20776"/>
    <w:rsid w:val="00E20887"/>
    <w:rsid w:val="00E21C71"/>
    <w:rsid w:val="00E22AB0"/>
    <w:rsid w:val="00E27710"/>
    <w:rsid w:val="00E30398"/>
    <w:rsid w:val="00E31AB6"/>
    <w:rsid w:val="00E32375"/>
    <w:rsid w:val="00E32B8B"/>
    <w:rsid w:val="00E37F5B"/>
    <w:rsid w:val="00E421BE"/>
    <w:rsid w:val="00E42F3B"/>
    <w:rsid w:val="00E4375A"/>
    <w:rsid w:val="00E43CC7"/>
    <w:rsid w:val="00E466A2"/>
    <w:rsid w:val="00E5451F"/>
    <w:rsid w:val="00E559D2"/>
    <w:rsid w:val="00E571D9"/>
    <w:rsid w:val="00E62157"/>
    <w:rsid w:val="00E66338"/>
    <w:rsid w:val="00E66377"/>
    <w:rsid w:val="00E710F6"/>
    <w:rsid w:val="00E71BA7"/>
    <w:rsid w:val="00E72F93"/>
    <w:rsid w:val="00E75737"/>
    <w:rsid w:val="00E77775"/>
    <w:rsid w:val="00E80164"/>
    <w:rsid w:val="00E83023"/>
    <w:rsid w:val="00E85953"/>
    <w:rsid w:val="00E85BA9"/>
    <w:rsid w:val="00E86C9B"/>
    <w:rsid w:val="00E87185"/>
    <w:rsid w:val="00E9139E"/>
    <w:rsid w:val="00E914D3"/>
    <w:rsid w:val="00E9218E"/>
    <w:rsid w:val="00E93265"/>
    <w:rsid w:val="00E97BD1"/>
    <w:rsid w:val="00EA0586"/>
    <w:rsid w:val="00EA09AD"/>
    <w:rsid w:val="00EA1277"/>
    <w:rsid w:val="00EA3136"/>
    <w:rsid w:val="00EA66E2"/>
    <w:rsid w:val="00EA6F5D"/>
    <w:rsid w:val="00EA715E"/>
    <w:rsid w:val="00EB03E2"/>
    <w:rsid w:val="00EB0E2F"/>
    <w:rsid w:val="00EB113E"/>
    <w:rsid w:val="00EB197A"/>
    <w:rsid w:val="00EB2FB1"/>
    <w:rsid w:val="00EB4154"/>
    <w:rsid w:val="00EB4762"/>
    <w:rsid w:val="00EB5565"/>
    <w:rsid w:val="00EB6612"/>
    <w:rsid w:val="00EB6D0C"/>
    <w:rsid w:val="00EC254D"/>
    <w:rsid w:val="00EC426B"/>
    <w:rsid w:val="00EC4948"/>
    <w:rsid w:val="00EC4ED3"/>
    <w:rsid w:val="00EC5771"/>
    <w:rsid w:val="00ED0789"/>
    <w:rsid w:val="00ED42B6"/>
    <w:rsid w:val="00ED4E49"/>
    <w:rsid w:val="00ED633E"/>
    <w:rsid w:val="00ED6A25"/>
    <w:rsid w:val="00ED7A99"/>
    <w:rsid w:val="00EE1BD0"/>
    <w:rsid w:val="00EE43FE"/>
    <w:rsid w:val="00EE4688"/>
    <w:rsid w:val="00EE47D3"/>
    <w:rsid w:val="00EE5AED"/>
    <w:rsid w:val="00EE7586"/>
    <w:rsid w:val="00EF0DBD"/>
    <w:rsid w:val="00EF0E64"/>
    <w:rsid w:val="00EF1359"/>
    <w:rsid w:val="00EF4274"/>
    <w:rsid w:val="00EF48CE"/>
    <w:rsid w:val="00EF651B"/>
    <w:rsid w:val="00F01109"/>
    <w:rsid w:val="00F018AA"/>
    <w:rsid w:val="00F023E0"/>
    <w:rsid w:val="00F02BF5"/>
    <w:rsid w:val="00F05A8C"/>
    <w:rsid w:val="00F0717B"/>
    <w:rsid w:val="00F11FA8"/>
    <w:rsid w:val="00F15111"/>
    <w:rsid w:val="00F16842"/>
    <w:rsid w:val="00F17852"/>
    <w:rsid w:val="00F22C4E"/>
    <w:rsid w:val="00F25D4F"/>
    <w:rsid w:val="00F25EEE"/>
    <w:rsid w:val="00F26045"/>
    <w:rsid w:val="00F26454"/>
    <w:rsid w:val="00F27329"/>
    <w:rsid w:val="00F30B6F"/>
    <w:rsid w:val="00F349AF"/>
    <w:rsid w:val="00F36520"/>
    <w:rsid w:val="00F37574"/>
    <w:rsid w:val="00F42267"/>
    <w:rsid w:val="00F422CC"/>
    <w:rsid w:val="00F50488"/>
    <w:rsid w:val="00F50ADD"/>
    <w:rsid w:val="00F50CF2"/>
    <w:rsid w:val="00F54118"/>
    <w:rsid w:val="00F542C8"/>
    <w:rsid w:val="00F5512A"/>
    <w:rsid w:val="00F55425"/>
    <w:rsid w:val="00F566AC"/>
    <w:rsid w:val="00F56E68"/>
    <w:rsid w:val="00F57F82"/>
    <w:rsid w:val="00F60E2F"/>
    <w:rsid w:val="00F60F9B"/>
    <w:rsid w:val="00F6130D"/>
    <w:rsid w:val="00F614AF"/>
    <w:rsid w:val="00F6358F"/>
    <w:rsid w:val="00F65BC4"/>
    <w:rsid w:val="00F65C69"/>
    <w:rsid w:val="00F66AAB"/>
    <w:rsid w:val="00F7011F"/>
    <w:rsid w:val="00F70494"/>
    <w:rsid w:val="00F71655"/>
    <w:rsid w:val="00F71E43"/>
    <w:rsid w:val="00F75FD1"/>
    <w:rsid w:val="00F76535"/>
    <w:rsid w:val="00F8045D"/>
    <w:rsid w:val="00F804A0"/>
    <w:rsid w:val="00F819FE"/>
    <w:rsid w:val="00F8255F"/>
    <w:rsid w:val="00F82A79"/>
    <w:rsid w:val="00F82DF7"/>
    <w:rsid w:val="00F8597A"/>
    <w:rsid w:val="00F87014"/>
    <w:rsid w:val="00F877BF"/>
    <w:rsid w:val="00F9368B"/>
    <w:rsid w:val="00F93CD7"/>
    <w:rsid w:val="00F969BF"/>
    <w:rsid w:val="00F972C6"/>
    <w:rsid w:val="00FA11D5"/>
    <w:rsid w:val="00FA3343"/>
    <w:rsid w:val="00FA3B2C"/>
    <w:rsid w:val="00FA5CDA"/>
    <w:rsid w:val="00FA7487"/>
    <w:rsid w:val="00FA749E"/>
    <w:rsid w:val="00FA78E0"/>
    <w:rsid w:val="00FA7D05"/>
    <w:rsid w:val="00FB0350"/>
    <w:rsid w:val="00FB0550"/>
    <w:rsid w:val="00FB0962"/>
    <w:rsid w:val="00FB0B75"/>
    <w:rsid w:val="00FB0BE8"/>
    <w:rsid w:val="00FB16AC"/>
    <w:rsid w:val="00FB2035"/>
    <w:rsid w:val="00FB3D4E"/>
    <w:rsid w:val="00FB43BF"/>
    <w:rsid w:val="00FB4FF2"/>
    <w:rsid w:val="00FB5CBC"/>
    <w:rsid w:val="00FB78E3"/>
    <w:rsid w:val="00FB7A03"/>
    <w:rsid w:val="00FB7DA5"/>
    <w:rsid w:val="00FC0315"/>
    <w:rsid w:val="00FC2D40"/>
    <w:rsid w:val="00FC312B"/>
    <w:rsid w:val="00FD0A7A"/>
    <w:rsid w:val="00FD0ED7"/>
    <w:rsid w:val="00FD1591"/>
    <w:rsid w:val="00FD67D6"/>
    <w:rsid w:val="00FE056C"/>
    <w:rsid w:val="00FE05A0"/>
    <w:rsid w:val="00FE1267"/>
    <w:rsid w:val="00FE430C"/>
    <w:rsid w:val="00FE53A8"/>
    <w:rsid w:val="00FE5B05"/>
    <w:rsid w:val="00FE619A"/>
    <w:rsid w:val="00FE7953"/>
    <w:rsid w:val="00FF0480"/>
    <w:rsid w:val="00FF0576"/>
    <w:rsid w:val="00FF1B18"/>
    <w:rsid w:val="00FF2898"/>
    <w:rsid w:val="00FF29D2"/>
    <w:rsid w:val="00FF2B18"/>
    <w:rsid w:val="00FF2C10"/>
    <w:rsid w:val="00FF3B6C"/>
    <w:rsid w:val="00FF40AB"/>
    <w:rsid w:val="00FF5CD1"/>
    <w:rsid w:val="00FF6E1D"/>
    <w:rsid w:val="00FF73F3"/>
    <w:rsid w:val="00FF7964"/>
    <w:rsid w:val="00FF7D1F"/>
    <w:rsid w:val="010B09AC"/>
    <w:rsid w:val="0285377D"/>
    <w:rsid w:val="02CA4C2C"/>
    <w:rsid w:val="034145AB"/>
    <w:rsid w:val="03B7298A"/>
    <w:rsid w:val="04784101"/>
    <w:rsid w:val="068F68CB"/>
    <w:rsid w:val="071874D5"/>
    <w:rsid w:val="08C2594B"/>
    <w:rsid w:val="08DF69B6"/>
    <w:rsid w:val="09996A86"/>
    <w:rsid w:val="09AA4D5C"/>
    <w:rsid w:val="0AA87E9C"/>
    <w:rsid w:val="0AB47515"/>
    <w:rsid w:val="0ACF3219"/>
    <w:rsid w:val="0BB7585C"/>
    <w:rsid w:val="1070618C"/>
    <w:rsid w:val="10DD535B"/>
    <w:rsid w:val="10F42D61"/>
    <w:rsid w:val="13300101"/>
    <w:rsid w:val="15E83826"/>
    <w:rsid w:val="17081314"/>
    <w:rsid w:val="17EE2C11"/>
    <w:rsid w:val="1937518F"/>
    <w:rsid w:val="193C2AFE"/>
    <w:rsid w:val="1A5C36F8"/>
    <w:rsid w:val="1B9609F5"/>
    <w:rsid w:val="1C794862"/>
    <w:rsid w:val="1CF914BF"/>
    <w:rsid w:val="1D201B24"/>
    <w:rsid w:val="1D4B1088"/>
    <w:rsid w:val="1DCA3975"/>
    <w:rsid w:val="1E1E141D"/>
    <w:rsid w:val="1F243F0B"/>
    <w:rsid w:val="20921ADC"/>
    <w:rsid w:val="21292B26"/>
    <w:rsid w:val="21604585"/>
    <w:rsid w:val="22B967CD"/>
    <w:rsid w:val="23D15D1D"/>
    <w:rsid w:val="255C1030"/>
    <w:rsid w:val="2686003C"/>
    <w:rsid w:val="27223D2C"/>
    <w:rsid w:val="283D41AC"/>
    <w:rsid w:val="287042EB"/>
    <w:rsid w:val="288054FB"/>
    <w:rsid w:val="2AA93E47"/>
    <w:rsid w:val="2B7A2D23"/>
    <w:rsid w:val="2E4610C5"/>
    <w:rsid w:val="302820F2"/>
    <w:rsid w:val="3062519A"/>
    <w:rsid w:val="311C0C4E"/>
    <w:rsid w:val="314E2F68"/>
    <w:rsid w:val="322167EE"/>
    <w:rsid w:val="32361029"/>
    <w:rsid w:val="327F5362"/>
    <w:rsid w:val="32CB5278"/>
    <w:rsid w:val="33F97BC3"/>
    <w:rsid w:val="369D517D"/>
    <w:rsid w:val="37B835EC"/>
    <w:rsid w:val="39C56C7E"/>
    <w:rsid w:val="39EF5CE5"/>
    <w:rsid w:val="3A706705"/>
    <w:rsid w:val="3ACE2EB5"/>
    <w:rsid w:val="3B0C4680"/>
    <w:rsid w:val="3DB90439"/>
    <w:rsid w:val="408179DA"/>
    <w:rsid w:val="41B873F1"/>
    <w:rsid w:val="4258464E"/>
    <w:rsid w:val="42975177"/>
    <w:rsid w:val="42A33B1C"/>
    <w:rsid w:val="43853221"/>
    <w:rsid w:val="455B20EB"/>
    <w:rsid w:val="45E768BF"/>
    <w:rsid w:val="471D19C3"/>
    <w:rsid w:val="477B5D50"/>
    <w:rsid w:val="4CEC141F"/>
    <w:rsid w:val="4DF400B5"/>
    <w:rsid w:val="4F8971DE"/>
    <w:rsid w:val="4F8B1349"/>
    <w:rsid w:val="5138611D"/>
    <w:rsid w:val="526F44F1"/>
    <w:rsid w:val="56044479"/>
    <w:rsid w:val="57805D82"/>
    <w:rsid w:val="5A8E693B"/>
    <w:rsid w:val="5C7B745F"/>
    <w:rsid w:val="5CC90DBE"/>
    <w:rsid w:val="5E2E4B25"/>
    <w:rsid w:val="5E776BAE"/>
    <w:rsid w:val="5F144FEA"/>
    <w:rsid w:val="5FDE3F8D"/>
    <w:rsid w:val="60F871FD"/>
    <w:rsid w:val="616A63F5"/>
    <w:rsid w:val="63E92556"/>
    <w:rsid w:val="650A680C"/>
    <w:rsid w:val="65583F21"/>
    <w:rsid w:val="668374E2"/>
    <w:rsid w:val="67346BF5"/>
    <w:rsid w:val="68322F3A"/>
    <w:rsid w:val="698A4318"/>
    <w:rsid w:val="6AE0610B"/>
    <w:rsid w:val="6B2303F3"/>
    <w:rsid w:val="6C075CA6"/>
    <w:rsid w:val="6C985AA7"/>
    <w:rsid w:val="6F343288"/>
    <w:rsid w:val="7053007F"/>
    <w:rsid w:val="70B83F7E"/>
    <w:rsid w:val="714526BB"/>
    <w:rsid w:val="715F4802"/>
    <w:rsid w:val="71F211B6"/>
    <w:rsid w:val="74D73760"/>
    <w:rsid w:val="74ED1053"/>
    <w:rsid w:val="764A66E1"/>
    <w:rsid w:val="767B47AC"/>
    <w:rsid w:val="76934DA8"/>
    <w:rsid w:val="769C4801"/>
    <w:rsid w:val="77F41B10"/>
    <w:rsid w:val="799A6D1F"/>
    <w:rsid w:val="7A0B380B"/>
    <w:rsid w:val="7A1E525A"/>
    <w:rsid w:val="7B8F3F36"/>
    <w:rsid w:val="7BB80527"/>
    <w:rsid w:val="7D667D68"/>
    <w:rsid w:val="7EC75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737AF"/>
  <w15:docId w15:val="{15180C2D-C317-4969-83D2-4E3B2361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eastAsia="仿宋_GB2312"/>
      <w:kern w:val="2"/>
      <w:sz w:val="30"/>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qFormat/>
    <w:pPr>
      <w:keepNext/>
      <w:keepLines/>
      <w:spacing w:before="260" w:after="260" w:line="416" w:lineRule="auto"/>
      <w:outlineLvl w:val="2"/>
    </w:pPr>
    <w:rPr>
      <w:b/>
      <w:bCs/>
      <w:sz w:val="32"/>
      <w:szCs w:val="32"/>
    </w:rPr>
  </w:style>
  <w:style w:type="paragraph" w:styleId="4">
    <w:name w:val="heading 4"/>
    <w:basedOn w:val="a0"/>
    <w:next w:val="a0"/>
    <w:qFormat/>
    <w:pPr>
      <w:keepNext/>
      <w:keepLines/>
      <w:spacing w:before="280" w:after="290" w:line="376" w:lineRule="auto"/>
      <w:outlineLvl w:val="3"/>
    </w:pPr>
    <w:rPr>
      <w:rFonts w:ascii="Arial" w:eastAsia="黑体" w:hAnsi="Arial"/>
      <w:b/>
      <w:bCs/>
      <w:sz w:val="28"/>
      <w:szCs w:val="28"/>
    </w:rPr>
  </w:style>
  <w:style w:type="paragraph" w:styleId="5">
    <w:name w:val="heading 5"/>
    <w:basedOn w:val="a0"/>
    <w:next w:val="a0"/>
    <w:qFormat/>
    <w:pPr>
      <w:keepNext/>
      <w:keepLines/>
      <w:spacing w:before="280" w:after="290" w:line="376" w:lineRule="auto"/>
      <w:outlineLvl w:val="4"/>
    </w:pPr>
    <w:rPr>
      <w:rFonts w:eastAsia="宋体"/>
      <w:b/>
      <w:bCs/>
      <w:sz w:val="28"/>
      <w:szCs w:val="28"/>
    </w:rPr>
  </w:style>
  <w:style w:type="paragraph" w:styleId="6">
    <w:name w:val="heading 6"/>
    <w:basedOn w:val="a0"/>
    <w:next w:val="a0"/>
    <w:qFormat/>
    <w:pPr>
      <w:keepNext/>
      <w:keepLines/>
      <w:spacing w:before="240" w:after="64" w:line="320" w:lineRule="auto"/>
      <w:outlineLvl w:val="5"/>
    </w:pPr>
    <w:rPr>
      <w:rFonts w:ascii="Arial" w:eastAsia="黑体" w:hAnsi="Arial"/>
      <w:b/>
      <w:bCs/>
      <w:sz w:val="24"/>
    </w:rPr>
  </w:style>
  <w:style w:type="paragraph" w:styleId="7">
    <w:name w:val="heading 7"/>
    <w:basedOn w:val="a0"/>
    <w:next w:val="a0"/>
    <w:qFormat/>
    <w:pPr>
      <w:keepNext/>
      <w:keepLines/>
      <w:spacing w:before="240" w:after="64" w:line="320" w:lineRule="auto"/>
      <w:outlineLvl w:val="6"/>
    </w:pPr>
    <w:rPr>
      <w:rFonts w:eastAsia="宋体"/>
      <w:b/>
      <w:bCs/>
      <w:sz w:val="24"/>
    </w:rPr>
  </w:style>
  <w:style w:type="paragraph" w:styleId="8">
    <w:name w:val="heading 8"/>
    <w:basedOn w:val="a0"/>
    <w:next w:val="a0"/>
    <w:qFormat/>
    <w:pPr>
      <w:keepNext/>
      <w:keepLines/>
      <w:spacing w:before="240" w:after="64" w:line="320" w:lineRule="auto"/>
      <w:outlineLvl w:val="7"/>
    </w:pPr>
    <w:rPr>
      <w:rFonts w:ascii="Arial" w:eastAsia="黑体" w:hAnsi="Arial"/>
      <w:sz w:val="24"/>
    </w:rPr>
  </w:style>
  <w:style w:type="paragraph" w:styleId="9">
    <w:name w:val="heading 9"/>
    <w:basedOn w:val="a0"/>
    <w:next w:val="a0"/>
    <w:qFormat/>
    <w:pPr>
      <w:keepNext/>
      <w:keepLines/>
      <w:spacing w:before="240" w:after="64" w:line="320" w:lineRule="auto"/>
      <w:outlineLvl w:val="8"/>
    </w:pPr>
    <w:rPr>
      <w:rFonts w:ascii="Arial" w:eastAsia="黑体" w:hAnsi="Arial"/>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qFormat/>
    <w:pPr>
      <w:ind w:firstLine="420"/>
    </w:pPr>
    <w:rPr>
      <w:rFonts w:eastAsia="宋体"/>
      <w:sz w:val="21"/>
      <w:szCs w:val="20"/>
    </w:rPr>
  </w:style>
  <w:style w:type="paragraph" w:styleId="a5">
    <w:name w:val="Document Map"/>
    <w:basedOn w:val="a0"/>
    <w:semiHidden/>
    <w:qFormat/>
    <w:pPr>
      <w:shd w:val="clear" w:color="auto" w:fill="000080"/>
    </w:pPr>
  </w:style>
  <w:style w:type="paragraph" w:styleId="a6">
    <w:name w:val="annotation text"/>
    <w:basedOn w:val="a0"/>
    <w:link w:val="11"/>
    <w:qFormat/>
    <w:pPr>
      <w:jc w:val="left"/>
    </w:pPr>
    <w:rPr>
      <w:lang w:val="zh-CN"/>
    </w:rPr>
  </w:style>
  <w:style w:type="paragraph" w:styleId="a">
    <w:name w:val="Body Text"/>
    <w:basedOn w:val="a0"/>
    <w:qFormat/>
    <w:pPr>
      <w:numPr>
        <w:numId w:val="1"/>
      </w:numPr>
      <w:spacing w:after="120"/>
    </w:pPr>
    <w:rPr>
      <w:rFonts w:ascii="Calibri" w:eastAsia="宋体" w:hAnsi="Calibri"/>
      <w:sz w:val="21"/>
      <w:szCs w:val="22"/>
    </w:rPr>
  </w:style>
  <w:style w:type="paragraph" w:styleId="a7">
    <w:name w:val="Body Text Indent"/>
    <w:basedOn w:val="a0"/>
    <w:qFormat/>
    <w:pPr>
      <w:spacing w:after="120"/>
      <w:ind w:leftChars="200" w:left="420"/>
    </w:pPr>
  </w:style>
  <w:style w:type="paragraph" w:styleId="20">
    <w:name w:val="Body Text Indent 2"/>
    <w:basedOn w:val="a0"/>
    <w:link w:val="21"/>
    <w:qFormat/>
    <w:pPr>
      <w:spacing w:after="120" w:line="480" w:lineRule="auto"/>
      <w:ind w:leftChars="200" w:left="420"/>
    </w:pPr>
    <w:rPr>
      <w:rFonts w:eastAsia="宋体"/>
      <w:sz w:val="21"/>
    </w:rPr>
  </w:style>
  <w:style w:type="paragraph" w:styleId="a8">
    <w:name w:val="Balloon Text"/>
    <w:basedOn w:val="a0"/>
    <w:semiHidden/>
    <w:qFormat/>
    <w:rPr>
      <w:sz w:val="18"/>
      <w:szCs w:val="18"/>
    </w:rPr>
  </w:style>
  <w:style w:type="paragraph" w:styleId="a9">
    <w:name w:val="footer"/>
    <w:basedOn w:val="a0"/>
    <w:link w:val="12"/>
    <w:uiPriority w:val="99"/>
    <w:unhideWhenUsed/>
    <w:qFormat/>
    <w:pPr>
      <w:tabs>
        <w:tab w:val="center" w:pos="4153"/>
        <w:tab w:val="right" w:pos="8306"/>
      </w:tabs>
      <w:snapToGrid w:val="0"/>
      <w:jc w:val="left"/>
    </w:pPr>
    <w:rPr>
      <w:rFonts w:eastAsia="宋体"/>
      <w:kern w:val="0"/>
      <w:sz w:val="18"/>
      <w:szCs w:val="18"/>
      <w:lang w:val="zh-CN"/>
    </w:rPr>
  </w:style>
  <w:style w:type="paragraph" w:styleId="aa">
    <w:name w:val="header"/>
    <w:basedOn w:val="a0"/>
    <w:link w:val="ab"/>
    <w:uiPriority w:val="99"/>
    <w:qFormat/>
    <w:pPr>
      <w:pBdr>
        <w:bottom w:val="single" w:sz="6" w:space="1" w:color="auto"/>
      </w:pBdr>
      <w:tabs>
        <w:tab w:val="center" w:pos="4153"/>
        <w:tab w:val="right" w:pos="8306"/>
      </w:tabs>
      <w:snapToGrid w:val="0"/>
      <w:jc w:val="center"/>
    </w:pPr>
    <w:rPr>
      <w:sz w:val="18"/>
      <w:szCs w:val="18"/>
      <w:lang w:val="zh-CN"/>
    </w:rPr>
  </w:style>
  <w:style w:type="paragraph" w:styleId="13">
    <w:name w:val="toc 1"/>
    <w:basedOn w:val="a0"/>
    <w:next w:val="a0"/>
    <w:autoRedefine/>
    <w:uiPriority w:val="39"/>
    <w:qFormat/>
  </w:style>
  <w:style w:type="paragraph" w:styleId="ac">
    <w:name w:val="footnote text"/>
    <w:basedOn w:val="a0"/>
    <w:link w:val="ad"/>
    <w:qFormat/>
    <w:pPr>
      <w:snapToGrid w:val="0"/>
      <w:jc w:val="left"/>
    </w:pPr>
    <w:rPr>
      <w:rFonts w:ascii="Calibri" w:eastAsia="宋体" w:hAnsi="Calibri"/>
      <w:kern w:val="0"/>
      <w:sz w:val="18"/>
      <w:szCs w:val="20"/>
    </w:rPr>
  </w:style>
  <w:style w:type="paragraph" w:styleId="30">
    <w:name w:val="Body Text Indent 3"/>
    <w:basedOn w:val="a0"/>
    <w:qFormat/>
    <w:pPr>
      <w:spacing w:after="120"/>
      <w:ind w:leftChars="200" w:left="420"/>
    </w:pPr>
    <w:rPr>
      <w:sz w:val="16"/>
      <w:szCs w:val="16"/>
    </w:rPr>
  </w:style>
  <w:style w:type="paragraph" w:styleId="22">
    <w:name w:val="toc 2"/>
    <w:basedOn w:val="a0"/>
    <w:next w:val="a0"/>
    <w:autoRedefine/>
    <w:uiPriority w:val="39"/>
    <w:qFormat/>
    <w:pPr>
      <w:ind w:leftChars="200" w:left="420"/>
    </w:pPr>
  </w:style>
  <w:style w:type="paragraph" w:styleId="ae">
    <w:name w:val="Normal (Web)"/>
    <w:basedOn w:val="a0"/>
    <w:qFormat/>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af">
    <w:name w:val="annotation subject"/>
    <w:basedOn w:val="a6"/>
    <w:next w:val="a6"/>
    <w:semiHidden/>
    <w:qFormat/>
    <w:rPr>
      <w:b/>
      <w:bCs/>
    </w:rPr>
  </w:style>
  <w:style w:type="table" w:styleId="af0">
    <w:name w:val="Table Grid"/>
    <w:basedOn w:val="a2"/>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qFormat/>
    <w:rPr>
      <w:color w:val="0000FF"/>
      <w:u w:val="single"/>
    </w:rPr>
  </w:style>
  <w:style w:type="character" w:styleId="af2">
    <w:name w:val="annotation reference"/>
    <w:qFormat/>
    <w:rPr>
      <w:sz w:val="21"/>
      <w:szCs w:val="21"/>
    </w:rPr>
  </w:style>
  <w:style w:type="character" w:styleId="af3">
    <w:name w:val="footnote reference"/>
    <w:qFormat/>
    <w:rPr>
      <w:rFonts w:cs="Times New Roman"/>
      <w:vertAlign w:val="superscript"/>
    </w:rPr>
  </w:style>
  <w:style w:type="paragraph" w:customStyle="1" w:styleId="Char2">
    <w:name w:val="Char2"/>
    <w:basedOn w:val="a0"/>
    <w:autoRedefine/>
    <w:qFormat/>
    <w:pPr>
      <w:widowControl/>
      <w:spacing w:after="160" w:line="240" w:lineRule="exact"/>
      <w:jc w:val="left"/>
    </w:pPr>
    <w:rPr>
      <w:rFonts w:ascii="Verdana" w:hAnsi="Verdana"/>
      <w:kern w:val="0"/>
      <w:sz w:val="24"/>
      <w:szCs w:val="20"/>
      <w:lang w:eastAsia="en-US"/>
    </w:rPr>
  </w:style>
  <w:style w:type="paragraph" w:customStyle="1" w:styleId="Char1CharCharChar">
    <w:name w:val="Char1 Char Char Char"/>
    <w:basedOn w:val="a0"/>
    <w:autoRedefine/>
    <w:qFormat/>
    <w:pPr>
      <w:widowControl/>
      <w:spacing w:after="160" w:line="240" w:lineRule="exact"/>
      <w:jc w:val="left"/>
    </w:pPr>
    <w:rPr>
      <w:rFonts w:ascii="Verdana" w:hAnsi="Verdana"/>
      <w:kern w:val="0"/>
      <w:szCs w:val="30"/>
      <w:lang w:eastAsia="en-US"/>
    </w:rPr>
  </w:style>
  <w:style w:type="paragraph" w:customStyle="1" w:styleId="CharCharCharChar">
    <w:name w:val="Char Char Char Char"/>
    <w:basedOn w:val="a0"/>
    <w:autoRedefine/>
    <w:qFormat/>
    <w:pPr>
      <w:numPr>
        <w:numId w:val="2"/>
      </w:numPr>
    </w:pPr>
    <w:rPr>
      <w:rFonts w:eastAsia="宋体"/>
      <w:sz w:val="24"/>
    </w:rPr>
  </w:style>
  <w:style w:type="character" w:customStyle="1" w:styleId="21">
    <w:name w:val="正文文本缩进 2 字符"/>
    <w:link w:val="20"/>
    <w:qFormat/>
    <w:rPr>
      <w:rFonts w:eastAsia="宋体"/>
      <w:kern w:val="2"/>
      <w:sz w:val="21"/>
      <w:szCs w:val="24"/>
      <w:lang w:val="en-US" w:eastAsia="zh-CN" w:bidi="ar-SA"/>
    </w:rPr>
  </w:style>
  <w:style w:type="paragraph" w:customStyle="1" w:styleId="Char1">
    <w:name w:val="Char1"/>
    <w:basedOn w:val="a0"/>
    <w:qFormat/>
    <w:rPr>
      <w:rFonts w:ascii="宋体" w:eastAsia="宋体" w:hAnsi="宋体" w:cs="Courier New"/>
      <w:sz w:val="32"/>
      <w:szCs w:val="32"/>
    </w:rPr>
  </w:style>
  <w:style w:type="paragraph" w:customStyle="1" w:styleId="210">
    <w:name w:val="目录 21"/>
    <w:basedOn w:val="a0"/>
    <w:next w:val="a0"/>
    <w:autoRedefine/>
    <w:uiPriority w:val="39"/>
    <w:qFormat/>
    <w:pPr>
      <w:ind w:left="300"/>
      <w:jc w:val="left"/>
    </w:pPr>
    <w:rPr>
      <w:rFonts w:ascii="Calibri" w:hAnsi="Calibri" w:cs="Calibri"/>
      <w:smallCaps/>
      <w:sz w:val="20"/>
      <w:szCs w:val="20"/>
    </w:rPr>
  </w:style>
  <w:style w:type="paragraph" w:customStyle="1" w:styleId="CharCharCharCharCharCharCharCharCharCharCharChar">
    <w:name w:val="Char Char Char Char Char Char Char Char Char Char Char Char"/>
    <w:basedOn w:val="a0"/>
    <w:qFormat/>
    <w:rPr>
      <w:rFonts w:ascii="宋体" w:eastAsia="宋体" w:hAnsi="宋体" w:cs="Courier New"/>
      <w:sz w:val="32"/>
      <w:szCs w:val="32"/>
    </w:rPr>
  </w:style>
  <w:style w:type="character" w:customStyle="1" w:styleId="12">
    <w:name w:val="页脚 字符1"/>
    <w:link w:val="a9"/>
    <w:uiPriority w:val="99"/>
    <w:qFormat/>
    <w:rPr>
      <w:rFonts w:eastAsia="宋体"/>
      <w:sz w:val="18"/>
      <w:szCs w:val="18"/>
      <w:lang w:val="zh-CN" w:eastAsia="zh-CN" w:bidi="ar-SA"/>
    </w:rPr>
  </w:style>
  <w:style w:type="paragraph" w:customStyle="1" w:styleId="CharCharChar1CharCharCharChar">
    <w:name w:val="Char Char Char1 Char Char Char Char"/>
    <w:basedOn w:val="a0"/>
    <w:qFormat/>
    <w:rPr>
      <w:rFonts w:ascii="Tahoma" w:eastAsia="宋体" w:hAnsi="Tahoma"/>
      <w:sz w:val="24"/>
      <w:szCs w:val="20"/>
    </w:rPr>
  </w:style>
  <w:style w:type="paragraph" w:customStyle="1" w:styleId="Char1CharChar">
    <w:name w:val="Char1 Char Char"/>
    <w:basedOn w:val="a0"/>
    <w:autoRedefine/>
    <w:qFormat/>
    <w:pPr>
      <w:widowControl/>
      <w:spacing w:after="160" w:line="240" w:lineRule="exact"/>
      <w:jc w:val="left"/>
    </w:pPr>
    <w:rPr>
      <w:rFonts w:ascii="Verdana" w:hAnsi="Verdana"/>
      <w:kern w:val="0"/>
      <w:sz w:val="24"/>
      <w:szCs w:val="20"/>
      <w:lang w:eastAsia="en-US"/>
    </w:rPr>
  </w:style>
  <w:style w:type="character" w:customStyle="1" w:styleId="ab">
    <w:name w:val="页眉 字符"/>
    <w:link w:val="aa"/>
    <w:uiPriority w:val="99"/>
    <w:qFormat/>
    <w:rPr>
      <w:rFonts w:eastAsia="仿宋_GB2312"/>
      <w:kern w:val="2"/>
      <w:sz w:val="18"/>
      <w:szCs w:val="18"/>
    </w:rPr>
  </w:style>
  <w:style w:type="paragraph" w:customStyle="1" w:styleId="14">
    <w:name w:val="列出段落1"/>
    <w:basedOn w:val="a0"/>
    <w:uiPriority w:val="34"/>
    <w:qFormat/>
    <w:pPr>
      <w:ind w:firstLineChars="200" w:firstLine="420"/>
    </w:pPr>
  </w:style>
  <w:style w:type="character" w:customStyle="1" w:styleId="11">
    <w:name w:val="批注文字 字符1"/>
    <w:link w:val="a6"/>
    <w:qFormat/>
    <w:rPr>
      <w:rFonts w:eastAsia="仿宋_GB2312"/>
      <w:kern w:val="2"/>
      <w:sz w:val="30"/>
      <w:szCs w:val="24"/>
    </w:rPr>
  </w:style>
  <w:style w:type="paragraph" w:customStyle="1" w:styleId="15">
    <w:name w:val="修订1"/>
    <w:hidden/>
    <w:uiPriority w:val="99"/>
    <w:semiHidden/>
    <w:qFormat/>
    <w:rPr>
      <w:rFonts w:eastAsia="仿宋_GB2312"/>
      <w:kern w:val="2"/>
      <w:sz w:val="30"/>
      <w:szCs w:val="24"/>
    </w:rPr>
  </w:style>
  <w:style w:type="character" w:customStyle="1" w:styleId="1Char">
    <w:name w:val="正文1 Char"/>
    <w:link w:val="16"/>
    <w:qFormat/>
    <w:locked/>
    <w:rPr>
      <w:rFonts w:ascii="宋体" w:eastAsia="仿宋_GB2312" w:hAnsi="宋体"/>
      <w:spacing w:val="6"/>
      <w:sz w:val="24"/>
    </w:rPr>
  </w:style>
  <w:style w:type="paragraph" w:customStyle="1" w:styleId="16">
    <w:name w:val="正文1"/>
    <w:basedOn w:val="a0"/>
    <w:link w:val="1Char"/>
    <w:qFormat/>
    <w:pPr>
      <w:autoSpaceDE w:val="0"/>
      <w:autoSpaceDN w:val="0"/>
      <w:adjustRightInd w:val="0"/>
      <w:snapToGrid w:val="0"/>
      <w:spacing w:line="600" w:lineRule="exact"/>
      <w:ind w:firstLineChars="200" w:firstLine="624"/>
    </w:pPr>
    <w:rPr>
      <w:rFonts w:ascii="宋体" w:hAnsi="宋体"/>
      <w:spacing w:val="6"/>
      <w:kern w:val="0"/>
      <w:sz w:val="24"/>
      <w:szCs w:val="20"/>
    </w:rPr>
  </w:style>
  <w:style w:type="character" w:customStyle="1" w:styleId="ad">
    <w:name w:val="脚注文本 字符"/>
    <w:link w:val="ac"/>
    <w:qFormat/>
    <w:rPr>
      <w:rFonts w:ascii="Calibri" w:hAnsi="Calibri"/>
      <w:sz w:val="18"/>
    </w:rPr>
  </w:style>
  <w:style w:type="character" w:customStyle="1" w:styleId="10">
    <w:name w:val="标题 1 字符"/>
    <w:link w:val="1"/>
    <w:qFormat/>
    <w:rPr>
      <w:rFonts w:eastAsia="仿宋_GB2312"/>
      <w:b/>
      <w:bCs/>
      <w:kern w:val="44"/>
      <w:sz w:val="44"/>
      <w:szCs w:val="44"/>
    </w:rPr>
  </w:style>
  <w:style w:type="paragraph" w:customStyle="1" w:styleId="TOC1">
    <w:name w:val="TOC 标题1"/>
    <w:basedOn w:val="1"/>
    <w:next w:val="a0"/>
    <w:uiPriority w:val="39"/>
    <w:semiHidden/>
    <w:unhideWhenUsed/>
    <w:qFormat/>
    <w:pPr>
      <w:widowControl/>
      <w:spacing w:before="480" w:after="0" w:line="276" w:lineRule="auto"/>
      <w:jc w:val="left"/>
      <w:outlineLvl w:val="9"/>
    </w:pPr>
    <w:rPr>
      <w:rFonts w:ascii="Cambria" w:eastAsia="宋体" w:hAnsi="Cambria"/>
      <w:color w:val="365F91"/>
      <w:kern w:val="0"/>
      <w:sz w:val="28"/>
      <w:szCs w:val="28"/>
    </w:rPr>
  </w:style>
  <w:style w:type="paragraph" w:customStyle="1" w:styleId="110">
    <w:name w:val="目录 11"/>
    <w:basedOn w:val="a0"/>
    <w:next w:val="a0"/>
    <w:autoRedefine/>
    <w:uiPriority w:val="39"/>
    <w:unhideWhenUsed/>
    <w:qFormat/>
    <w:pPr>
      <w:spacing w:before="120" w:after="120"/>
      <w:jc w:val="left"/>
    </w:pPr>
    <w:rPr>
      <w:rFonts w:ascii="Calibri" w:hAnsi="Calibri" w:cs="Calibri"/>
      <w:b/>
      <w:bCs/>
      <w:caps/>
      <w:sz w:val="20"/>
      <w:szCs w:val="20"/>
    </w:rPr>
  </w:style>
  <w:style w:type="paragraph" w:customStyle="1" w:styleId="31">
    <w:name w:val="目录 31"/>
    <w:basedOn w:val="a0"/>
    <w:next w:val="a0"/>
    <w:autoRedefine/>
    <w:uiPriority w:val="39"/>
    <w:unhideWhenUsed/>
    <w:qFormat/>
    <w:pPr>
      <w:ind w:left="600"/>
      <w:jc w:val="left"/>
    </w:pPr>
    <w:rPr>
      <w:rFonts w:ascii="Calibri" w:hAnsi="Calibri" w:cs="Calibri"/>
      <w:i/>
      <w:iCs/>
      <w:sz w:val="20"/>
      <w:szCs w:val="20"/>
    </w:rPr>
  </w:style>
  <w:style w:type="paragraph" w:customStyle="1" w:styleId="41">
    <w:name w:val="目录 41"/>
    <w:basedOn w:val="a0"/>
    <w:next w:val="a0"/>
    <w:autoRedefine/>
    <w:qFormat/>
    <w:pPr>
      <w:ind w:left="900"/>
      <w:jc w:val="left"/>
    </w:pPr>
    <w:rPr>
      <w:rFonts w:ascii="Calibri" w:hAnsi="Calibri" w:cs="Calibri"/>
      <w:sz w:val="18"/>
      <w:szCs w:val="18"/>
    </w:rPr>
  </w:style>
  <w:style w:type="paragraph" w:customStyle="1" w:styleId="51">
    <w:name w:val="目录 51"/>
    <w:basedOn w:val="a0"/>
    <w:next w:val="a0"/>
    <w:autoRedefine/>
    <w:qFormat/>
    <w:pPr>
      <w:ind w:left="1200"/>
      <w:jc w:val="left"/>
    </w:pPr>
    <w:rPr>
      <w:rFonts w:ascii="Calibri" w:hAnsi="Calibri" w:cs="Calibri"/>
      <w:sz w:val="18"/>
      <w:szCs w:val="18"/>
    </w:rPr>
  </w:style>
  <w:style w:type="paragraph" w:customStyle="1" w:styleId="61">
    <w:name w:val="目录 61"/>
    <w:basedOn w:val="a0"/>
    <w:next w:val="a0"/>
    <w:autoRedefine/>
    <w:qFormat/>
    <w:pPr>
      <w:ind w:left="1500"/>
      <w:jc w:val="left"/>
    </w:pPr>
    <w:rPr>
      <w:rFonts w:ascii="Calibri" w:hAnsi="Calibri" w:cs="Calibri"/>
      <w:sz w:val="18"/>
      <w:szCs w:val="18"/>
    </w:rPr>
  </w:style>
  <w:style w:type="paragraph" w:customStyle="1" w:styleId="71">
    <w:name w:val="目录 71"/>
    <w:basedOn w:val="a0"/>
    <w:next w:val="a0"/>
    <w:autoRedefine/>
    <w:qFormat/>
    <w:pPr>
      <w:ind w:left="1800"/>
      <w:jc w:val="left"/>
    </w:pPr>
    <w:rPr>
      <w:rFonts w:ascii="Calibri" w:hAnsi="Calibri" w:cs="Calibri"/>
      <w:sz w:val="18"/>
      <w:szCs w:val="18"/>
    </w:rPr>
  </w:style>
  <w:style w:type="paragraph" w:customStyle="1" w:styleId="81">
    <w:name w:val="目录 81"/>
    <w:basedOn w:val="a0"/>
    <w:next w:val="a0"/>
    <w:autoRedefine/>
    <w:qFormat/>
    <w:pPr>
      <w:ind w:left="2100"/>
      <w:jc w:val="left"/>
    </w:pPr>
    <w:rPr>
      <w:rFonts w:ascii="Calibri" w:hAnsi="Calibri" w:cs="Calibri"/>
      <w:sz w:val="18"/>
      <w:szCs w:val="18"/>
    </w:rPr>
  </w:style>
  <w:style w:type="paragraph" w:customStyle="1" w:styleId="91">
    <w:name w:val="目录 91"/>
    <w:basedOn w:val="a0"/>
    <w:next w:val="a0"/>
    <w:autoRedefine/>
    <w:qFormat/>
    <w:pPr>
      <w:ind w:left="2400"/>
      <w:jc w:val="left"/>
    </w:pPr>
    <w:rPr>
      <w:rFonts w:ascii="Calibri" w:hAnsi="Calibri" w:cs="Calibri"/>
      <w:sz w:val="18"/>
      <w:szCs w:val="18"/>
    </w:rPr>
  </w:style>
  <w:style w:type="character" w:customStyle="1" w:styleId="211">
    <w:name w:val="正文文本缩进 2 字符1"/>
    <w:qFormat/>
    <w:rPr>
      <w:kern w:val="2"/>
      <w:sz w:val="21"/>
      <w:szCs w:val="24"/>
    </w:rPr>
  </w:style>
  <w:style w:type="character" w:customStyle="1" w:styleId="af4">
    <w:name w:val="批注文字 字符"/>
    <w:basedOn w:val="a1"/>
    <w:qFormat/>
  </w:style>
  <w:style w:type="character" w:customStyle="1" w:styleId="af5">
    <w:name w:val="页脚 字符"/>
    <w:basedOn w:val="a1"/>
    <w:uiPriority w:val="99"/>
    <w:qFormat/>
  </w:style>
  <w:style w:type="paragraph" w:styleId="af6">
    <w:name w:val="List Paragraph"/>
    <w:basedOn w:val="a0"/>
    <w:uiPriority w:val="34"/>
    <w:qFormat/>
    <w:pPr>
      <w:ind w:firstLineChars="200" w:firstLine="420"/>
    </w:pPr>
  </w:style>
  <w:style w:type="character" w:customStyle="1" w:styleId="150">
    <w:name w:val="15"/>
    <w:basedOn w:val="a1"/>
    <w:qFormat/>
    <w:rPr>
      <w:rFonts w:ascii="仿宋_GB2312" w:eastAsia="仿宋_GB2312" w:hint="eastAsia"/>
      <w:color w:val="000000"/>
      <w:sz w:val="32"/>
      <w:szCs w:val="32"/>
    </w:rPr>
  </w:style>
  <w:style w:type="paragraph" w:customStyle="1" w:styleId="23">
    <w:name w:val="正文2"/>
    <w:qFormat/>
    <w:pPr>
      <w:jc w:val="both"/>
    </w:pPr>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68975-9758-4D73-B464-6694010D7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832</Words>
  <Characters>4749</Characters>
  <Application>Microsoft Office Word</Application>
  <DocSecurity>0</DocSecurity>
  <Lines>39</Lines>
  <Paragraphs>11</Paragraphs>
  <ScaleCrop>false</ScaleCrop>
  <Company>Microsoft</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CW</cp:lastModifiedBy>
  <cp:revision>179</cp:revision>
  <cp:lastPrinted>2025-05-16T08:03:00Z</cp:lastPrinted>
  <dcterms:created xsi:type="dcterms:W3CDTF">2023-05-29T10:16:00Z</dcterms:created>
  <dcterms:modified xsi:type="dcterms:W3CDTF">2025-08-25T05:23:00Z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eyJoZGlkIjoiYTY5OGRmYmExOWM0ZTI4ZjQxNmUwOGE0Yjk2ODVlYmYiLCJ1c2VySWQiOiI3MjUwNzQ0MzkifQ==</vt:lpwstr>
  </property>
  <property fmtid="{D5CDD505-2E9C-101B-9397-08002B2CF9AE}" pid="3" name="KSOProductBuildVer">
    <vt:lpwstr>2052-12.1.0.20784</vt:lpwstr>
  </property>
  <property fmtid="{D5CDD505-2E9C-101B-9397-08002B2CF9AE}" pid="4" name="ICV">
    <vt:lpwstr>0FB09A1A39674ED799F4547D8EDC2191_12</vt:lpwstr>
  </property>
</Properties>
</file>