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0B6EB">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北京市人民政府参事室</w:t>
      </w:r>
    </w:p>
    <w:p w14:paraId="77704D38">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w:t>
      </w:r>
      <w:r>
        <w:rPr>
          <w:rFonts w:hint="eastAsia" w:ascii="方正小标宋简体" w:eastAsia="方正小标宋简体"/>
          <w:sz w:val="36"/>
          <w:szCs w:val="36"/>
        </w:rPr>
        <w:t>4年部门整体绩效评价报告</w:t>
      </w:r>
    </w:p>
    <w:p w14:paraId="0B243B72">
      <w:pPr>
        <w:jc w:val="center"/>
        <w:rPr>
          <w:rFonts w:ascii="仿宋_GB2312"/>
          <w:szCs w:val="30"/>
        </w:rPr>
      </w:pPr>
    </w:p>
    <w:p w14:paraId="54753BEF">
      <w:pPr>
        <w:adjustRightInd w:val="0"/>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53527669">
      <w:pPr>
        <w:adjustRightInd w:val="0"/>
        <w:snapToGrid w:val="0"/>
        <w:spacing w:line="560" w:lineRule="exact"/>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14:paraId="04F825BE">
      <w:pPr>
        <w:adjustRightInd w:val="0"/>
        <w:snapToGrid w:val="0"/>
        <w:spacing w:line="560" w:lineRule="exact"/>
        <w:ind w:firstLine="643" w:firstLineChars="200"/>
        <w:outlineLvl w:val="2"/>
        <w:rPr>
          <w:rFonts w:ascii="仿宋_GB2312" w:hAnsi="仿宋" w:eastAsia="仿宋_GB2312"/>
          <w:b/>
          <w:bCs/>
          <w:sz w:val="32"/>
          <w:szCs w:val="32"/>
        </w:rPr>
      </w:pPr>
      <w:r>
        <w:rPr>
          <w:rFonts w:hint="eastAsia" w:ascii="仿宋_GB2312" w:hAnsi="仿宋" w:eastAsia="仿宋_GB2312"/>
          <w:b/>
          <w:bCs/>
          <w:sz w:val="32"/>
          <w:szCs w:val="32"/>
        </w:rPr>
        <w:t>1</w:t>
      </w:r>
      <w:r>
        <w:rPr>
          <w:rFonts w:ascii="仿宋_GB2312" w:hAnsi="仿宋" w:eastAsia="仿宋_GB2312"/>
          <w:b/>
          <w:bCs/>
          <w:sz w:val="32"/>
          <w:szCs w:val="32"/>
        </w:rPr>
        <w:t>.</w:t>
      </w:r>
      <w:r>
        <w:rPr>
          <w:rFonts w:hint="eastAsia" w:ascii="仿宋_GB2312" w:hAnsi="仿宋" w:eastAsia="仿宋_GB2312"/>
          <w:b/>
          <w:bCs/>
          <w:sz w:val="32"/>
          <w:szCs w:val="32"/>
        </w:rPr>
        <w:t>部门职责</w:t>
      </w:r>
    </w:p>
    <w:p w14:paraId="4B04B733">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根据《中共北京市委办公厅 北京市人民政府办公厅关于印发&lt;北京市人民政府参事室职能配置、内设机构和人员编制规定&gt;的通知》，北京市人民政府参事室(简称“市政府参事室”)是北京市政府直属机构，与北京市文史研究馆(简称“市文史馆”)合署办公。市政府参事室的主要职责包括：（1）组织市政府参事、特约研究员对政府有关政策的实施情况进行调查研究，参政咨询，向市政府提出意见和建议；（2）组织市政府参事、特约研究员参与本市有关地方性法规草案的研究；（3）贯彻执行党的统一战线政策，支持、组织市政府参事、市文史馆馆员和特约研究员参加爱国统一战线工作；（4）组织市政府参事、市文史馆馆员和特约研究员及时了解和掌握党中央、国务院的方针政策及市委、市政府的决策部署；（5）支持市政府参事、市文史馆馆员和特约研究员同社会各界人士的联系，了解和反映社情民意；（6）组织市政府参事、特约研究员开展同国外相关机构交流与合作，组织市文史馆馆员开展对外文化交流等活动；（7）负责为市政府参事、市文史馆馆员和特约研究员履行职责提供服务；（8）承办市政府参事、市文史馆馆员和特约研究员的选聘工作等。</w:t>
      </w:r>
    </w:p>
    <w:p w14:paraId="135740C5">
      <w:pPr>
        <w:adjustRightInd w:val="0"/>
        <w:snapToGrid w:val="0"/>
        <w:spacing w:line="560" w:lineRule="exact"/>
        <w:ind w:firstLine="643" w:firstLineChars="200"/>
        <w:outlineLvl w:val="2"/>
        <w:rPr>
          <w:rFonts w:ascii="仿宋_GB2312" w:hAnsi="仿宋" w:eastAsia="仿宋_GB2312"/>
          <w:b/>
          <w:bCs/>
          <w:sz w:val="32"/>
          <w:szCs w:val="32"/>
        </w:rPr>
      </w:pPr>
      <w:r>
        <w:rPr>
          <w:rFonts w:hint="eastAsia" w:ascii="仿宋_GB2312" w:hAnsi="仿宋" w:eastAsia="仿宋_GB2312"/>
          <w:b/>
          <w:bCs/>
          <w:sz w:val="32"/>
          <w:szCs w:val="32"/>
        </w:rPr>
        <w:t>2</w:t>
      </w:r>
      <w:r>
        <w:rPr>
          <w:rFonts w:ascii="仿宋_GB2312" w:hAnsi="仿宋" w:eastAsia="仿宋_GB2312"/>
          <w:b/>
          <w:bCs/>
          <w:sz w:val="32"/>
          <w:szCs w:val="32"/>
        </w:rPr>
        <w:t>.</w:t>
      </w:r>
      <w:bookmarkStart w:id="0" w:name="_Toc135231089"/>
      <w:r>
        <w:rPr>
          <w:rFonts w:hint="eastAsia" w:ascii="仿宋_GB2312" w:hAnsi="仿宋" w:eastAsia="仿宋_GB2312"/>
          <w:b/>
          <w:bCs/>
          <w:sz w:val="32"/>
          <w:szCs w:val="32"/>
        </w:rPr>
        <w:t>年度工作任务</w:t>
      </w:r>
      <w:bookmarkEnd w:id="0"/>
    </w:p>
    <w:p w14:paraId="1655AC52">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以深入落实市两办文件精神为宗旨，为充分发挥参事馆员履职考评年度反馈的导向激励作用，带领和组织参事馆员在深度建言资政、崇文鉴史和广泛凝聚共识上彰显新作为，基于市政府参事室主要工作职能，2024年度围绕“坚持把政治建设摆在首位，不断强化思想政治引领”“锚定职责任务，绘就履职新画卷”“加强规范化建设，深化模范机关的创建”三个维度统筹确定9方面重点工作任务，具体如下：</w:t>
      </w:r>
    </w:p>
    <w:p w14:paraId="239AF6BF">
      <w:pPr>
        <w:adjustRightInd w:val="0"/>
        <w:snapToGrid w:val="0"/>
        <w:spacing w:line="56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（1）坚持把政治建设摆在首位，不断强化思想政治引领</w:t>
      </w:r>
    </w:p>
    <w:p w14:paraId="5536840F">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发挥中共参事馆员引领和模范作用，利用集中工作日开展多样化的活动，强基固本，不断提升政治站位。适时组织国情市情通报，促进参事、馆员更加准确地理解与把握国家发展大局、新时代首都发展态势和社会热点难点问题，做到建言资政与凝聚共识双向发力。</w:t>
      </w:r>
    </w:p>
    <w:p w14:paraId="11606CEE">
      <w:pPr>
        <w:adjustRightInd w:val="0"/>
        <w:snapToGrid w:val="0"/>
        <w:spacing w:line="56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（2）锚定职责任务，绘就履职新画卷</w:t>
      </w:r>
    </w:p>
    <w:p w14:paraId="251F0418">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是扎实推进市政府年度重点任务。对市政府工作报告重点任务清单第284项任务进行细化与分解，明确责任人、具体措施和完成期限，确保按时完成。做好京津冀协同发展的深化研究，以及在文化传承与交流上再谋新篇。</w:t>
      </w:r>
    </w:p>
    <w:p w14:paraId="4F75D7F4">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是服务中心工作，彰显决策咨询作用。围绕培育和发展新质生产力，完成市领导交办的重点调研任务。结合参事、特约研究员专业特长，开展人口、交通、医药、降碳、文化等领域的专题调研和集体调研。联合国务院参事室举办好“创新驱动助力绿色发展”中关村平行论坛。组织参事参加市委统战部、市政协召开的议政会，发挥好资政建言的平台作用。</w:t>
      </w:r>
    </w:p>
    <w:p w14:paraId="3379B82C">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三是深化合作研究，提升国际性与前瞻性。与相关单位联合开展专题研究。巩固加强区域协作长效机制，推进三地文史馆深度合作，举办历史文化学术研讨，联合开展采风、书画笔会等，促进三地文化繁荣发展。</w:t>
      </w:r>
    </w:p>
    <w:p w14:paraId="4B7507BC">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四是发挥崇文鉴史作用，提升咨询国是水平。聚焦全国文化中心建设，开展重点课题调研。启动《北京地域文化通览·通州卷》的编写与研究；持续推进特色文化——《京剧旦行》等编辑出版工作，服务区域文化发展。以庆祝新中国成立75周年为契机，组织馆员以“三新北京”为主题，创作一批馆藏书画作品。开设参事、馆员大讲堂，丰富参事馆员履职形式。赴境外举办书画展、新书发布等活动，开展中外文明互鉴。</w:t>
      </w:r>
    </w:p>
    <w:p w14:paraId="377B4F3E">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五是有效提升民主监督实效。鼓励与引导参事、馆员、特约研究员积极通过反映社情民意信息，履行民主监督职责。落实好参事参与督查督办工作机制，会同有关单位组织参事参与督查督办活动，推进专项民主监督与建言献策有机融合。持续组织参事参与地方性法规草案的修订等立法协商性监督工作。</w:t>
      </w:r>
    </w:p>
    <w:p w14:paraId="2CEAC0B9">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六是用心用情做好统战联谊。围绕社会热点，鼓励参事馆员通过电视、网络等媒体积极发声，多渠道宣讲解读有关政策与发展，回应社会关切。</w:t>
      </w:r>
    </w:p>
    <w:p w14:paraId="4C5BAE57">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七是继续加强队伍建设与管理。推进2024年度参事、馆员选聘工作，做好特约研究员的选、续聘工作。实施参事、馆员的集中工作日等制度，规范履职管理与考核，促进参事、馆员履职的提质增效。</w:t>
      </w:r>
    </w:p>
    <w:p w14:paraId="7B29C9F3">
      <w:pPr>
        <w:adjustRightInd w:val="0"/>
        <w:snapToGrid w:val="0"/>
        <w:spacing w:line="56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（3）加强规范化建设，深化模范机关的创建</w:t>
      </w:r>
    </w:p>
    <w:p w14:paraId="3C9E70A3">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严格落实全面从严治党要求。制定室（馆）的“提升党员干部干事创业精气神”和“党建与业务工作深度融合”等措施。落实好“一岗双责”和“第一议题”制度。深入开展党纪学习教育。强化机关制度建设与精细化管理。进一步加强档案规范化管理，完善机关内审制度，提升信息化管理水平。狠抓安全隐患排查整改，为做好各项工作强化基础保障。</w:t>
      </w:r>
    </w:p>
    <w:p w14:paraId="294CAB9F">
      <w:pPr>
        <w:adjustRightInd w:val="0"/>
        <w:snapToGrid w:val="0"/>
        <w:spacing w:line="560" w:lineRule="exact"/>
        <w:ind w:firstLine="640" w:firstLineChars="200"/>
        <w:outlineLvl w:val="1"/>
        <w:rPr>
          <w:rFonts w:ascii="楷体_GB2312" w:eastAsia="楷体_GB2312"/>
          <w:sz w:val="32"/>
          <w:szCs w:val="32"/>
        </w:rPr>
      </w:pPr>
      <w:bookmarkStart w:id="1" w:name="_Toc135402098"/>
      <w:bookmarkStart w:id="2" w:name="_Toc135231090"/>
      <w:r>
        <w:rPr>
          <w:rFonts w:hint="eastAsia" w:ascii="楷体_GB2312" w:eastAsia="楷体_GB2312"/>
          <w:sz w:val="32"/>
          <w:szCs w:val="32"/>
        </w:rPr>
        <w:t>（二）部门整体绩效目标设立情况</w:t>
      </w:r>
      <w:bookmarkEnd w:id="1"/>
      <w:bookmarkEnd w:id="2"/>
    </w:p>
    <w:p w14:paraId="38B9CCDF">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bookmarkStart w:id="3" w:name="_Toc135231091"/>
      <w:r>
        <w:rPr>
          <w:rFonts w:ascii="仿宋_GB2312" w:hAnsi="宋体" w:eastAsia="仿宋_GB2312" w:cs="宋体"/>
          <w:b/>
          <w:bCs/>
          <w:color w:val="000000"/>
          <w:kern w:val="0"/>
          <w:sz w:val="32"/>
          <w:szCs w:val="32"/>
        </w:rPr>
        <w:t>1.</w:t>
      </w:r>
      <w:r>
        <w:rPr>
          <w:rFonts w:hint="eastAsia" w:ascii="仿宋_GB2312" w:hAnsi="宋体" w:eastAsia="仿宋_GB2312" w:cs="宋体"/>
          <w:b/>
          <w:bCs/>
          <w:color w:val="000000"/>
          <w:kern w:val="0"/>
          <w:sz w:val="32"/>
          <w:szCs w:val="32"/>
        </w:rPr>
        <w:t>绩效目标设立依据</w:t>
      </w:r>
      <w:bookmarkEnd w:id="3"/>
    </w:p>
    <w:p w14:paraId="44C55B89">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市政府参事室部门预算编报要求设置了2</w:t>
      </w:r>
      <w:r>
        <w:rPr>
          <w:rFonts w:ascii="仿宋_GB2312" w:hAnsi="仿宋" w:eastAsia="仿宋_GB2312"/>
          <w:sz w:val="32"/>
          <w:szCs w:val="32"/>
        </w:rPr>
        <w:t>02</w:t>
      </w:r>
      <w:r>
        <w:rPr>
          <w:rFonts w:hint="eastAsia" w:ascii="仿宋_GB2312" w:hAnsi="仿宋" w:eastAsia="仿宋_GB2312"/>
          <w:sz w:val="32"/>
          <w:szCs w:val="32"/>
        </w:rPr>
        <w:t>4年度部门整体绩效目标，主要依据包括：</w:t>
      </w:r>
    </w:p>
    <w:p w14:paraId="5E4C5EEF">
      <w:pPr>
        <w:adjustRightInd w:val="0"/>
        <w:snapToGrid w:val="0"/>
        <w:spacing w:line="560" w:lineRule="exact"/>
        <w:ind w:left="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（1）北京市委市政府重点工作</w:t>
      </w:r>
    </w:p>
    <w:p w14:paraId="4E7F31E7">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（2）《中共北京市委办公厅北京市人民政府办公厅印发&lt;关于坚持新时代政府参事制度文史馆员制度的实施方案&gt;的通知》</w:t>
      </w:r>
    </w:p>
    <w:p w14:paraId="0CC1082C">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（3）市政府参事室内设机构职能配置</w:t>
      </w:r>
    </w:p>
    <w:p w14:paraId="22537F27">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（4）《北京市政府参事室（市文史馆）“十四五”时期事业发展规划和二</w:t>
      </w:r>
      <w:r>
        <w:rPr>
          <w:rFonts w:hint="eastAsia" w:ascii="微软雅黑" w:hAnsi="微软雅黑" w:eastAsia="微软雅黑" w:cs="微软雅黑"/>
          <w:color w:val="000000"/>
          <w:kern w:val="0"/>
          <w:sz w:val="32"/>
          <w:szCs w:val="32"/>
        </w:rPr>
        <w:t>〇</w:t>
      </w:r>
      <w:r>
        <w:rPr>
          <w:rFonts w:hint="eastAsia" w:ascii="仿宋_GB2312" w:hAnsi="仿宋_GB2312" w:eastAsia="仿宋_GB2312" w:cs="仿宋_GB2312"/>
          <w:color w:val="000000"/>
          <w:kern w:val="0"/>
          <w:sz w:val="32"/>
          <w:szCs w:val="32"/>
        </w:rPr>
        <w:t>三五年远景目标</w:t>
      </w:r>
      <w:r>
        <w:rPr>
          <w:rFonts w:hint="eastAsia" w:ascii="仿宋_GB2312" w:hAnsi="宋体" w:eastAsia="仿宋_GB2312" w:cs="宋体"/>
          <w:color w:val="000000"/>
          <w:kern w:val="0"/>
          <w:sz w:val="32"/>
          <w:szCs w:val="32"/>
        </w:rPr>
        <w:t>》</w:t>
      </w:r>
    </w:p>
    <w:p w14:paraId="559C43E5">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宋体" w:eastAsia="仿宋_GB2312" w:cs="宋体"/>
          <w:color w:val="000000"/>
          <w:kern w:val="0"/>
          <w:sz w:val="32"/>
          <w:szCs w:val="32"/>
        </w:rPr>
        <w:t>市政府参事室</w:t>
      </w:r>
      <w:r>
        <w:rPr>
          <w:rFonts w:hint="eastAsia" w:ascii="仿宋_GB2312" w:hAnsi="仿宋" w:eastAsia="仿宋_GB2312"/>
          <w:sz w:val="32"/>
          <w:szCs w:val="32"/>
        </w:rPr>
        <w:t>2</w:t>
      </w:r>
      <w:r>
        <w:rPr>
          <w:rFonts w:ascii="仿宋_GB2312" w:hAnsi="仿宋" w:eastAsia="仿宋_GB2312"/>
          <w:sz w:val="32"/>
          <w:szCs w:val="32"/>
        </w:rPr>
        <w:t>02</w:t>
      </w:r>
      <w:r>
        <w:rPr>
          <w:rFonts w:hint="eastAsia" w:ascii="仿宋_GB2312" w:hAnsi="仿宋" w:eastAsia="仿宋_GB2312"/>
          <w:sz w:val="32"/>
          <w:szCs w:val="32"/>
        </w:rPr>
        <w:t>4年度</w:t>
      </w:r>
      <w:r>
        <w:rPr>
          <w:rFonts w:ascii="仿宋_GB2312" w:hAnsi="仿宋" w:eastAsia="仿宋_GB2312"/>
          <w:sz w:val="32"/>
          <w:szCs w:val="32"/>
        </w:rPr>
        <w:t>工作重点</w:t>
      </w:r>
    </w:p>
    <w:p w14:paraId="55BFC67A">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w:t>
      </w:r>
      <w:r>
        <w:rPr>
          <w:rFonts w:hint="eastAsia" w:ascii="仿宋_GB2312" w:hAnsi="宋体" w:eastAsia="仿宋_GB2312" w:cs="宋体"/>
          <w:color w:val="000000"/>
          <w:kern w:val="0"/>
          <w:sz w:val="32"/>
          <w:szCs w:val="32"/>
        </w:rPr>
        <w:t>市政府参事室</w:t>
      </w:r>
      <w:r>
        <w:rPr>
          <w:rFonts w:hint="eastAsia" w:ascii="仿宋_GB2312" w:hAnsi="仿宋" w:eastAsia="仿宋_GB2312"/>
          <w:sz w:val="32"/>
          <w:szCs w:val="32"/>
        </w:rPr>
        <w:t>各处室2</w:t>
      </w:r>
      <w:r>
        <w:rPr>
          <w:rFonts w:ascii="仿宋_GB2312" w:hAnsi="仿宋" w:eastAsia="仿宋_GB2312"/>
          <w:sz w:val="32"/>
          <w:szCs w:val="32"/>
        </w:rPr>
        <w:t>02</w:t>
      </w:r>
      <w:r>
        <w:rPr>
          <w:rFonts w:hint="eastAsia" w:ascii="仿宋_GB2312" w:hAnsi="仿宋" w:eastAsia="仿宋_GB2312"/>
          <w:sz w:val="32"/>
          <w:szCs w:val="32"/>
        </w:rPr>
        <w:t>4年度工作计划</w:t>
      </w:r>
    </w:p>
    <w:p w14:paraId="0F4065DD">
      <w:pPr>
        <w:adjustRightInd w:val="0"/>
        <w:snapToGrid w:val="0"/>
        <w:spacing w:line="560" w:lineRule="exact"/>
        <w:ind w:firstLine="643" w:firstLineChars="200"/>
        <w:outlineLvl w:val="2"/>
        <w:rPr>
          <w:rFonts w:ascii="仿宋_GB2312" w:eastAsia="仿宋_GB2312"/>
          <w:b/>
          <w:bCs/>
          <w:sz w:val="32"/>
          <w:szCs w:val="32"/>
        </w:rPr>
      </w:pPr>
      <w:bookmarkStart w:id="4" w:name="_Toc135231092"/>
      <w:r>
        <w:rPr>
          <w:rFonts w:ascii="仿宋_GB2312" w:eastAsia="仿宋_GB2312"/>
          <w:b/>
          <w:bCs/>
          <w:sz w:val="32"/>
          <w:szCs w:val="32"/>
        </w:rPr>
        <w:t>2.</w:t>
      </w:r>
      <w:r>
        <w:rPr>
          <w:rFonts w:hint="eastAsia" w:ascii="仿宋_GB2312" w:eastAsia="仿宋_GB2312"/>
          <w:b/>
          <w:bCs/>
          <w:sz w:val="32"/>
          <w:szCs w:val="32"/>
        </w:rPr>
        <w:t>绩效目标与职责任务匹配情况及绩效目标合理性</w:t>
      </w:r>
      <w:bookmarkEnd w:id="4"/>
    </w:p>
    <w:p w14:paraId="1C54BE43">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在上述文件依据基础上，我单位围绕支持组织市政府参事和市文史馆馆员参加爱国统一战线工作、支持市政府参事及市文史馆馆员同社会各界人士的联系、为市政府参事及市文史馆馆员履行职责提供服务等职能，按照“明确部门工作职责”“确定任务及总目标”“细化形成绩效指标”“确定绩效指标数值”的思路制定了部门整体绩效目标，见图1。</w:t>
      </w:r>
    </w:p>
    <w:p w14:paraId="4A2E9C5E">
      <w:pPr>
        <w:adjustRightInd w:val="0"/>
        <w:snapToGrid w:val="0"/>
        <w:jc w:val="center"/>
        <w:rPr>
          <w:rFonts w:ascii="仿宋_GB2312" w:hAnsi="仿宋" w:eastAsia="仿宋_GB2312"/>
          <w:sz w:val="32"/>
          <w:szCs w:val="32"/>
        </w:rPr>
      </w:pPr>
      <w:r>
        <w:drawing>
          <wp:inline distT="0" distB="0" distL="0" distR="0">
            <wp:extent cx="5005070" cy="3905250"/>
            <wp:effectExtent l="0" t="0" r="5080" b="0"/>
            <wp:docPr id="5861482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48223" name="图片 1"/>
                    <pic:cNvPicPr>
                      <a:picLocks noChangeAspect="1"/>
                    </pic:cNvPicPr>
                  </pic:nvPicPr>
                  <pic:blipFill>
                    <a:blip r:embed="rId5"/>
                    <a:stretch>
                      <a:fillRect/>
                    </a:stretch>
                  </pic:blipFill>
                  <pic:spPr>
                    <a:xfrm>
                      <a:off x="0" y="0"/>
                      <a:ext cx="5011105" cy="3909711"/>
                    </a:xfrm>
                    <a:prstGeom prst="rect">
                      <a:avLst/>
                    </a:prstGeom>
                  </pic:spPr>
                </pic:pic>
              </a:graphicData>
            </a:graphic>
          </wp:inline>
        </w:drawing>
      </w:r>
    </w:p>
    <w:p w14:paraId="04D796E2">
      <w:pPr>
        <w:adjustRightInd w:val="0"/>
        <w:snapToGrid w:val="0"/>
        <w:spacing w:line="560" w:lineRule="exact"/>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图1：部门整体支出绩效目标设置思路</w:t>
      </w:r>
    </w:p>
    <w:p w14:paraId="4013DFED">
      <w:pPr>
        <w:spacing w:line="560" w:lineRule="exact"/>
        <w:ind w:firstLine="640" w:firstLineChars="200"/>
        <w:rPr>
          <w:rFonts w:ascii="仿宋_GB2312" w:eastAsia="仿宋_GB2312"/>
          <w:sz w:val="32"/>
          <w:szCs w:val="32"/>
        </w:rPr>
      </w:pPr>
      <w:r>
        <w:rPr>
          <w:rFonts w:hint="eastAsia" w:ascii="仿宋_GB2312" w:eastAsia="仿宋_GB2312"/>
          <w:sz w:val="32"/>
          <w:szCs w:val="32"/>
        </w:rPr>
        <w:t>绩效目标设置方面。部门（单位）绩效目标中明确的“开展参事馆员决策咨询会”“持续加强文史研究和文化传播工作”等内容均是我单位主要职能职责，且分别与文史处、参事处、文史研究中心等处室或下属单位职能职责相匹配。</w:t>
      </w:r>
    </w:p>
    <w:p w14:paraId="79004E64">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绩效指标设置方面。依据部门职能及年度重点工作任务，从组织参事活动、组织馆员活动、开展统战工作、文史编辑出版4个方面对绩效目标进行了分解与细化，设置了相应的绩效指标。</w:t>
      </w:r>
    </w:p>
    <w:p w14:paraId="2EB01E8C">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总体上，部门绩效目标内容较为全面、合理，分解后的绩效指标与我单位部门职责、年度重点工作任务匹配性较好。</w:t>
      </w:r>
    </w:p>
    <w:p w14:paraId="4860DB9C">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5" w:name="_Toc135231093"/>
      <w:bookmarkStart w:id="6" w:name="_Toc135402099"/>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5"/>
      <w:bookmarkEnd w:id="6"/>
    </w:p>
    <w:p w14:paraId="2E288D4C">
      <w:pPr>
        <w:adjustRightInd w:val="0"/>
        <w:snapToGrid w:val="0"/>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3283</w:t>
      </w:r>
      <w:r>
        <w:rPr>
          <w:rFonts w:hint="eastAsia" w:ascii="仿宋_GB2312" w:hAnsi="宋体" w:eastAsia="仿宋_GB2312" w:cs="宋体"/>
          <w:color w:val="000000"/>
          <w:kern w:val="0"/>
          <w:sz w:val="32"/>
          <w:szCs w:val="32"/>
        </w:rPr>
        <w:t>.68万元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rPr>
        <w:t>1930.43</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项目支出预算数1353.25</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支出2972.59</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rPr>
        <w:t>1729.36</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支出1243.23</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90.53%。</w:t>
      </w:r>
    </w:p>
    <w:p w14:paraId="629F56E4">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7" w:name="_Toc135231094"/>
      <w:bookmarkStart w:id="8" w:name="_Toc135402100"/>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7"/>
      <w:bookmarkEnd w:id="8"/>
    </w:p>
    <w:p w14:paraId="37CCF665">
      <w:pPr>
        <w:adjustRightInd w:val="0"/>
        <w:snapToGrid w:val="0"/>
        <w:spacing w:line="560" w:lineRule="exact"/>
        <w:ind w:firstLine="640" w:firstLineChars="200"/>
        <w:outlineLvl w:val="1"/>
        <w:rPr>
          <w:rFonts w:ascii="楷体_GB2312" w:eastAsia="楷体_GB2312"/>
          <w:sz w:val="32"/>
          <w:szCs w:val="32"/>
        </w:rPr>
      </w:pPr>
      <w:bookmarkStart w:id="9" w:name="_Toc135402101"/>
      <w:bookmarkStart w:id="10" w:name="_Toc135231095"/>
      <w:r>
        <w:rPr>
          <w:rFonts w:hint="eastAsia" w:ascii="楷体_GB2312" w:eastAsia="楷体_GB2312"/>
          <w:sz w:val="32"/>
          <w:szCs w:val="32"/>
        </w:rPr>
        <w:t>（一）产出完成情况分析</w:t>
      </w:r>
      <w:bookmarkEnd w:id="9"/>
      <w:bookmarkEnd w:id="10"/>
    </w:p>
    <w:p w14:paraId="1F98F1B2">
      <w:pPr>
        <w:spacing w:line="600" w:lineRule="exact"/>
        <w:ind w:left="105" w:leftChars="50" w:firstLine="480" w:firstLineChars="150"/>
        <w:rPr>
          <w:rFonts w:ascii="仿宋_GB2312" w:hAnsi="宋体" w:eastAsia="仿宋_GB2312" w:cs="宋体"/>
          <w:color w:val="000000"/>
          <w:kern w:val="0"/>
          <w:sz w:val="32"/>
          <w:szCs w:val="32"/>
        </w:rPr>
      </w:pPr>
      <w:bookmarkStart w:id="11" w:name="_Toc135231096"/>
      <w:r>
        <w:rPr>
          <w:rFonts w:hint="eastAsia" w:ascii="仿宋_GB2312" w:hAnsi="宋体" w:eastAsia="仿宋_GB2312" w:cs="宋体"/>
          <w:color w:val="000000"/>
          <w:kern w:val="0"/>
          <w:sz w:val="32"/>
          <w:szCs w:val="32"/>
        </w:rPr>
        <w:t>2024年,</w:t>
      </w:r>
      <w:r>
        <w:rPr>
          <w:rFonts w:hint="eastAsia"/>
        </w:rPr>
        <w:t xml:space="preserve"> </w:t>
      </w:r>
      <w:r>
        <w:rPr>
          <w:rFonts w:hint="eastAsia" w:ascii="仿宋_GB2312" w:hAnsi="宋体" w:eastAsia="仿宋_GB2312" w:cs="宋体"/>
          <w:color w:val="000000"/>
          <w:kern w:val="0"/>
          <w:sz w:val="32"/>
          <w:szCs w:val="32"/>
        </w:rPr>
        <w:t>市政府参事室（市文史馆）领导班子在市委市政府领导下，坚持以习近平新时代中国特色社会主义思想为指导，深入学习贯彻党的二十大和二十届二中、三中全会精神，全面落实市委市政府决策部署，坚持围绕中心，服务大局，扎实开展党纪学习教育，团结带领机关干部、参事馆员和特约研究员，顺利完成组织参事及馆员活动、对外交流、文史作品研究及编辑出版、统战管理及基础保障工作。各项任务具体产出情况如下：</w:t>
      </w:r>
    </w:p>
    <w:p w14:paraId="3F57D65C">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1.产出数量</w:t>
      </w:r>
      <w:bookmarkEnd w:id="11"/>
    </w:p>
    <w:p w14:paraId="095FDFB1">
      <w:pPr>
        <w:adjustRightInd w:val="0"/>
        <w:snapToGrid w:val="0"/>
        <w:spacing w:line="560" w:lineRule="exact"/>
        <w:ind w:firstLine="643" w:firstLineChars="200"/>
        <w:rPr>
          <w:rFonts w:ascii="仿宋_GB2312" w:hAnsi="宋体" w:eastAsia="仿宋_GB2312" w:cs="宋体"/>
          <w:b/>
          <w:bCs/>
          <w:color w:val="000000"/>
          <w:kern w:val="0"/>
          <w:sz w:val="32"/>
          <w:szCs w:val="32"/>
        </w:rPr>
      </w:pPr>
      <w:bookmarkStart w:id="12" w:name="OLE_LINK5"/>
      <w:r>
        <w:rPr>
          <w:rFonts w:hint="eastAsia" w:ascii="仿宋_GB2312" w:hAnsi="宋体" w:eastAsia="仿宋_GB2312" w:cs="宋体"/>
          <w:b/>
          <w:bCs/>
          <w:color w:val="000000"/>
          <w:kern w:val="0"/>
          <w:sz w:val="32"/>
          <w:szCs w:val="32"/>
        </w:rPr>
        <w:t>（1）组织参事活动方面</w:t>
      </w:r>
    </w:p>
    <w:bookmarkEnd w:id="12"/>
    <w:p w14:paraId="0D7A4184">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全年累计组织市政府参事、市政府参事室特约研究员开展各类调研活动40余次，报送参事建议10篇，调研报告5册。报送社情民意信息50余篇。</w:t>
      </w:r>
    </w:p>
    <w:p w14:paraId="42787EEF">
      <w:pPr>
        <w:adjustRightInd w:val="0"/>
        <w:snapToGrid w:val="0"/>
        <w:spacing w:line="560" w:lineRule="exact"/>
        <w:ind w:firstLine="643" w:firstLineChars="200"/>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（2）组织馆员活动方面</w:t>
      </w:r>
    </w:p>
    <w:p w14:paraId="63F80AFC">
      <w:pPr>
        <w:adjustRightInd w:val="0"/>
        <w:snapToGrid w:val="0"/>
        <w:spacing w:line="560" w:lineRule="exact"/>
        <w:ind w:firstLine="640" w:firstLineChars="200"/>
        <w:rPr>
          <w:rFonts w:ascii="仿宋_GB2312" w:hAnsi="仿宋" w:eastAsia="仿宋_GB2312"/>
          <w:sz w:val="32"/>
          <w:szCs w:val="32"/>
          <w:highlight w:val="yellow"/>
        </w:rPr>
      </w:pPr>
      <w:r>
        <w:rPr>
          <w:rFonts w:hint="eastAsia" w:ascii="仿宋_GB2312" w:hAnsi="仿宋" w:eastAsia="仿宋_GB2312"/>
          <w:sz w:val="32"/>
          <w:szCs w:val="32"/>
        </w:rPr>
        <w:t>艺术创作方面。一是创作完成大型山水画《千年城韵载未来》，完成大型山水画《泽被千秋恩润京华》扫描复制装裱。二是联合天津、河北、内蒙古文史馆在中国工艺美术馆举办“瓣瓣同心绘盛景——京津冀蒙文史馆庆祝新中国成立75周年美术作品展”。</w:t>
      </w:r>
    </w:p>
    <w:p w14:paraId="5DE8285F">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调研活动方面。一是组织馆员围绕“城市更新背景下加强北京历史文化保护传承利用”“新时代加强大运河（北京段）历史文化遗产保护传承利用”两个课题开展多次采风或调研，形成调研报告。二是举办“文艺点亮生活”主题沙龙、第五届中轴线研讨会等重大活动，深入挖掘北京历史文化。三是组织馆员多次参加中央馆和兄弟省市文史馆组织的活动，加强馆际合作交流，互学互鉴共同发展。四是组织馆员赴浙江、福建等地调研考察，学习历史</w:t>
      </w:r>
      <w:r>
        <w:rPr>
          <w:rFonts w:ascii="仿宋_GB2312" w:hAnsi="仿宋" w:eastAsia="仿宋_GB2312"/>
          <w:sz w:val="32"/>
          <w:szCs w:val="32"/>
        </w:rPr>
        <w:t>文化传承保护经验做法</w:t>
      </w:r>
      <w:r>
        <w:rPr>
          <w:rFonts w:hint="eastAsia" w:ascii="仿宋_GB2312" w:hAnsi="仿宋" w:eastAsia="仿宋_GB2312"/>
          <w:sz w:val="32"/>
          <w:szCs w:val="32"/>
        </w:rPr>
        <w:t>。</w:t>
      </w:r>
    </w:p>
    <w:p w14:paraId="7D326F76">
      <w:pPr>
        <w:adjustRightInd w:val="0"/>
        <w:snapToGrid w:val="0"/>
        <w:spacing w:line="560" w:lineRule="exact"/>
        <w:ind w:firstLine="643" w:firstLineChars="200"/>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（3）对外交流方面</w:t>
      </w:r>
    </w:p>
    <w:p w14:paraId="5614CFF8">
      <w:pPr>
        <w:adjustRightInd w:val="0"/>
        <w:snapToGrid w:val="0"/>
        <w:spacing w:line="560" w:lineRule="exact"/>
        <w:ind w:firstLine="640" w:firstLineChars="200"/>
        <w:rPr>
          <w:rFonts w:ascii="仿宋_GB2312" w:hAnsi="仿宋" w:eastAsia="仿宋_GB2312"/>
          <w:sz w:val="32"/>
          <w:szCs w:val="32"/>
          <w:highlight w:val="yellow"/>
        </w:rPr>
      </w:pPr>
      <w:r>
        <w:rPr>
          <w:rFonts w:hint="eastAsia" w:ascii="仿宋_GB2312" w:hAnsi="仿宋" w:eastAsia="仿宋_GB2312"/>
          <w:sz w:val="32"/>
          <w:szCs w:val="32"/>
        </w:rPr>
        <w:t>组织参事及馆员赴德国法兰克福参加法兰克福书展，赴日本参加国际研讨会。加强文化</w:t>
      </w:r>
      <w:r>
        <w:rPr>
          <w:rFonts w:ascii="仿宋_GB2312" w:hAnsi="仿宋" w:eastAsia="仿宋_GB2312"/>
          <w:sz w:val="32"/>
          <w:szCs w:val="32"/>
        </w:rPr>
        <w:t>交流</w:t>
      </w:r>
      <w:r>
        <w:rPr>
          <w:rFonts w:hint="eastAsia" w:ascii="仿宋_GB2312" w:hAnsi="仿宋" w:eastAsia="仿宋_GB2312"/>
          <w:sz w:val="32"/>
          <w:szCs w:val="32"/>
        </w:rPr>
        <w:t>，传播中国文化。</w:t>
      </w:r>
    </w:p>
    <w:p w14:paraId="4F52EDA1">
      <w:pPr>
        <w:adjustRightInd w:val="0"/>
        <w:snapToGrid w:val="0"/>
        <w:spacing w:line="560" w:lineRule="exact"/>
        <w:ind w:firstLine="643" w:firstLineChars="200"/>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（4）文史研究及编辑出版方面</w:t>
      </w:r>
    </w:p>
    <w:p w14:paraId="0C53F85C">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历史文化研究方面。</w:t>
      </w:r>
      <w:r>
        <w:rPr>
          <w:rFonts w:hint="eastAsia" w:ascii="仿宋_GB2312" w:hAnsi="宋体" w:eastAsia="仿宋_GB2312" w:cs="宋体"/>
          <w:color w:val="000000"/>
          <w:kern w:val="0"/>
          <w:sz w:val="32"/>
          <w:szCs w:val="32"/>
        </w:rPr>
        <w:t>市政府参事室</w:t>
      </w:r>
      <w:r>
        <w:rPr>
          <w:rFonts w:hint="eastAsia" w:ascii="仿宋_GB2312" w:hAnsi="仿宋" w:eastAsia="仿宋_GB2312"/>
          <w:sz w:val="32"/>
          <w:szCs w:val="32"/>
        </w:rPr>
        <w:t>2024年组织开展“一城三带”文化踏查，并组织专家对相关问题进行研究，形成文字研究成果。组织专家对京剧艺术、北京城市发展变迁历史、影响北京历史发展的重要人物等北京历史文化重要内容展开研究，并召开相关座谈会。</w:t>
      </w:r>
    </w:p>
    <w:p w14:paraId="2B9FF6CF">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文史编辑出版方面。完成《京剧行当之旦行》出版工作，该书共计240页、2.6万字，全年印制4000册。继续编辑出版《北京地域文化通览·分区卷》，本年度完成了《西城卷》的出版和《通州卷》的初稿撰写工作，《西城卷》40万字，出版印刷2000册。完成4期《北京文史》编辑出版，每期刊印7000册。</w:t>
      </w:r>
    </w:p>
    <w:p w14:paraId="74F6C521">
      <w:pPr>
        <w:adjustRightInd w:val="0"/>
        <w:snapToGrid w:val="0"/>
        <w:spacing w:line="56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（5）统战管理及基础保障工作方面</w:t>
      </w:r>
    </w:p>
    <w:p w14:paraId="5CF0BF4E">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是按计划完成全年各项法律、内控及会计咨询、财务审计、预算评审及绩效考评等咨询保障服务。二是对机关所有办公设备、办公软件进行全年运行维护，确保软硬件稳定运行。三是对机关办公用房部分区域进行维护改造，以保障日常履职办公质量。</w:t>
      </w:r>
    </w:p>
    <w:p w14:paraId="4B73CCC1">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bookmarkStart w:id="13" w:name="_Toc135231097"/>
      <w:r>
        <w:rPr>
          <w:rFonts w:hint="eastAsia" w:ascii="仿宋_GB2312" w:hAnsi="宋体" w:eastAsia="仿宋_GB2312" w:cs="宋体"/>
          <w:b/>
          <w:bCs/>
          <w:color w:val="000000"/>
          <w:kern w:val="0"/>
          <w:sz w:val="32"/>
          <w:szCs w:val="32"/>
        </w:rPr>
        <w:t>2.产出</w:t>
      </w:r>
      <w:r>
        <w:rPr>
          <w:rFonts w:ascii="仿宋_GB2312" w:hAnsi="宋体" w:eastAsia="仿宋_GB2312" w:cs="宋体"/>
          <w:b/>
          <w:bCs/>
          <w:color w:val="000000"/>
          <w:kern w:val="0"/>
          <w:sz w:val="32"/>
          <w:szCs w:val="32"/>
        </w:rPr>
        <w:t>质量</w:t>
      </w:r>
      <w:bookmarkEnd w:id="13"/>
    </w:p>
    <w:p w14:paraId="3245C00B">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部门工作完成质量较好。参事及馆员活动方面，参事、特约研究员全年参与率90.67%，各项艺术创作成果均通过专家验收，调研课题均组织了多场研讨论证会议。文史作品研究及编辑出版方面，历史文化研究踏勘地点5处，为研究质量提供了保障；《北京文史》每期包含稿件30篇，包含图片300幅，均达到了年初设定的质量标准；《京剧行当之旦行》《北京地域文化通览》均通过专家验收。统战管理及基础保障工作方面，法律及财务等咨询服务成果均通过验收；系统无故障运行率≥99%；办公场所安全改造及办公设备购置验收合格率100%。综上，各方面工作的完成质量均达到了预期目标。</w:t>
      </w:r>
    </w:p>
    <w:p w14:paraId="6D4ED284">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bookmarkStart w:id="14" w:name="_Toc135231098"/>
      <w:r>
        <w:rPr>
          <w:rFonts w:hint="eastAsia" w:ascii="仿宋_GB2312" w:hAnsi="宋体" w:eastAsia="仿宋_GB2312" w:cs="宋体"/>
          <w:b/>
          <w:bCs/>
          <w:color w:val="000000"/>
          <w:kern w:val="0"/>
          <w:sz w:val="32"/>
          <w:szCs w:val="32"/>
        </w:rPr>
        <w:t>3.产出</w:t>
      </w:r>
      <w:r>
        <w:rPr>
          <w:rFonts w:ascii="仿宋_GB2312" w:hAnsi="宋体" w:eastAsia="仿宋_GB2312" w:cs="宋体"/>
          <w:b/>
          <w:bCs/>
          <w:color w:val="000000"/>
          <w:kern w:val="0"/>
          <w:sz w:val="32"/>
          <w:szCs w:val="32"/>
        </w:rPr>
        <w:t>进度</w:t>
      </w:r>
      <w:bookmarkEnd w:id="14"/>
    </w:p>
    <w:p w14:paraId="1488D4F9">
      <w:pPr>
        <w:adjustRightInd w:val="0"/>
        <w:snapToGrid w:val="0"/>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2024年部门工作任务完成进度总体符合计划要求，各项工作推进进度管控较好。</w:t>
      </w:r>
    </w:p>
    <w:p w14:paraId="3B71069C">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ascii="仿宋_GB2312" w:hAnsi="宋体" w:eastAsia="仿宋_GB2312" w:cs="宋体"/>
          <w:b/>
          <w:bCs/>
          <w:color w:val="000000"/>
          <w:kern w:val="0"/>
          <w:sz w:val="32"/>
          <w:szCs w:val="32"/>
        </w:rPr>
        <w:t>4.</w:t>
      </w:r>
      <w:r>
        <w:rPr>
          <w:rFonts w:hint="eastAsia" w:ascii="仿宋_GB2312" w:hAnsi="宋体" w:eastAsia="仿宋_GB2312" w:cs="宋体"/>
          <w:b/>
          <w:bCs/>
          <w:color w:val="000000"/>
          <w:kern w:val="0"/>
          <w:sz w:val="32"/>
          <w:szCs w:val="32"/>
        </w:rPr>
        <w:t>产出</w:t>
      </w:r>
      <w:r>
        <w:rPr>
          <w:rFonts w:ascii="仿宋_GB2312" w:hAnsi="宋体" w:eastAsia="仿宋_GB2312" w:cs="宋体"/>
          <w:b/>
          <w:bCs/>
          <w:color w:val="000000"/>
          <w:kern w:val="0"/>
          <w:sz w:val="32"/>
          <w:szCs w:val="32"/>
        </w:rPr>
        <w:t>成本</w:t>
      </w:r>
    </w:p>
    <w:p w14:paraId="3EB245D0">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总体上，</w:t>
      </w:r>
      <w:r>
        <w:rPr>
          <w:rFonts w:hint="eastAsia" w:ascii="仿宋_GB2312" w:hAnsi="宋体" w:eastAsia="仿宋_GB2312" w:cs="宋体"/>
          <w:color w:val="000000"/>
          <w:kern w:val="0"/>
          <w:sz w:val="32"/>
          <w:szCs w:val="32"/>
        </w:rPr>
        <w:t>市政府参事室</w:t>
      </w:r>
      <w:r>
        <w:rPr>
          <w:rFonts w:hint="eastAsia" w:ascii="仿宋_GB2312" w:hAnsi="仿宋_GB2312" w:eastAsia="仿宋_GB2312" w:cs="仿宋_GB2312"/>
          <w:sz w:val="32"/>
          <w:szCs w:val="32"/>
        </w:rPr>
        <w:t>基本支出及项目支出均控制在年度预算范围内，年度预算执行中，根据</w:t>
      </w:r>
      <w:r>
        <w:rPr>
          <w:rFonts w:ascii="仿宋_GB2312" w:hAnsi="仿宋_GB2312" w:eastAsia="仿宋_GB2312" w:cs="仿宋_GB2312"/>
          <w:sz w:val="32"/>
          <w:szCs w:val="32"/>
        </w:rPr>
        <w:t>“厉行节约,反对浪费”</w:t>
      </w:r>
      <w:r>
        <w:rPr>
          <w:rFonts w:hint="eastAsia" w:ascii="仿宋_GB2312" w:hAnsi="仿宋_GB2312" w:eastAsia="仿宋_GB2312" w:cs="仿宋_GB2312"/>
          <w:sz w:val="32"/>
          <w:szCs w:val="32"/>
        </w:rPr>
        <w:t>的原则，严格按照相关制度要求控制运行成本，以无纸化办公、物品循环再利用等方式降低成本支出，以公开招标、比选等竞争性采购方式节约财政资金，未出现单项成本明显高于市场价格的情况。</w:t>
      </w:r>
    </w:p>
    <w:p w14:paraId="1D8AB76E">
      <w:pPr>
        <w:adjustRightInd w:val="0"/>
        <w:snapToGrid w:val="0"/>
        <w:spacing w:line="560" w:lineRule="exact"/>
        <w:ind w:firstLine="640" w:firstLineChars="200"/>
        <w:outlineLvl w:val="1"/>
        <w:rPr>
          <w:rFonts w:ascii="楷体_GB2312" w:eastAsia="楷体_GB2312"/>
          <w:sz w:val="32"/>
          <w:szCs w:val="32"/>
        </w:rPr>
      </w:pPr>
      <w:bookmarkStart w:id="15" w:name="_Toc135231100"/>
      <w:bookmarkStart w:id="16" w:name="_Toc135402102"/>
      <w:r>
        <w:rPr>
          <w:rFonts w:hint="eastAsia" w:ascii="楷体_GB2312" w:eastAsia="楷体_GB2312"/>
          <w:sz w:val="32"/>
          <w:szCs w:val="32"/>
        </w:rPr>
        <w:t>（二）效果</w:t>
      </w:r>
      <w:r>
        <w:rPr>
          <w:rFonts w:ascii="楷体_GB2312" w:eastAsia="楷体_GB2312"/>
          <w:sz w:val="32"/>
          <w:szCs w:val="32"/>
        </w:rPr>
        <w:t>实现情况分析</w:t>
      </w:r>
      <w:bookmarkEnd w:id="15"/>
      <w:bookmarkEnd w:id="16"/>
    </w:p>
    <w:p w14:paraId="0C7C637D">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4年度各项工作取得了显著成效，具体如下：</w:t>
      </w:r>
    </w:p>
    <w:p w14:paraId="3E98811F">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1.精心组织谋划，高质量推动市级重点任务落实落地</w:t>
      </w:r>
    </w:p>
    <w:p w14:paraId="52DE4F86">
      <w:pPr>
        <w:adjustRightInd w:val="0"/>
        <w:snapToGrid w:val="0"/>
        <w:spacing w:line="560" w:lineRule="exact"/>
        <w:ind w:firstLine="640" w:firstLineChars="200"/>
        <w:rPr>
          <w:rFonts w:eastAsia="仿宋_GB2312"/>
          <w:sz w:val="32"/>
          <w:szCs w:val="32"/>
        </w:rPr>
      </w:pPr>
      <w:r>
        <w:rPr>
          <w:rFonts w:hint="eastAsia" w:eastAsia="仿宋_GB2312"/>
          <w:sz w:val="32"/>
          <w:szCs w:val="32"/>
        </w:rPr>
        <w:t>聚焦《2024年市政府工作报告重点任务清单》中相关任务要求，制定《市政府参事、市文史馆馆员决策咨询会常态化组织工作机制（试行）》，明确决策咨询会流程和标准，更好服务参事、馆员发挥作用。围绕京津冀低空经济协同发展、京津冀新质生产力布局、区域文化传承与保护等内容组织京津冀晋豫参事室、文史馆开展联合课题调研、参加圆桌对话，为区域协同发展咨政建言。</w:t>
      </w:r>
    </w:p>
    <w:p w14:paraId="3E5203A8">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2.发挥参事作用，高质量建言献策</w:t>
      </w:r>
    </w:p>
    <w:p w14:paraId="2962782E">
      <w:pPr>
        <w:adjustRightInd w:val="0"/>
        <w:snapToGrid w:val="0"/>
        <w:spacing w:line="560" w:lineRule="exact"/>
        <w:ind w:firstLine="640" w:firstLineChars="200"/>
        <w:rPr>
          <w:rFonts w:eastAsia="仿宋_GB2312"/>
          <w:sz w:val="32"/>
          <w:szCs w:val="32"/>
        </w:rPr>
      </w:pPr>
      <w:r>
        <w:rPr>
          <w:rFonts w:hint="eastAsia" w:eastAsia="仿宋_GB2312"/>
          <w:sz w:val="32"/>
          <w:szCs w:val="32"/>
        </w:rPr>
        <w:t>围绕年度重点课题，组织参事深入调查研究。围绕构建现代化交通体系、区域文化传承与保护、人口高质量发展、绿色低碳转型、流域综合治理等不同领域开展自主调研。全年累计报送参事建议10篇，研究报告5册。</w:t>
      </w:r>
    </w:p>
    <w:p w14:paraId="29A094FC">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3.用好馆员资源，助力全国文化中心建设</w:t>
      </w:r>
    </w:p>
    <w:p w14:paraId="62C80B23">
      <w:pPr>
        <w:adjustRightInd w:val="0"/>
        <w:snapToGrid w:val="0"/>
        <w:spacing w:line="560" w:lineRule="exact"/>
        <w:ind w:firstLine="640" w:firstLineChars="200"/>
        <w:rPr>
          <w:rFonts w:eastAsia="仿宋_GB2312"/>
          <w:sz w:val="32"/>
          <w:szCs w:val="32"/>
        </w:rPr>
      </w:pPr>
      <w:r>
        <w:rPr>
          <w:rFonts w:hint="eastAsia" w:eastAsia="仿宋_GB2312"/>
          <w:sz w:val="32"/>
          <w:szCs w:val="32"/>
        </w:rPr>
        <w:t>组织馆员围绕“城市更新背景下加强北京历史文化保护传承利用”“新时代加强大运河（北京段）历史文化遗产保护传承利用”两个课题，开展调查研究，形成调研报告，积极建言首都文化发展。聚焦“现代科技助力北京中轴线保护传承利用”主题，联合有关单位举办第五届中轴线保护传承利用学术研讨会。做好精品图书的编辑出版，以文史馆组织创作的大型绘画作品《清末民初北京万象图》为素材，编辑出版中英文双语绘本《京华万象》。持续推进《北京地域文化通览·分区卷》编纂工作，完成《西城卷》出版、《通州卷》撰写工作。编辑出版四期《北京文史》刊物以及《古韵新风游京华》《京剧旦行》两册专辑。聚焦“北京的壁画和彩塑”主题，开展专题研究，深入挖掘历史文化的丰富内涵，拍摄相关影像资料。举办“京剧美鉴”系列讲座，组织馆员，介绍系列京剧专辑成果，进一步弘扬中华优秀传统文化。</w:t>
      </w:r>
    </w:p>
    <w:p w14:paraId="077C15FB">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4.参与承办重大活动，拓宽交流合作平台</w:t>
      </w:r>
    </w:p>
    <w:p w14:paraId="5E9DC8CC">
      <w:pPr>
        <w:adjustRightInd w:val="0"/>
        <w:snapToGrid w:val="0"/>
        <w:spacing w:line="560" w:lineRule="exact"/>
        <w:ind w:firstLine="640" w:firstLineChars="200"/>
        <w:rPr>
          <w:rFonts w:eastAsia="仿宋_GB2312"/>
          <w:sz w:val="32"/>
          <w:szCs w:val="32"/>
        </w:rPr>
      </w:pPr>
      <w:r>
        <w:rPr>
          <w:rFonts w:hint="eastAsia" w:eastAsia="仿宋_GB2312"/>
          <w:sz w:val="32"/>
          <w:szCs w:val="32"/>
        </w:rPr>
        <w:t>与国务院参事室合作，首次承办国家级论坛分论坛——中关村论坛年会创新驱动助力绿色发展平行论坛，全国各地参事代表，以及多国专家学者围绕创新驱动助力绿色发展主题作主旨演讲和高峰对话。助力北京文化论坛重大文化活动，成功举办“文艺点亮生活”专业沙龙，深入探讨文学、戏剧、雕塑等文化艺术如何更好丰富人民精神文化生活的新思路、新举措，进一步丰富了北京文化论坛的形式和内涵，取得良好成效。</w:t>
      </w:r>
    </w:p>
    <w:p w14:paraId="42D5F02A">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5.推进全面从严治党，不断提升党建质量</w:t>
      </w:r>
    </w:p>
    <w:p w14:paraId="3096DA85">
      <w:pPr>
        <w:adjustRightInd w:val="0"/>
        <w:snapToGrid w:val="0"/>
        <w:spacing w:line="560" w:lineRule="exact"/>
        <w:ind w:firstLine="640" w:firstLineChars="200"/>
        <w:rPr>
          <w:rFonts w:eastAsia="仿宋_GB2312"/>
          <w:sz w:val="32"/>
          <w:szCs w:val="32"/>
        </w:rPr>
      </w:pPr>
      <w:r>
        <w:rPr>
          <w:rFonts w:hint="eastAsia" w:eastAsia="仿宋_GB2312"/>
          <w:sz w:val="32"/>
          <w:szCs w:val="32"/>
        </w:rPr>
        <w:t>室馆党组把全面从严治党放在首位，严格落实党风廉政建设，意识形态工作责任制。制定年度宣传、统战、机关党建工作计划和全面从严治党责任清单，层层压实党建工作责任，召开全面从严治党总结部署会。优化党组织调整设置，推进党组织规范化标准化建设，不断强化政治功能和组织功能。</w:t>
      </w:r>
    </w:p>
    <w:p w14:paraId="07683B46">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6.加强队伍建设，强化服务保障</w:t>
      </w:r>
    </w:p>
    <w:p w14:paraId="53B5024C">
      <w:pPr>
        <w:adjustRightInd w:val="0"/>
        <w:snapToGrid w:val="0"/>
        <w:spacing w:line="560" w:lineRule="exact"/>
        <w:ind w:firstLine="640" w:firstLineChars="200"/>
        <w:rPr>
          <w:rFonts w:eastAsia="仿宋_GB2312"/>
          <w:sz w:val="32"/>
          <w:szCs w:val="32"/>
        </w:rPr>
      </w:pPr>
      <w:r>
        <w:rPr>
          <w:rFonts w:hint="eastAsia" w:eastAsia="仿宋_GB2312"/>
          <w:sz w:val="32"/>
          <w:szCs w:val="32"/>
        </w:rPr>
        <w:t>积极推进2024年参事、馆员选聘工作。另聘任了特约研究员，进一步充实工作力量。</w:t>
      </w:r>
    </w:p>
    <w:p w14:paraId="2F8F00CF">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7.服务对象</w:t>
      </w:r>
      <w:r>
        <w:rPr>
          <w:rFonts w:ascii="仿宋_GB2312" w:hAnsi="宋体" w:eastAsia="仿宋_GB2312" w:cs="宋体"/>
          <w:b/>
          <w:bCs/>
          <w:color w:val="000000"/>
          <w:kern w:val="0"/>
          <w:sz w:val="32"/>
          <w:szCs w:val="32"/>
        </w:rPr>
        <w:t>满意度</w:t>
      </w:r>
    </w:p>
    <w:p w14:paraId="6A54287B">
      <w:pPr>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经调研了解，市政府参事及特约研究员对参事室2024年度工作未提出不满意情况，专家、学者及各界读者对《京剧行当之旦行》《北京地域文化通览》（西城卷）的满意度为90%以上。</w:t>
      </w:r>
    </w:p>
    <w:p w14:paraId="4F2AE263">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17" w:name="_Toc135402103"/>
      <w:bookmarkStart w:id="18" w:name="_Toc135231101"/>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7"/>
      <w:bookmarkEnd w:id="18"/>
    </w:p>
    <w:p w14:paraId="14F26EAA">
      <w:pPr>
        <w:adjustRightInd w:val="0"/>
        <w:snapToGrid w:val="0"/>
        <w:spacing w:line="560" w:lineRule="exact"/>
        <w:ind w:firstLine="640" w:firstLineChars="200"/>
        <w:outlineLvl w:val="1"/>
        <w:rPr>
          <w:rFonts w:ascii="楷体_GB2312" w:eastAsia="楷体_GB2312"/>
          <w:sz w:val="32"/>
          <w:szCs w:val="32"/>
        </w:rPr>
      </w:pPr>
      <w:bookmarkStart w:id="19" w:name="_Toc135231102"/>
      <w:bookmarkStart w:id="20" w:name="_Toc135402104"/>
      <w:r>
        <w:rPr>
          <w:rFonts w:hint="eastAsia" w:ascii="楷体_GB2312" w:eastAsia="楷体_GB2312"/>
          <w:sz w:val="32"/>
          <w:szCs w:val="32"/>
        </w:rPr>
        <w:t>（一）财务管理</w:t>
      </w:r>
      <w:bookmarkEnd w:id="19"/>
      <w:bookmarkEnd w:id="20"/>
    </w:p>
    <w:p w14:paraId="4B510783">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bookmarkStart w:id="21" w:name="_Toc135231103"/>
      <w:r>
        <w:rPr>
          <w:rFonts w:hint="eastAsia" w:ascii="仿宋_GB2312" w:hAnsi="宋体" w:eastAsia="仿宋_GB2312" w:cs="宋体"/>
          <w:b/>
          <w:bCs/>
          <w:color w:val="000000"/>
          <w:kern w:val="0"/>
          <w:sz w:val="32"/>
          <w:szCs w:val="32"/>
        </w:rPr>
        <w:t>1.财务</w:t>
      </w:r>
      <w:r>
        <w:rPr>
          <w:rFonts w:ascii="仿宋_GB2312" w:hAnsi="宋体" w:eastAsia="仿宋_GB2312" w:cs="宋体"/>
          <w:b/>
          <w:bCs/>
          <w:color w:val="000000"/>
          <w:kern w:val="0"/>
          <w:sz w:val="32"/>
          <w:szCs w:val="32"/>
        </w:rPr>
        <w:t>管理制度健全性</w:t>
      </w:r>
      <w:bookmarkEnd w:id="21"/>
    </w:p>
    <w:p w14:paraId="530A774A">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结合单位实际情况，全面梳理单位经济活动，制定了《北京市人民政府参事室（北京市文史研究馆）内部控制手册（试行）》，以制度形式明确了单位预算管理、绩效跟踪管理、资产管理、内部财务管理、会计核算等方面要求。总体上，财务管理制度较为健全。</w:t>
      </w:r>
    </w:p>
    <w:p w14:paraId="077FBC05">
      <w:pPr>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预算管理方面。</w:t>
      </w:r>
      <w:r>
        <w:rPr>
          <w:rFonts w:hint="eastAsia" w:ascii="仿宋_GB2312" w:hAnsi="宋体" w:eastAsia="仿宋_GB2312" w:cs="宋体"/>
          <w:color w:val="000000"/>
          <w:kern w:val="0"/>
          <w:sz w:val="32"/>
          <w:szCs w:val="32"/>
        </w:rPr>
        <w:t>一是明确了涵盖预算编报、批复下达、执行、追加调整、决算、绩效评价等程序的工作流程及风险控制文档；二是制定了《参事室（文史馆）预算管理办法（试行）》，对预算管理职责、预算编制、预算执行与分析、预算调整、决算与评价等提出了具体要求。</w:t>
      </w:r>
    </w:p>
    <w:p w14:paraId="091099EE">
      <w:pPr>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绩效跟踪管理方面。</w:t>
      </w:r>
      <w:r>
        <w:rPr>
          <w:rFonts w:hint="eastAsia" w:ascii="仿宋_GB2312" w:hAnsi="宋体" w:eastAsia="仿宋_GB2312" w:cs="宋体"/>
          <w:color w:val="000000"/>
          <w:kern w:val="0"/>
          <w:sz w:val="32"/>
          <w:szCs w:val="32"/>
        </w:rPr>
        <w:t>主要根据预算资金管理工作流程、《参事室（文史馆）预算绩效管理办法（试行）》中关于绩效评价、绩效管理等方面的管理要求，按照《北京市预算绩效管理办法》《北京市市级财政支出事前绩效评估管理办法》《北京市预算绩效目标管理办法》《北京市市级部门预算绩效运行监控管理办法》《北京市项目支出绩效评价管理办法》《北京市市级财政支出成本预算绩效分析操作流程》等制度文件执行。</w:t>
      </w:r>
    </w:p>
    <w:p w14:paraId="52B04E6F">
      <w:pPr>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资产管理方面。</w:t>
      </w:r>
      <w:r>
        <w:rPr>
          <w:rFonts w:hint="eastAsia" w:ascii="仿宋_GB2312" w:hAnsi="宋体" w:eastAsia="仿宋_GB2312" w:cs="宋体"/>
          <w:color w:val="000000"/>
          <w:kern w:val="0"/>
          <w:sz w:val="32"/>
          <w:szCs w:val="32"/>
        </w:rPr>
        <w:t>一是明确了固定资产、书画作品等资产的购置、入库、管理及处置等方面的详细工作流程及风险控制文档；二是制定了《参事室固定资产管理办法（试行）》，对固定资产的范围及分类、管理机构和职责、固定资产的增加、领用、日常管理和处置等方面提出了具体要求。同时制定了《办公用品及低值易耗品管理制度（试行）》《参事室（文史馆）货币资金管理办法（试行）》《参事室（文史馆）馆藏书画作品管理制度（试行）》《室馆刊物出入库管理制度（征求意见稿）》等系列实物资产管理制度，为各方面实物资产的管理提供了明确依据。</w:t>
      </w:r>
    </w:p>
    <w:p w14:paraId="73442968">
      <w:pPr>
        <w:adjustRightInd w:val="0"/>
        <w:snapToGrid w:val="0"/>
        <w:spacing w:line="560" w:lineRule="exact"/>
        <w:ind w:firstLine="643" w:firstLineChars="20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财务及资金管理方面。</w:t>
      </w:r>
      <w:r>
        <w:rPr>
          <w:rFonts w:hint="eastAsia" w:ascii="仿宋_GB2312" w:hAnsi="宋体" w:eastAsia="仿宋_GB2312" w:cs="宋体"/>
          <w:color w:val="000000"/>
          <w:kern w:val="0"/>
          <w:sz w:val="32"/>
          <w:szCs w:val="32"/>
        </w:rPr>
        <w:t>一是明确了采购管理、合同管理、资金管理工作流程及风险控制文档；二是制定了《参事室（文史馆）采购工作管理办法（试行）》《参事室（文史馆）合同管理办法（试行）》《参事室（文史馆）资金支出管理办法（试行）》《参事室（文史馆）差旅费管理办法（试行）》《参事室（文史馆）公务卡管理办法（试行）》等管理制度，为财务管理工作提供了明确依据。</w:t>
      </w:r>
    </w:p>
    <w:p w14:paraId="43095D67">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2.资金使用合规性</w:t>
      </w:r>
      <w:r>
        <w:rPr>
          <w:rFonts w:ascii="仿宋_GB2312" w:hAnsi="宋体" w:eastAsia="仿宋_GB2312" w:cs="宋体"/>
          <w:b/>
          <w:bCs/>
          <w:color w:val="000000"/>
          <w:kern w:val="0"/>
          <w:sz w:val="32"/>
          <w:szCs w:val="32"/>
        </w:rPr>
        <w:t>和安全性</w:t>
      </w:r>
    </w:p>
    <w:p w14:paraId="761F5C93">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单位严格按照相关财务管理制度使用和支出资金。2024年度资金拨付均履行了完整的审批程序和手续，资金支出方向与部门预算批复用途基本一致，不存在截留、挤占、挪用的情况，资金使用符合政府采购程序与流程，符合公务卡结算相关制度和规定。</w:t>
      </w:r>
    </w:p>
    <w:p w14:paraId="0CAE7C2B">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ascii="仿宋_GB2312" w:hAnsi="宋体" w:eastAsia="仿宋_GB2312" w:cs="宋体"/>
          <w:b/>
          <w:bCs/>
          <w:color w:val="000000"/>
          <w:kern w:val="0"/>
          <w:sz w:val="32"/>
          <w:szCs w:val="32"/>
        </w:rPr>
        <w:t>3.</w:t>
      </w:r>
      <w:r>
        <w:rPr>
          <w:rFonts w:hint="eastAsia" w:ascii="仿宋_GB2312" w:hAnsi="宋体" w:eastAsia="仿宋_GB2312" w:cs="宋体"/>
          <w:b/>
          <w:bCs/>
          <w:color w:val="000000"/>
          <w:kern w:val="0"/>
          <w:sz w:val="32"/>
          <w:szCs w:val="32"/>
        </w:rPr>
        <w:t>会计</w:t>
      </w:r>
      <w:r>
        <w:rPr>
          <w:rFonts w:ascii="仿宋_GB2312" w:hAnsi="宋体" w:eastAsia="仿宋_GB2312" w:cs="宋体"/>
          <w:b/>
          <w:bCs/>
          <w:color w:val="000000"/>
          <w:kern w:val="0"/>
          <w:sz w:val="32"/>
          <w:szCs w:val="32"/>
        </w:rPr>
        <w:t>基础信息完善性</w:t>
      </w:r>
    </w:p>
    <w:p w14:paraId="3A42641A">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单位严格按照《中华人民共和国会计法》《中华人民共和国预算法》《政府会计准则——基本准则》《政府会计制度——行政事业单位会计科目和报表》等要求，对发生的各项经济业务或事项进行会计核算，具备财务会计与预算会计双重功能。</w:t>
      </w:r>
    </w:p>
    <w:p w14:paraId="7BCFFCE5">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关于开展行政事业单位内部控制报告编制的有关要求，经自查，部门六个业务板块，即“预算管理、合同管理、采购管理、收支管理、项目管理、资产管理”所涉及的基础数据信息和会计信息资料留存真实、完整、准确。</w:t>
      </w:r>
    </w:p>
    <w:p w14:paraId="35C1F9DA">
      <w:pPr>
        <w:adjustRightInd w:val="0"/>
        <w:snapToGrid w:val="0"/>
        <w:spacing w:line="560" w:lineRule="exact"/>
        <w:ind w:firstLine="640" w:firstLineChars="200"/>
        <w:outlineLvl w:val="1"/>
        <w:rPr>
          <w:rFonts w:ascii="楷体_GB2312" w:eastAsia="楷体_GB2312"/>
          <w:sz w:val="32"/>
          <w:szCs w:val="32"/>
        </w:rPr>
      </w:pPr>
      <w:bookmarkStart w:id="22" w:name="_Toc135231106"/>
      <w:bookmarkStart w:id="23" w:name="_Toc135402105"/>
      <w:r>
        <w:rPr>
          <w:rFonts w:hint="eastAsia" w:ascii="楷体_GB2312" w:eastAsia="楷体_GB2312"/>
          <w:sz w:val="32"/>
          <w:szCs w:val="32"/>
        </w:rPr>
        <w:t>（二）资产管理</w:t>
      </w:r>
      <w:bookmarkEnd w:id="22"/>
      <w:bookmarkEnd w:id="23"/>
    </w:p>
    <w:p w14:paraId="7EF8157E">
      <w:pPr>
        <w:adjustRightInd w:val="0"/>
        <w:snapToGrid w:val="0"/>
        <w:spacing w:line="560" w:lineRule="exact"/>
        <w:ind w:firstLine="640" w:firstLineChars="200"/>
        <w:rPr>
          <w:rFonts w:ascii="仿宋_GB2312" w:hAnsi="仿宋" w:eastAsia="仿宋_GB2312"/>
          <w:sz w:val="32"/>
          <w:szCs w:val="32"/>
        </w:rPr>
      </w:pPr>
      <w:r>
        <w:rPr>
          <w:rFonts w:hint="eastAsia" w:ascii="仿宋_GB2312" w:hAnsi="宋体" w:eastAsia="仿宋_GB2312" w:cs="宋体"/>
          <w:color w:val="000000"/>
          <w:kern w:val="0"/>
          <w:sz w:val="32"/>
          <w:szCs w:val="32"/>
        </w:rPr>
        <w:t>单位严格按照《参事室固定资产管理办法（试行）》等制度要求进行资产管理。</w:t>
      </w:r>
      <w:r>
        <w:rPr>
          <w:rFonts w:hint="eastAsia" w:ascii="仿宋_GB2312" w:hAnsi="仿宋" w:eastAsia="仿宋_GB2312"/>
          <w:sz w:val="32"/>
          <w:szCs w:val="32"/>
        </w:rPr>
        <w:t>各处室在年度终了前对固定资产进行全面清查，形成固定资产盘点表并对盘亏、盘盈资产查明原因，说明情况，报秘书处资产组备案。秘书处资产组汇总固定资产清查情况，同时抽取部分固定资产实物进行现场盘点。</w:t>
      </w:r>
    </w:p>
    <w:p w14:paraId="42F45131">
      <w:pPr>
        <w:spacing w:line="56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2024年度资产使用规范，资产账实一致，无盘盈盘亏问题。不存在超标准配置资产，不存在未经批准擅自出租、出借资产行为，不存在不按要求进行报批或资产不公开处置行为，不存在对外投资行为。资产使用状况良好，未发现因国有资产的不当使用造成的国有资产流失情况。</w:t>
      </w:r>
    </w:p>
    <w:p w14:paraId="6558FBFE">
      <w:pPr>
        <w:adjustRightInd w:val="0"/>
        <w:snapToGrid w:val="0"/>
        <w:spacing w:line="560" w:lineRule="exact"/>
        <w:ind w:firstLine="640" w:firstLineChars="200"/>
        <w:outlineLvl w:val="1"/>
        <w:rPr>
          <w:rFonts w:ascii="楷体_GB2312" w:eastAsia="楷体_GB2312"/>
          <w:sz w:val="32"/>
          <w:szCs w:val="32"/>
        </w:rPr>
      </w:pPr>
      <w:bookmarkStart w:id="24" w:name="_Toc135402106"/>
      <w:bookmarkStart w:id="25" w:name="_Toc135231107"/>
      <w:r>
        <w:rPr>
          <w:rFonts w:hint="eastAsia" w:ascii="楷体_GB2312" w:eastAsia="楷体_GB2312"/>
          <w:sz w:val="32"/>
          <w:szCs w:val="32"/>
        </w:rPr>
        <w:t>（三）绩效</w:t>
      </w:r>
      <w:r>
        <w:rPr>
          <w:rFonts w:ascii="楷体_GB2312" w:eastAsia="楷体_GB2312"/>
          <w:sz w:val="32"/>
          <w:szCs w:val="32"/>
        </w:rPr>
        <w:t>管理</w:t>
      </w:r>
      <w:bookmarkEnd w:id="24"/>
      <w:bookmarkEnd w:id="25"/>
    </w:p>
    <w:p w14:paraId="213B177A">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4年，单位根据全面预算绩效管理的相关要求及内部有关制度开展绩效管理工作，及时进行绩效信息汇总分析、绩效目标纠偏工作。具体情况如下：</w:t>
      </w:r>
    </w:p>
    <w:p w14:paraId="4682216B">
      <w:pPr>
        <w:spacing w:line="600" w:lineRule="exact"/>
        <w:ind w:left="105" w:leftChars="50" w:firstLine="482" w:firstLineChars="150"/>
        <w:rPr>
          <w:rFonts w:ascii="仿宋_GB2312" w:hAnsi="宋体" w:eastAsia="仿宋_GB2312" w:cs="宋体"/>
          <w:color w:val="000000"/>
          <w:kern w:val="0"/>
          <w:sz w:val="32"/>
          <w:szCs w:val="32"/>
        </w:rPr>
      </w:pPr>
      <w:r>
        <w:rPr>
          <w:rFonts w:hint="eastAsia" w:ascii="仿宋_GB2312" w:hAnsi="宋体" w:eastAsia="仿宋_GB2312" w:cs="宋体"/>
          <w:b/>
          <w:bCs/>
          <w:color w:val="000000"/>
          <w:kern w:val="0"/>
          <w:sz w:val="32"/>
          <w:szCs w:val="32"/>
        </w:rPr>
        <w:t>组织机构设置方面。</w:t>
      </w:r>
      <w:r>
        <w:rPr>
          <w:rFonts w:hint="eastAsia" w:ascii="仿宋_GB2312" w:hAnsi="宋体" w:eastAsia="仿宋_GB2312" w:cs="宋体"/>
          <w:color w:val="000000"/>
          <w:kern w:val="0"/>
          <w:sz w:val="32"/>
          <w:szCs w:val="32"/>
        </w:rPr>
        <w:t>成立绩效管理工作组，制定了实施方案，由主要领导担任工作组组长，负责协调、处理、决定绩效评价工作中的重大事项，研究解决工作中遇到的重大问题。秘书处及项目实施部门作为成员单位，其中秘书处为牵头部门，负责具体组织绩效管理工作，组织审核相关资料、撰写报告等。项目实施部门负责项目资料的归集和整理，按要求填写项目支出绩效自评表等资料，由秘书处审核。</w:t>
      </w:r>
    </w:p>
    <w:p w14:paraId="04E4DB51">
      <w:pPr>
        <w:spacing w:line="560" w:lineRule="exact"/>
        <w:ind w:left="105" w:leftChars="50" w:firstLine="482" w:firstLineChars="150"/>
        <w:rPr>
          <w:rFonts w:ascii="仿宋_GB2312" w:eastAsia="仿宋_GB2312"/>
          <w:sz w:val="32"/>
          <w:szCs w:val="32"/>
        </w:rPr>
      </w:pPr>
      <w:r>
        <w:rPr>
          <w:rFonts w:hint="eastAsia" w:ascii="仿宋_GB2312" w:hAnsi="宋体" w:eastAsia="仿宋_GB2312" w:cs="宋体"/>
          <w:b/>
          <w:bCs/>
          <w:color w:val="000000"/>
          <w:kern w:val="0"/>
          <w:sz w:val="32"/>
          <w:szCs w:val="32"/>
        </w:rPr>
        <w:t>绩效管理工作开展方面。</w:t>
      </w:r>
      <w:r>
        <w:rPr>
          <w:rFonts w:hint="eastAsia" w:ascii="仿宋_GB2312" w:hAnsi="宋体" w:eastAsia="仿宋_GB2312" w:cs="宋体"/>
          <w:color w:val="000000"/>
          <w:kern w:val="0"/>
          <w:sz w:val="32"/>
          <w:szCs w:val="32"/>
        </w:rPr>
        <w:t>2024年4月-5月，对2023年度设定绩效目标的18个项目全部开展了绩效评价，其中17个项目为单位自评，《北京文史》出版经费项目为部门重点评价（评价得分90.58分，绩效评定结论为“优”），同步开展了部门整体绩效评价，形成自评表、项目绩效评价报告、部门整体绩效评价报告等成果。</w:t>
      </w:r>
      <w:r>
        <w:rPr>
          <w:rFonts w:hint="eastAsia" w:ascii="仿宋_GB2312" w:eastAsia="仿宋_GB2312"/>
          <w:sz w:val="32"/>
          <w:szCs w:val="32"/>
        </w:rPr>
        <w:t>8月，对2</w:t>
      </w:r>
      <w:r>
        <w:rPr>
          <w:rFonts w:ascii="仿宋_GB2312" w:eastAsia="仿宋_GB2312"/>
          <w:sz w:val="32"/>
          <w:szCs w:val="32"/>
        </w:rPr>
        <w:t>02</w:t>
      </w:r>
      <w:r>
        <w:rPr>
          <w:rFonts w:hint="eastAsia" w:ascii="仿宋_GB2312" w:eastAsia="仿宋_GB2312"/>
          <w:sz w:val="32"/>
          <w:szCs w:val="32"/>
        </w:rPr>
        <w:t>4年部门预算涉及的18个项目在1-6月份的预算执行和绩效目标实现程度开展绩效监控分析，形成监控报告、监控汇总表。1</w:t>
      </w:r>
      <w:r>
        <w:rPr>
          <w:rFonts w:ascii="仿宋_GB2312" w:eastAsia="仿宋_GB2312"/>
          <w:sz w:val="32"/>
          <w:szCs w:val="32"/>
        </w:rPr>
        <w:t>0</w:t>
      </w:r>
      <w:r>
        <w:rPr>
          <w:rFonts w:hint="eastAsia" w:ascii="仿宋_GB2312" w:eastAsia="仿宋_GB2312"/>
          <w:sz w:val="32"/>
          <w:szCs w:val="32"/>
        </w:rPr>
        <w:t>月-</w:t>
      </w:r>
      <w:r>
        <w:rPr>
          <w:rFonts w:ascii="仿宋_GB2312" w:eastAsia="仿宋_GB2312"/>
          <w:sz w:val="32"/>
          <w:szCs w:val="32"/>
        </w:rPr>
        <w:t>11</w:t>
      </w:r>
      <w:r>
        <w:rPr>
          <w:rFonts w:hint="eastAsia" w:ascii="仿宋_GB2312" w:eastAsia="仿宋_GB2312"/>
          <w:sz w:val="32"/>
          <w:szCs w:val="32"/>
        </w:rPr>
        <w:t>月，梳理单位拟申报的2</w:t>
      </w:r>
      <w:r>
        <w:rPr>
          <w:rFonts w:ascii="仿宋_GB2312" w:eastAsia="仿宋_GB2312"/>
          <w:sz w:val="32"/>
          <w:szCs w:val="32"/>
        </w:rPr>
        <w:t>02</w:t>
      </w:r>
      <w:r>
        <w:rPr>
          <w:rFonts w:hint="eastAsia" w:ascii="仿宋_GB2312" w:eastAsia="仿宋_GB2312"/>
          <w:sz w:val="32"/>
          <w:szCs w:val="32"/>
        </w:rPr>
        <w:t>5年度部门预算项目，编制了项目申报书、绩效目标申报表等资料。</w:t>
      </w:r>
    </w:p>
    <w:p w14:paraId="283CF02E">
      <w:pPr>
        <w:adjustRightInd w:val="0"/>
        <w:snapToGrid w:val="0"/>
        <w:spacing w:line="560" w:lineRule="exact"/>
        <w:ind w:firstLine="640" w:firstLineChars="200"/>
        <w:outlineLvl w:val="1"/>
        <w:rPr>
          <w:rFonts w:ascii="楷体_GB2312" w:eastAsia="楷体_GB2312"/>
          <w:sz w:val="32"/>
          <w:szCs w:val="32"/>
        </w:rPr>
      </w:pPr>
      <w:bookmarkStart w:id="26" w:name="_Toc135231108"/>
      <w:bookmarkStart w:id="27" w:name="_Toc135402107"/>
      <w:r>
        <w:rPr>
          <w:rFonts w:hint="eastAsia" w:ascii="楷体_GB2312" w:eastAsia="楷体_GB2312"/>
          <w:sz w:val="32"/>
          <w:szCs w:val="32"/>
        </w:rPr>
        <w:t>（四）结转结余率</w:t>
      </w:r>
      <w:bookmarkEnd w:id="26"/>
      <w:bookmarkEnd w:id="27"/>
    </w:p>
    <w:p w14:paraId="083D8C71">
      <w:pPr>
        <w:adjustRightInd w:val="0"/>
        <w:snapToGrid w:val="0"/>
        <w:spacing w:line="560" w:lineRule="exact"/>
        <w:ind w:firstLine="640" w:firstLineChars="200"/>
        <w:rPr>
          <w:rFonts w:ascii="仿宋_GB2312" w:eastAsia="仿宋_GB2312"/>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4年度，一般公共预算部门整体结转结余资金311.09万元，占支出预算数3283.68万元的9.47</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。资金执行情况较好，结转结余率较上年有所下降</w:t>
      </w:r>
      <w:r>
        <w:rPr>
          <w:rFonts w:hint="eastAsia" w:ascii="仿宋_GB2312" w:eastAsia="仿宋_GB2312"/>
          <w:sz w:val="32"/>
          <w:szCs w:val="32"/>
        </w:rPr>
        <w:t>。</w:t>
      </w:r>
    </w:p>
    <w:p w14:paraId="69C67128">
      <w:pPr>
        <w:adjustRightInd w:val="0"/>
        <w:snapToGrid w:val="0"/>
        <w:spacing w:line="560" w:lineRule="exact"/>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表2：2</w:t>
      </w:r>
      <w:r>
        <w:rPr>
          <w:rFonts w:ascii="黑体" w:hAnsi="黑体" w:eastAsia="黑体" w:cs="宋体"/>
          <w:color w:val="000000"/>
          <w:kern w:val="0"/>
          <w:sz w:val="28"/>
          <w:szCs w:val="28"/>
        </w:rPr>
        <w:t>02</w:t>
      </w:r>
      <w:r>
        <w:rPr>
          <w:rFonts w:hint="eastAsia" w:ascii="黑体" w:hAnsi="黑体" w:eastAsia="黑体" w:cs="宋体"/>
          <w:color w:val="000000"/>
          <w:kern w:val="0"/>
          <w:sz w:val="28"/>
          <w:szCs w:val="28"/>
        </w:rPr>
        <w:t>3年度、</w:t>
      </w:r>
      <w:r>
        <w:rPr>
          <w:rFonts w:ascii="黑体" w:hAnsi="黑体" w:eastAsia="黑体" w:cs="宋体"/>
          <w:color w:val="000000"/>
          <w:kern w:val="0"/>
          <w:sz w:val="28"/>
          <w:szCs w:val="28"/>
        </w:rPr>
        <w:t>202</w:t>
      </w:r>
      <w:r>
        <w:rPr>
          <w:rFonts w:hint="eastAsia" w:ascii="黑体" w:hAnsi="黑体" w:eastAsia="黑体" w:cs="宋体"/>
          <w:color w:val="000000"/>
          <w:kern w:val="0"/>
          <w:sz w:val="28"/>
          <w:szCs w:val="28"/>
        </w:rPr>
        <w:t>4年度一般公共预算结转结余情况对比表</w:t>
      </w:r>
    </w:p>
    <w:p w14:paraId="6EC10CB8">
      <w:pPr>
        <w:adjustRightInd w:val="0"/>
        <w:snapToGrid w:val="0"/>
        <w:spacing w:line="560" w:lineRule="exact"/>
        <w:ind w:firstLine="440" w:firstLineChars="200"/>
        <w:jc w:val="right"/>
        <w:rPr>
          <w:rFonts w:ascii="宋体" w:hAnsi="宋体" w:cs="宋体"/>
          <w:color w:val="000000"/>
          <w:kern w:val="0"/>
          <w:sz w:val="22"/>
          <w:szCs w:val="22"/>
        </w:rPr>
      </w:pPr>
      <w:r>
        <w:rPr>
          <w:rFonts w:hint="eastAsia" w:ascii="宋体" w:hAnsi="宋体" w:cs="宋体"/>
          <w:color w:val="000000"/>
          <w:kern w:val="0"/>
          <w:sz w:val="22"/>
          <w:szCs w:val="22"/>
        </w:rPr>
        <w:t>单位：万元</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705F6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0" w:type="pct"/>
            <w:vAlign w:val="center"/>
          </w:tcPr>
          <w:p w14:paraId="542E2CD2">
            <w:pPr>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年度</w:t>
            </w:r>
          </w:p>
        </w:tc>
        <w:tc>
          <w:tcPr>
            <w:tcW w:w="1000" w:type="pct"/>
            <w:vAlign w:val="center"/>
          </w:tcPr>
          <w:p w14:paraId="1BE4AA0B">
            <w:pPr>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全年预算数</w:t>
            </w:r>
          </w:p>
        </w:tc>
        <w:tc>
          <w:tcPr>
            <w:tcW w:w="1000" w:type="pct"/>
            <w:vAlign w:val="center"/>
          </w:tcPr>
          <w:p w14:paraId="4D17E8BA">
            <w:pPr>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全年执行数</w:t>
            </w:r>
          </w:p>
        </w:tc>
        <w:tc>
          <w:tcPr>
            <w:tcW w:w="1000" w:type="pct"/>
            <w:vAlign w:val="center"/>
          </w:tcPr>
          <w:p w14:paraId="0C33A7EE">
            <w:pPr>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结转结余金额</w:t>
            </w:r>
          </w:p>
        </w:tc>
        <w:tc>
          <w:tcPr>
            <w:tcW w:w="1000" w:type="pct"/>
            <w:vAlign w:val="center"/>
          </w:tcPr>
          <w:p w14:paraId="0F6AEC00">
            <w:pPr>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结转结余率</w:t>
            </w:r>
          </w:p>
        </w:tc>
      </w:tr>
      <w:tr w14:paraId="0DDF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0" w:type="pct"/>
            <w:vAlign w:val="center"/>
          </w:tcPr>
          <w:p w14:paraId="3D1047DC">
            <w:pPr>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2023年</w:t>
            </w:r>
          </w:p>
        </w:tc>
        <w:tc>
          <w:tcPr>
            <w:tcW w:w="1000" w:type="pct"/>
            <w:vAlign w:val="center"/>
          </w:tcPr>
          <w:p w14:paraId="78FFF7B8">
            <w:pPr>
              <w:adjustRightInd w:val="0"/>
              <w:snapToGrid w:val="0"/>
              <w:jc w:val="right"/>
              <w:rPr>
                <w:rFonts w:ascii="宋体" w:hAnsi="宋体" w:cs="宋体"/>
                <w:color w:val="000000"/>
                <w:kern w:val="0"/>
                <w:sz w:val="20"/>
                <w:szCs w:val="20"/>
              </w:rPr>
            </w:pPr>
            <w:r>
              <w:rPr>
                <w:rFonts w:hint="eastAsia" w:ascii="宋体" w:hAnsi="宋体" w:cs="宋体"/>
                <w:color w:val="000000"/>
                <w:kern w:val="0"/>
                <w:sz w:val="20"/>
                <w:szCs w:val="20"/>
              </w:rPr>
              <w:t>3032.59</w:t>
            </w:r>
          </w:p>
        </w:tc>
        <w:tc>
          <w:tcPr>
            <w:tcW w:w="1000" w:type="pct"/>
            <w:vAlign w:val="center"/>
          </w:tcPr>
          <w:p w14:paraId="6F2365F8">
            <w:pPr>
              <w:adjustRightInd w:val="0"/>
              <w:snapToGrid w:val="0"/>
              <w:jc w:val="right"/>
              <w:rPr>
                <w:rFonts w:ascii="宋体" w:hAnsi="宋体" w:cs="宋体"/>
                <w:color w:val="000000"/>
                <w:kern w:val="0"/>
                <w:sz w:val="20"/>
                <w:szCs w:val="20"/>
              </w:rPr>
            </w:pPr>
            <w:r>
              <w:rPr>
                <w:rFonts w:hint="eastAsia" w:ascii="宋体" w:hAnsi="宋体" w:cs="宋体"/>
                <w:color w:val="000000"/>
                <w:kern w:val="0"/>
                <w:sz w:val="20"/>
                <w:szCs w:val="20"/>
              </w:rPr>
              <w:t>2738.00</w:t>
            </w:r>
          </w:p>
        </w:tc>
        <w:tc>
          <w:tcPr>
            <w:tcW w:w="1000" w:type="pct"/>
            <w:vAlign w:val="center"/>
          </w:tcPr>
          <w:p w14:paraId="726FF8C9">
            <w:pPr>
              <w:adjustRightInd w:val="0"/>
              <w:snapToGrid w:val="0"/>
              <w:jc w:val="right"/>
              <w:rPr>
                <w:rFonts w:ascii="宋体" w:hAnsi="宋体" w:cs="宋体"/>
                <w:color w:val="000000"/>
                <w:kern w:val="0"/>
                <w:sz w:val="20"/>
                <w:szCs w:val="20"/>
              </w:rPr>
            </w:pPr>
            <w:r>
              <w:rPr>
                <w:rFonts w:hint="eastAsia" w:ascii="宋体" w:hAnsi="宋体" w:cs="宋体"/>
                <w:color w:val="000000"/>
                <w:kern w:val="0"/>
                <w:sz w:val="20"/>
                <w:szCs w:val="20"/>
              </w:rPr>
              <w:t>294.59</w:t>
            </w:r>
          </w:p>
        </w:tc>
        <w:tc>
          <w:tcPr>
            <w:tcW w:w="1000" w:type="pct"/>
            <w:vAlign w:val="center"/>
          </w:tcPr>
          <w:p w14:paraId="0D760098">
            <w:pPr>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9.71%</w:t>
            </w:r>
          </w:p>
        </w:tc>
      </w:tr>
      <w:tr w14:paraId="3A173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00" w:type="pct"/>
            <w:vAlign w:val="center"/>
          </w:tcPr>
          <w:p w14:paraId="2F78F694">
            <w:pPr>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2024年</w:t>
            </w:r>
          </w:p>
        </w:tc>
        <w:tc>
          <w:tcPr>
            <w:tcW w:w="1000" w:type="pct"/>
            <w:vAlign w:val="center"/>
          </w:tcPr>
          <w:p w14:paraId="5D437C90">
            <w:pPr>
              <w:adjustRightInd w:val="0"/>
              <w:snapToGrid w:val="0"/>
              <w:jc w:val="right"/>
              <w:rPr>
                <w:rFonts w:ascii="宋体" w:hAnsi="宋体" w:cs="宋体"/>
                <w:color w:val="000000"/>
                <w:kern w:val="0"/>
                <w:sz w:val="20"/>
                <w:szCs w:val="20"/>
              </w:rPr>
            </w:pPr>
            <w:r>
              <w:rPr>
                <w:rFonts w:ascii="宋体" w:hAnsi="宋体" w:cs="宋体"/>
                <w:color w:val="000000"/>
                <w:kern w:val="0"/>
                <w:sz w:val="20"/>
                <w:szCs w:val="20"/>
              </w:rPr>
              <w:t>3283.68</w:t>
            </w:r>
          </w:p>
        </w:tc>
        <w:tc>
          <w:tcPr>
            <w:tcW w:w="1000" w:type="pct"/>
            <w:vAlign w:val="center"/>
          </w:tcPr>
          <w:p w14:paraId="42E7E2E4">
            <w:pPr>
              <w:adjustRightInd w:val="0"/>
              <w:snapToGrid w:val="0"/>
              <w:jc w:val="right"/>
              <w:rPr>
                <w:rFonts w:ascii="宋体" w:hAnsi="宋体" w:cs="宋体"/>
                <w:color w:val="000000"/>
                <w:kern w:val="0"/>
                <w:sz w:val="20"/>
                <w:szCs w:val="20"/>
              </w:rPr>
            </w:pPr>
            <w:r>
              <w:rPr>
                <w:rFonts w:ascii="宋体" w:hAnsi="宋体" w:cs="宋体"/>
                <w:color w:val="000000"/>
                <w:kern w:val="0"/>
                <w:sz w:val="20"/>
                <w:szCs w:val="20"/>
              </w:rPr>
              <w:t>2972.59</w:t>
            </w:r>
          </w:p>
        </w:tc>
        <w:tc>
          <w:tcPr>
            <w:tcW w:w="1000" w:type="pct"/>
            <w:vAlign w:val="center"/>
          </w:tcPr>
          <w:p w14:paraId="449E3495">
            <w:pPr>
              <w:adjustRightInd w:val="0"/>
              <w:snapToGrid w:val="0"/>
              <w:jc w:val="right"/>
              <w:rPr>
                <w:rFonts w:ascii="宋体" w:hAnsi="宋体" w:cs="宋体"/>
                <w:color w:val="000000"/>
                <w:kern w:val="0"/>
                <w:sz w:val="20"/>
                <w:szCs w:val="20"/>
              </w:rPr>
            </w:pPr>
            <w:r>
              <w:rPr>
                <w:rFonts w:hint="eastAsia" w:ascii="宋体" w:hAnsi="宋体" w:cs="宋体"/>
                <w:color w:val="000000"/>
                <w:kern w:val="0"/>
                <w:sz w:val="20"/>
                <w:szCs w:val="20"/>
              </w:rPr>
              <w:t>311.09</w:t>
            </w:r>
          </w:p>
        </w:tc>
        <w:tc>
          <w:tcPr>
            <w:tcW w:w="1000" w:type="pct"/>
            <w:vAlign w:val="center"/>
          </w:tcPr>
          <w:p w14:paraId="0F14D8C8">
            <w:pPr>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9.47%</w:t>
            </w:r>
          </w:p>
        </w:tc>
      </w:tr>
    </w:tbl>
    <w:p w14:paraId="5985CFAD">
      <w:pPr>
        <w:adjustRightInd w:val="0"/>
        <w:snapToGrid w:val="0"/>
        <w:spacing w:line="560" w:lineRule="exact"/>
        <w:ind w:firstLine="640" w:firstLineChars="200"/>
        <w:outlineLvl w:val="1"/>
        <w:rPr>
          <w:rFonts w:ascii="楷体_GB2312" w:eastAsia="楷体_GB2312"/>
          <w:sz w:val="32"/>
          <w:szCs w:val="32"/>
        </w:rPr>
      </w:pPr>
      <w:bookmarkStart w:id="28" w:name="_Toc135402108"/>
      <w:bookmarkStart w:id="29" w:name="_Toc135231109"/>
      <w:r>
        <w:rPr>
          <w:rFonts w:hint="eastAsia" w:ascii="楷体_GB2312" w:eastAsia="楷体_GB2312"/>
          <w:sz w:val="32"/>
          <w:szCs w:val="32"/>
        </w:rPr>
        <w:t>（五）部门</w:t>
      </w:r>
      <w:r>
        <w:rPr>
          <w:rFonts w:ascii="楷体_GB2312" w:eastAsia="楷体_GB2312"/>
          <w:sz w:val="32"/>
          <w:szCs w:val="32"/>
        </w:rPr>
        <w:t>预决算差异率</w:t>
      </w:r>
      <w:bookmarkEnd w:id="28"/>
      <w:bookmarkEnd w:id="29"/>
    </w:p>
    <w:p w14:paraId="259D8A77">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ascii="仿宋_GB2312" w:hAnsi="宋体" w:eastAsia="仿宋_GB2312" w:cs="宋体"/>
          <w:color w:val="000000"/>
          <w:kern w:val="0"/>
          <w:sz w:val="32"/>
          <w:szCs w:val="32"/>
        </w:rPr>
        <w:t>02</w:t>
      </w:r>
      <w:r>
        <w:rPr>
          <w:rFonts w:hint="eastAsia" w:ascii="仿宋_GB2312" w:hAnsi="宋体" w:eastAsia="仿宋_GB2312" w:cs="宋体"/>
          <w:color w:val="000000"/>
          <w:kern w:val="0"/>
          <w:sz w:val="32"/>
          <w:szCs w:val="32"/>
        </w:rPr>
        <w:t>4年初部门总体预算数为3209.75万元（全部为一般公共预算），全年执行数为</w:t>
      </w:r>
      <w:r>
        <w:rPr>
          <w:rFonts w:ascii="仿宋_GB2312" w:hAnsi="宋体" w:eastAsia="仿宋_GB2312" w:cs="宋体"/>
          <w:color w:val="000000"/>
          <w:kern w:val="0"/>
          <w:sz w:val="32"/>
          <w:szCs w:val="32"/>
        </w:rPr>
        <w:t>2972.59</w:t>
      </w:r>
      <w:r>
        <w:rPr>
          <w:rFonts w:hint="eastAsia" w:ascii="仿宋_GB2312" w:hAnsi="宋体" w:eastAsia="仿宋_GB2312" w:cs="宋体"/>
          <w:color w:val="000000"/>
          <w:kern w:val="0"/>
          <w:sz w:val="32"/>
          <w:szCs w:val="32"/>
        </w:rPr>
        <w:t>万元，部门预决算差异率为7.39</w:t>
      </w:r>
      <w:r>
        <w:rPr>
          <w:rFonts w:ascii="仿宋_GB2312" w:hAnsi="宋体" w:eastAsia="仿宋_GB2312" w:cs="宋体"/>
          <w:color w:val="000000"/>
          <w:kern w:val="0"/>
          <w:sz w:val="32"/>
          <w:szCs w:val="32"/>
        </w:rPr>
        <w:t>%</w:t>
      </w:r>
      <w:bookmarkStart w:id="40" w:name="_GoBack"/>
      <w:bookmarkEnd w:id="40"/>
      <w:r>
        <w:rPr>
          <w:rFonts w:hint="eastAsia" w:ascii="仿宋_GB2312" w:hAnsi="宋体" w:eastAsia="仿宋_GB2312" w:cs="宋体"/>
          <w:color w:val="000000"/>
          <w:kern w:val="0"/>
          <w:sz w:val="32"/>
          <w:szCs w:val="32"/>
        </w:rPr>
        <w:t>，部门整体预算编制及执行约束情况较好。</w:t>
      </w:r>
    </w:p>
    <w:p w14:paraId="7305C044">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30" w:name="_Toc135402109"/>
      <w:bookmarkStart w:id="31" w:name="_Toc135231110"/>
      <w:r>
        <w:rPr>
          <w:rFonts w:hint="eastAsia" w:ascii="黑体" w:hAnsi="黑体" w:eastAsia="黑体" w:cs="宋体"/>
          <w:color w:val="000000"/>
          <w:kern w:val="0"/>
          <w:sz w:val="32"/>
          <w:szCs w:val="32"/>
        </w:rPr>
        <w:t>五、总体</w:t>
      </w:r>
      <w:r>
        <w:rPr>
          <w:rFonts w:ascii="黑体" w:hAnsi="黑体" w:eastAsia="黑体" w:cs="宋体"/>
          <w:color w:val="000000"/>
          <w:kern w:val="0"/>
          <w:sz w:val="32"/>
          <w:szCs w:val="32"/>
        </w:rPr>
        <w:t>评价结论</w:t>
      </w:r>
      <w:bookmarkEnd w:id="30"/>
      <w:bookmarkEnd w:id="31"/>
    </w:p>
    <w:p w14:paraId="5121179B">
      <w:pPr>
        <w:adjustRightInd w:val="0"/>
        <w:snapToGrid w:val="0"/>
        <w:spacing w:line="560" w:lineRule="exact"/>
        <w:ind w:firstLine="640" w:firstLineChars="200"/>
        <w:outlineLvl w:val="1"/>
        <w:rPr>
          <w:rFonts w:ascii="楷体_GB2312" w:eastAsia="楷体_GB2312"/>
          <w:sz w:val="32"/>
          <w:szCs w:val="32"/>
        </w:rPr>
      </w:pPr>
      <w:bookmarkStart w:id="32" w:name="_Toc135231111"/>
      <w:bookmarkStart w:id="33" w:name="_Toc135402110"/>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32"/>
      <w:bookmarkEnd w:id="33"/>
    </w:p>
    <w:p w14:paraId="7003660C">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2024年，市政府参事室按照中办、国办关于坚持和完善新时代政府参事制度文史馆员制度文件和北京市《实施方案》要求，围绕党和国家事业发展大局，聚焦首都经济社会发展，高质量建言资证，高水平崇文鉴史，全面履行了支持组织市政府参事和市文史馆馆员参加爱国统一战线工作、支持市政府参事及市文史馆馆员同社会各界人士的联系、为市政府参事及市文史馆馆员履行职责提供服务等职能，围绕年度整体目标有序开展各项工作，工作任务完成度较高，取得丰富的新进展与新成效。部门整体综合评价得分</w:t>
      </w:r>
      <w:r>
        <w:rPr>
          <w:rFonts w:ascii="仿宋_GB2312" w:eastAsia="仿宋_GB2312"/>
          <w:sz w:val="32"/>
          <w:szCs w:val="32"/>
        </w:rPr>
        <w:t>9</w:t>
      </w:r>
      <w:r>
        <w:rPr>
          <w:rFonts w:hint="eastAsia" w:ascii="仿宋_GB2312" w:eastAsia="仿宋_GB2312"/>
          <w:sz w:val="32"/>
          <w:szCs w:val="32"/>
        </w:rPr>
        <w:t>5.11分，</w:t>
      </w:r>
      <w:r>
        <w:rPr>
          <w:rFonts w:ascii="仿宋_GB2312" w:eastAsia="仿宋_GB2312"/>
          <w:sz w:val="32"/>
          <w:szCs w:val="32"/>
        </w:rPr>
        <w:t>具体得分情况见</w:t>
      </w:r>
      <w:r>
        <w:rPr>
          <w:rFonts w:hint="eastAsia" w:ascii="仿宋_GB2312" w:eastAsia="仿宋_GB2312"/>
          <w:sz w:val="32"/>
          <w:szCs w:val="32"/>
        </w:rPr>
        <w:t>表3</w:t>
      </w:r>
      <w:r>
        <w:rPr>
          <w:rFonts w:ascii="仿宋_GB2312" w:eastAsia="仿宋_GB2312"/>
          <w:sz w:val="32"/>
          <w:szCs w:val="32"/>
        </w:rPr>
        <w:t>。</w:t>
      </w:r>
    </w:p>
    <w:p w14:paraId="2A4FDE3E">
      <w:pPr>
        <w:snapToGrid w:val="0"/>
        <w:spacing w:line="560" w:lineRule="exact"/>
        <w:jc w:val="center"/>
        <w:rPr>
          <w:rFonts w:ascii="黑体" w:hAnsi="黑体" w:eastAsia="黑体"/>
          <w:sz w:val="28"/>
          <w:szCs w:val="28"/>
        </w:rPr>
      </w:pPr>
      <w:r>
        <w:rPr>
          <w:rFonts w:hint="eastAsia" w:ascii="黑体" w:hAnsi="黑体" w:eastAsia="黑体"/>
          <w:sz w:val="28"/>
          <w:szCs w:val="28"/>
        </w:rPr>
        <w:t>表3：综合评价得分情况表</w:t>
      </w:r>
    </w:p>
    <w:tbl>
      <w:tblPr>
        <w:tblStyle w:val="9"/>
        <w:tblW w:w="8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2127"/>
        <w:gridCol w:w="10"/>
        <w:gridCol w:w="1407"/>
        <w:gridCol w:w="10"/>
        <w:gridCol w:w="1408"/>
        <w:gridCol w:w="10"/>
        <w:gridCol w:w="1549"/>
        <w:gridCol w:w="10"/>
      </w:tblGrid>
      <w:tr w14:paraId="231A0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tblHeader/>
          <w:jc w:val="center"/>
        </w:trPr>
        <w:tc>
          <w:tcPr>
            <w:tcW w:w="1838" w:type="dxa"/>
            <w:shd w:val="clear" w:color="auto" w:fill="auto"/>
            <w:vAlign w:val="center"/>
          </w:tcPr>
          <w:p w14:paraId="2149C9C2">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一级指标</w:t>
            </w:r>
          </w:p>
        </w:tc>
        <w:tc>
          <w:tcPr>
            <w:tcW w:w="2127" w:type="dxa"/>
            <w:shd w:val="clear" w:color="auto" w:fill="auto"/>
            <w:vAlign w:val="center"/>
          </w:tcPr>
          <w:p w14:paraId="217D93DE">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二级指标</w:t>
            </w:r>
          </w:p>
        </w:tc>
        <w:tc>
          <w:tcPr>
            <w:tcW w:w="1417" w:type="dxa"/>
            <w:gridSpan w:val="2"/>
            <w:shd w:val="clear" w:color="auto" w:fill="auto"/>
            <w:vAlign w:val="center"/>
          </w:tcPr>
          <w:p w14:paraId="5991E744">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分值</w:t>
            </w:r>
          </w:p>
        </w:tc>
        <w:tc>
          <w:tcPr>
            <w:tcW w:w="1418" w:type="dxa"/>
            <w:gridSpan w:val="2"/>
            <w:tcBorders>
              <w:bottom w:val="single" w:color="auto" w:sz="4" w:space="0"/>
            </w:tcBorders>
            <w:shd w:val="clear" w:color="auto" w:fill="auto"/>
            <w:vAlign w:val="center"/>
          </w:tcPr>
          <w:p w14:paraId="0114ABCD">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得分</w:t>
            </w:r>
          </w:p>
        </w:tc>
        <w:tc>
          <w:tcPr>
            <w:tcW w:w="1559" w:type="dxa"/>
            <w:gridSpan w:val="2"/>
            <w:tcBorders>
              <w:bottom w:val="single" w:color="auto" w:sz="4" w:space="0"/>
            </w:tcBorders>
            <w:shd w:val="clear" w:color="auto" w:fill="auto"/>
            <w:vAlign w:val="center"/>
          </w:tcPr>
          <w:p w14:paraId="31630E27">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得分率</w:t>
            </w:r>
          </w:p>
        </w:tc>
      </w:tr>
      <w:tr w14:paraId="68DC7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shd w:val="clear" w:color="auto" w:fill="auto"/>
            <w:vAlign w:val="center"/>
          </w:tcPr>
          <w:p w14:paraId="65D00CCB">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w:t>
            </w:r>
          </w:p>
        </w:tc>
        <w:tc>
          <w:tcPr>
            <w:tcW w:w="2127" w:type="dxa"/>
            <w:shd w:val="clear" w:color="auto" w:fill="auto"/>
            <w:vAlign w:val="center"/>
          </w:tcPr>
          <w:p w14:paraId="7E888FF1">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417" w:type="dxa"/>
            <w:gridSpan w:val="2"/>
            <w:tcBorders>
              <w:right w:val="single" w:color="auto" w:sz="4" w:space="0"/>
            </w:tcBorders>
            <w:shd w:val="clear" w:color="auto" w:fill="auto"/>
            <w:noWrap/>
            <w:vAlign w:val="center"/>
          </w:tcPr>
          <w:p w14:paraId="33BF4F06">
            <w:pPr>
              <w:widowControl/>
              <w:adjustRightInd w:val="0"/>
              <w:snapToGrid w:val="0"/>
              <w:jc w:val="center"/>
              <w:rPr>
                <w:color w:val="000000"/>
                <w:sz w:val="20"/>
                <w:szCs w:val="20"/>
              </w:rPr>
            </w:pPr>
            <w:r>
              <w:rPr>
                <w:rFonts w:hint="eastAsia"/>
                <w:color w:val="000000"/>
                <w:sz w:val="20"/>
                <w:szCs w:val="20"/>
              </w:rPr>
              <w:t>20</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A2E8562">
            <w:pPr>
              <w:widowControl/>
              <w:adjustRightInd w:val="0"/>
              <w:snapToGrid w:val="0"/>
              <w:jc w:val="center"/>
              <w:rPr>
                <w:color w:val="000000"/>
                <w:sz w:val="20"/>
                <w:szCs w:val="20"/>
              </w:rPr>
            </w:pPr>
            <w:r>
              <w:rPr>
                <w:color w:val="000000"/>
                <w:sz w:val="20"/>
                <w:szCs w:val="20"/>
              </w:rPr>
              <w:t>18.11</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12BB97A">
            <w:pPr>
              <w:widowControl/>
              <w:adjustRightInd w:val="0"/>
              <w:snapToGrid w:val="0"/>
              <w:jc w:val="center"/>
              <w:rPr>
                <w:color w:val="000000"/>
                <w:sz w:val="20"/>
                <w:szCs w:val="20"/>
              </w:rPr>
            </w:pPr>
            <w:r>
              <w:rPr>
                <w:color w:val="000000"/>
                <w:sz w:val="20"/>
                <w:szCs w:val="20"/>
              </w:rPr>
              <w:t>90.55%</w:t>
            </w:r>
          </w:p>
        </w:tc>
      </w:tr>
      <w:tr w14:paraId="654AE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restart"/>
            <w:shd w:val="clear" w:color="auto" w:fill="auto"/>
            <w:vAlign w:val="center"/>
          </w:tcPr>
          <w:p w14:paraId="7CD82A30">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w:t>
            </w:r>
          </w:p>
        </w:tc>
        <w:tc>
          <w:tcPr>
            <w:tcW w:w="2127" w:type="dxa"/>
            <w:shd w:val="clear" w:color="auto" w:fill="auto"/>
            <w:vAlign w:val="center"/>
          </w:tcPr>
          <w:p w14:paraId="385BCBA8">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小计</w:t>
            </w:r>
          </w:p>
        </w:tc>
        <w:tc>
          <w:tcPr>
            <w:tcW w:w="1417" w:type="dxa"/>
            <w:gridSpan w:val="2"/>
            <w:tcBorders>
              <w:right w:val="single" w:color="auto" w:sz="4" w:space="0"/>
            </w:tcBorders>
            <w:shd w:val="clear" w:color="auto" w:fill="auto"/>
            <w:noWrap/>
            <w:vAlign w:val="center"/>
          </w:tcPr>
          <w:p w14:paraId="6F5F4E1C">
            <w:pPr>
              <w:widowControl/>
              <w:adjustRightInd w:val="0"/>
              <w:snapToGrid w:val="0"/>
              <w:jc w:val="center"/>
              <w:rPr>
                <w:color w:val="000000"/>
                <w:sz w:val="20"/>
                <w:szCs w:val="20"/>
              </w:rPr>
            </w:pPr>
            <w:r>
              <w:rPr>
                <w:rFonts w:hint="eastAsia"/>
                <w:color w:val="000000"/>
                <w:sz w:val="20"/>
                <w:szCs w:val="20"/>
              </w:rPr>
              <w:t>60</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108D72C">
            <w:pPr>
              <w:widowControl/>
              <w:adjustRightInd w:val="0"/>
              <w:snapToGrid w:val="0"/>
              <w:jc w:val="center"/>
              <w:rPr>
                <w:color w:val="000000"/>
                <w:sz w:val="20"/>
                <w:szCs w:val="20"/>
              </w:rPr>
            </w:pPr>
            <w:r>
              <w:rPr>
                <w:color w:val="000000"/>
                <w:sz w:val="20"/>
                <w:szCs w:val="20"/>
              </w:rPr>
              <w:t>58</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1AFBB68">
            <w:pPr>
              <w:widowControl/>
              <w:adjustRightInd w:val="0"/>
              <w:snapToGrid w:val="0"/>
              <w:jc w:val="center"/>
              <w:rPr>
                <w:color w:val="000000"/>
                <w:sz w:val="20"/>
                <w:szCs w:val="20"/>
              </w:rPr>
            </w:pPr>
            <w:r>
              <w:rPr>
                <w:color w:val="000000"/>
                <w:sz w:val="20"/>
                <w:szCs w:val="20"/>
              </w:rPr>
              <w:t>96.67%</w:t>
            </w:r>
          </w:p>
        </w:tc>
      </w:tr>
      <w:tr w14:paraId="6EC7E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continue"/>
            <w:vAlign w:val="center"/>
          </w:tcPr>
          <w:p w14:paraId="14D8CD3B">
            <w:pPr>
              <w:widowControl/>
              <w:adjustRightInd w:val="0"/>
              <w:snapToGrid w:val="0"/>
              <w:jc w:val="center"/>
              <w:rPr>
                <w:rFonts w:ascii="宋体" w:hAnsi="宋体" w:cs="宋体"/>
                <w:color w:val="000000"/>
                <w:kern w:val="0"/>
                <w:sz w:val="20"/>
                <w:szCs w:val="20"/>
              </w:rPr>
            </w:pPr>
          </w:p>
        </w:tc>
        <w:tc>
          <w:tcPr>
            <w:tcW w:w="2127" w:type="dxa"/>
            <w:shd w:val="clear" w:color="auto" w:fill="auto"/>
            <w:noWrap/>
            <w:vAlign w:val="center"/>
          </w:tcPr>
          <w:p w14:paraId="0FABD0AD">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产出</w:t>
            </w:r>
          </w:p>
        </w:tc>
        <w:tc>
          <w:tcPr>
            <w:tcW w:w="1417" w:type="dxa"/>
            <w:gridSpan w:val="2"/>
            <w:tcBorders>
              <w:right w:val="single" w:color="auto" w:sz="4" w:space="0"/>
            </w:tcBorders>
            <w:shd w:val="clear" w:color="auto" w:fill="auto"/>
            <w:noWrap/>
            <w:vAlign w:val="center"/>
          </w:tcPr>
          <w:p w14:paraId="0FED5450">
            <w:pPr>
              <w:widowControl/>
              <w:adjustRightInd w:val="0"/>
              <w:snapToGrid w:val="0"/>
              <w:jc w:val="center"/>
              <w:rPr>
                <w:color w:val="000000"/>
                <w:sz w:val="20"/>
                <w:szCs w:val="20"/>
              </w:rPr>
            </w:pPr>
            <w:r>
              <w:rPr>
                <w:rFonts w:hint="eastAsia"/>
                <w:color w:val="000000"/>
                <w:sz w:val="20"/>
                <w:szCs w:val="20"/>
              </w:rPr>
              <w:t>30</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4A28E23">
            <w:pPr>
              <w:widowControl/>
              <w:adjustRightInd w:val="0"/>
              <w:snapToGrid w:val="0"/>
              <w:jc w:val="center"/>
              <w:rPr>
                <w:color w:val="000000"/>
                <w:sz w:val="20"/>
                <w:szCs w:val="20"/>
              </w:rPr>
            </w:pPr>
            <w:r>
              <w:rPr>
                <w:color w:val="000000"/>
                <w:sz w:val="20"/>
                <w:szCs w:val="20"/>
              </w:rPr>
              <w:t>29</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25A0831">
            <w:pPr>
              <w:widowControl/>
              <w:adjustRightInd w:val="0"/>
              <w:snapToGrid w:val="0"/>
              <w:jc w:val="center"/>
              <w:rPr>
                <w:color w:val="000000"/>
                <w:sz w:val="20"/>
                <w:szCs w:val="20"/>
              </w:rPr>
            </w:pPr>
            <w:r>
              <w:rPr>
                <w:color w:val="000000"/>
                <w:sz w:val="20"/>
                <w:szCs w:val="20"/>
              </w:rPr>
              <w:t>96.67%</w:t>
            </w:r>
          </w:p>
        </w:tc>
      </w:tr>
      <w:tr w14:paraId="65678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continue"/>
            <w:vAlign w:val="center"/>
          </w:tcPr>
          <w:p w14:paraId="787828D0">
            <w:pPr>
              <w:widowControl/>
              <w:adjustRightInd w:val="0"/>
              <w:snapToGrid w:val="0"/>
              <w:jc w:val="center"/>
              <w:rPr>
                <w:rFonts w:ascii="宋体" w:hAnsi="宋体" w:cs="宋体"/>
                <w:color w:val="000000"/>
                <w:kern w:val="0"/>
                <w:sz w:val="20"/>
                <w:szCs w:val="20"/>
              </w:rPr>
            </w:pPr>
          </w:p>
        </w:tc>
        <w:tc>
          <w:tcPr>
            <w:tcW w:w="2127" w:type="dxa"/>
            <w:shd w:val="clear" w:color="auto" w:fill="auto"/>
            <w:noWrap/>
            <w:vAlign w:val="center"/>
          </w:tcPr>
          <w:p w14:paraId="6B9893F3">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效果</w:t>
            </w:r>
          </w:p>
        </w:tc>
        <w:tc>
          <w:tcPr>
            <w:tcW w:w="1417" w:type="dxa"/>
            <w:gridSpan w:val="2"/>
            <w:tcBorders>
              <w:right w:val="single" w:color="auto" w:sz="4" w:space="0"/>
            </w:tcBorders>
            <w:shd w:val="clear" w:color="auto" w:fill="auto"/>
            <w:noWrap/>
            <w:vAlign w:val="center"/>
          </w:tcPr>
          <w:p w14:paraId="27AE30A1">
            <w:pPr>
              <w:widowControl/>
              <w:adjustRightInd w:val="0"/>
              <w:snapToGrid w:val="0"/>
              <w:jc w:val="center"/>
              <w:rPr>
                <w:color w:val="000000"/>
                <w:sz w:val="20"/>
                <w:szCs w:val="20"/>
              </w:rPr>
            </w:pPr>
            <w:r>
              <w:rPr>
                <w:rFonts w:hint="eastAsia"/>
                <w:color w:val="000000"/>
                <w:sz w:val="20"/>
                <w:szCs w:val="20"/>
              </w:rPr>
              <w:t>30</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60B95D7">
            <w:pPr>
              <w:widowControl/>
              <w:adjustRightInd w:val="0"/>
              <w:snapToGrid w:val="0"/>
              <w:jc w:val="center"/>
              <w:rPr>
                <w:color w:val="000000"/>
                <w:sz w:val="20"/>
                <w:szCs w:val="20"/>
              </w:rPr>
            </w:pPr>
            <w:r>
              <w:rPr>
                <w:color w:val="000000"/>
                <w:sz w:val="20"/>
                <w:szCs w:val="20"/>
              </w:rPr>
              <w:t>29</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2D56F76">
            <w:pPr>
              <w:widowControl/>
              <w:adjustRightInd w:val="0"/>
              <w:snapToGrid w:val="0"/>
              <w:jc w:val="center"/>
              <w:rPr>
                <w:color w:val="000000"/>
                <w:sz w:val="20"/>
                <w:szCs w:val="20"/>
              </w:rPr>
            </w:pPr>
            <w:r>
              <w:rPr>
                <w:color w:val="000000"/>
                <w:sz w:val="20"/>
                <w:szCs w:val="20"/>
              </w:rPr>
              <w:t>96.67%</w:t>
            </w:r>
          </w:p>
        </w:tc>
      </w:tr>
      <w:tr w14:paraId="36316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restart"/>
            <w:shd w:val="clear" w:color="auto" w:fill="auto"/>
            <w:noWrap/>
            <w:vAlign w:val="center"/>
          </w:tcPr>
          <w:p w14:paraId="5D12A128">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预算管理情况</w:t>
            </w:r>
          </w:p>
        </w:tc>
        <w:tc>
          <w:tcPr>
            <w:tcW w:w="2127" w:type="dxa"/>
            <w:shd w:val="clear" w:color="auto" w:fill="auto"/>
            <w:vAlign w:val="center"/>
          </w:tcPr>
          <w:p w14:paraId="224E32E7">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小计</w:t>
            </w:r>
          </w:p>
        </w:tc>
        <w:tc>
          <w:tcPr>
            <w:tcW w:w="1417" w:type="dxa"/>
            <w:gridSpan w:val="2"/>
            <w:tcBorders>
              <w:right w:val="single" w:color="auto" w:sz="4" w:space="0"/>
            </w:tcBorders>
            <w:shd w:val="clear" w:color="auto" w:fill="auto"/>
            <w:noWrap/>
            <w:vAlign w:val="center"/>
          </w:tcPr>
          <w:p w14:paraId="699FD583">
            <w:pPr>
              <w:widowControl/>
              <w:adjustRightInd w:val="0"/>
              <w:snapToGrid w:val="0"/>
              <w:jc w:val="center"/>
              <w:rPr>
                <w:color w:val="000000"/>
                <w:sz w:val="20"/>
                <w:szCs w:val="20"/>
              </w:rPr>
            </w:pPr>
            <w:r>
              <w:rPr>
                <w:rFonts w:hint="eastAsia"/>
                <w:color w:val="000000"/>
                <w:sz w:val="20"/>
                <w:szCs w:val="20"/>
              </w:rPr>
              <w:t>20</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DC84867">
            <w:pPr>
              <w:widowControl/>
              <w:adjustRightInd w:val="0"/>
              <w:snapToGrid w:val="0"/>
              <w:jc w:val="center"/>
              <w:rPr>
                <w:color w:val="000000"/>
                <w:sz w:val="20"/>
                <w:szCs w:val="20"/>
              </w:rPr>
            </w:pPr>
            <w:r>
              <w:rPr>
                <w:color w:val="000000"/>
                <w:sz w:val="20"/>
                <w:szCs w:val="20"/>
              </w:rPr>
              <w:t>18</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4615E2A">
            <w:pPr>
              <w:widowControl/>
              <w:adjustRightInd w:val="0"/>
              <w:snapToGrid w:val="0"/>
              <w:jc w:val="center"/>
              <w:rPr>
                <w:color w:val="000000"/>
                <w:sz w:val="20"/>
                <w:szCs w:val="20"/>
              </w:rPr>
            </w:pPr>
            <w:r>
              <w:rPr>
                <w:color w:val="000000"/>
                <w:sz w:val="20"/>
                <w:szCs w:val="20"/>
              </w:rPr>
              <w:t>90.00%</w:t>
            </w:r>
          </w:p>
        </w:tc>
      </w:tr>
      <w:tr w14:paraId="2C45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continue"/>
            <w:vAlign w:val="center"/>
          </w:tcPr>
          <w:p w14:paraId="7E5B68BE">
            <w:pPr>
              <w:widowControl/>
              <w:adjustRightInd w:val="0"/>
              <w:snapToGrid w:val="0"/>
              <w:jc w:val="center"/>
              <w:rPr>
                <w:rFonts w:ascii="宋体" w:hAnsi="宋体" w:cs="宋体"/>
                <w:color w:val="000000"/>
                <w:kern w:val="0"/>
                <w:sz w:val="20"/>
                <w:szCs w:val="20"/>
              </w:rPr>
            </w:pPr>
          </w:p>
        </w:tc>
        <w:tc>
          <w:tcPr>
            <w:tcW w:w="2127" w:type="dxa"/>
            <w:shd w:val="clear" w:color="auto" w:fill="auto"/>
            <w:noWrap/>
            <w:vAlign w:val="center"/>
          </w:tcPr>
          <w:p w14:paraId="2534837C">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财务管理</w:t>
            </w:r>
          </w:p>
        </w:tc>
        <w:tc>
          <w:tcPr>
            <w:tcW w:w="1417" w:type="dxa"/>
            <w:gridSpan w:val="2"/>
            <w:tcBorders>
              <w:right w:val="single" w:color="auto" w:sz="4" w:space="0"/>
            </w:tcBorders>
            <w:shd w:val="clear" w:color="auto" w:fill="auto"/>
            <w:noWrap/>
            <w:vAlign w:val="center"/>
          </w:tcPr>
          <w:p w14:paraId="6BA6972A">
            <w:pPr>
              <w:widowControl/>
              <w:adjustRightInd w:val="0"/>
              <w:snapToGrid w:val="0"/>
              <w:jc w:val="center"/>
              <w:rPr>
                <w:color w:val="000000"/>
                <w:sz w:val="20"/>
                <w:szCs w:val="20"/>
              </w:rPr>
            </w:pPr>
            <w:r>
              <w:rPr>
                <w:rFonts w:hint="eastAsia"/>
                <w:color w:val="000000"/>
                <w:sz w:val="20"/>
                <w:szCs w:val="20"/>
              </w:rPr>
              <w:t>4</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47E42D2">
            <w:pPr>
              <w:widowControl/>
              <w:adjustRightInd w:val="0"/>
              <w:snapToGrid w:val="0"/>
              <w:jc w:val="center"/>
              <w:rPr>
                <w:color w:val="000000"/>
                <w:sz w:val="20"/>
                <w:szCs w:val="20"/>
              </w:rPr>
            </w:pPr>
            <w:r>
              <w:rPr>
                <w:color w:val="000000"/>
                <w:sz w:val="20"/>
                <w:szCs w:val="20"/>
              </w:rPr>
              <w:t>4</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BCBBE88">
            <w:pPr>
              <w:widowControl/>
              <w:adjustRightInd w:val="0"/>
              <w:snapToGrid w:val="0"/>
              <w:jc w:val="center"/>
              <w:rPr>
                <w:color w:val="000000"/>
                <w:sz w:val="20"/>
                <w:szCs w:val="20"/>
              </w:rPr>
            </w:pPr>
            <w:r>
              <w:rPr>
                <w:color w:val="000000"/>
                <w:sz w:val="20"/>
                <w:szCs w:val="20"/>
              </w:rPr>
              <w:t>100.00%</w:t>
            </w:r>
          </w:p>
        </w:tc>
      </w:tr>
      <w:tr w14:paraId="0FE31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continue"/>
            <w:vAlign w:val="center"/>
          </w:tcPr>
          <w:p w14:paraId="3B48C5CF">
            <w:pPr>
              <w:widowControl/>
              <w:adjustRightInd w:val="0"/>
              <w:snapToGrid w:val="0"/>
              <w:jc w:val="center"/>
              <w:rPr>
                <w:rFonts w:ascii="宋体" w:hAnsi="宋体" w:cs="宋体"/>
                <w:color w:val="000000"/>
                <w:kern w:val="0"/>
                <w:sz w:val="20"/>
                <w:szCs w:val="20"/>
              </w:rPr>
            </w:pPr>
          </w:p>
        </w:tc>
        <w:tc>
          <w:tcPr>
            <w:tcW w:w="2127" w:type="dxa"/>
            <w:shd w:val="clear" w:color="auto" w:fill="auto"/>
            <w:noWrap/>
            <w:vAlign w:val="center"/>
          </w:tcPr>
          <w:p w14:paraId="2F743A12">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资产管理</w:t>
            </w:r>
          </w:p>
        </w:tc>
        <w:tc>
          <w:tcPr>
            <w:tcW w:w="1417" w:type="dxa"/>
            <w:gridSpan w:val="2"/>
            <w:tcBorders>
              <w:right w:val="single" w:color="auto" w:sz="4" w:space="0"/>
            </w:tcBorders>
            <w:shd w:val="clear" w:color="auto" w:fill="auto"/>
            <w:noWrap/>
            <w:vAlign w:val="center"/>
          </w:tcPr>
          <w:p w14:paraId="004E63B5">
            <w:pPr>
              <w:widowControl/>
              <w:adjustRightInd w:val="0"/>
              <w:snapToGrid w:val="0"/>
              <w:jc w:val="center"/>
              <w:rPr>
                <w:color w:val="000000"/>
                <w:sz w:val="20"/>
                <w:szCs w:val="20"/>
              </w:rPr>
            </w:pPr>
            <w:r>
              <w:rPr>
                <w:rFonts w:hint="eastAsia"/>
                <w:color w:val="000000"/>
                <w:sz w:val="20"/>
                <w:szCs w:val="20"/>
              </w:rPr>
              <w:t>4</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5D96CA7">
            <w:pPr>
              <w:widowControl/>
              <w:adjustRightInd w:val="0"/>
              <w:snapToGrid w:val="0"/>
              <w:jc w:val="center"/>
              <w:rPr>
                <w:color w:val="000000"/>
                <w:sz w:val="20"/>
                <w:szCs w:val="20"/>
              </w:rPr>
            </w:pPr>
            <w:r>
              <w:rPr>
                <w:color w:val="000000"/>
                <w:sz w:val="20"/>
                <w:szCs w:val="20"/>
              </w:rPr>
              <w:t>4</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A028C07">
            <w:pPr>
              <w:widowControl/>
              <w:adjustRightInd w:val="0"/>
              <w:snapToGrid w:val="0"/>
              <w:jc w:val="center"/>
              <w:rPr>
                <w:color w:val="000000"/>
                <w:sz w:val="20"/>
                <w:szCs w:val="20"/>
              </w:rPr>
            </w:pPr>
            <w:r>
              <w:rPr>
                <w:color w:val="000000"/>
                <w:sz w:val="20"/>
                <w:szCs w:val="20"/>
              </w:rPr>
              <w:t>100.00%</w:t>
            </w:r>
          </w:p>
        </w:tc>
      </w:tr>
      <w:tr w14:paraId="5C184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continue"/>
            <w:vAlign w:val="center"/>
          </w:tcPr>
          <w:p w14:paraId="51C56E2D">
            <w:pPr>
              <w:widowControl/>
              <w:adjustRightInd w:val="0"/>
              <w:snapToGrid w:val="0"/>
              <w:jc w:val="center"/>
              <w:rPr>
                <w:rFonts w:ascii="宋体" w:hAnsi="宋体" w:cs="宋体"/>
                <w:color w:val="000000"/>
                <w:kern w:val="0"/>
                <w:sz w:val="20"/>
                <w:szCs w:val="20"/>
              </w:rPr>
            </w:pPr>
          </w:p>
        </w:tc>
        <w:tc>
          <w:tcPr>
            <w:tcW w:w="2127" w:type="dxa"/>
            <w:shd w:val="clear" w:color="auto" w:fill="auto"/>
            <w:noWrap/>
            <w:vAlign w:val="center"/>
          </w:tcPr>
          <w:p w14:paraId="3CCD66FC">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绩效管理</w:t>
            </w:r>
          </w:p>
        </w:tc>
        <w:tc>
          <w:tcPr>
            <w:tcW w:w="1417" w:type="dxa"/>
            <w:gridSpan w:val="2"/>
            <w:tcBorders>
              <w:right w:val="single" w:color="auto" w:sz="4" w:space="0"/>
            </w:tcBorders>
            <w:shd w:val="clear" w:color="auto" w:fill="auto"/>
            <w:noWrap/>
            <w:vAlign w:val="center"/>
          </w:tcPr>
          <w:p w14:paraId="278726B1">
            <w:pPr>
              <w:widowControl/>
              <w:adjustRightInd w:val="0"/>
              <w:snapToGrid w:val="0"/>
              <w:jc w:val="center"/>
              <w:rPr>
                <w:color w:val="000000"/>
                <w:sz w:val="20"/>
                <w:szCs w:val="20"/>
              </w:rPr>
            </w:pPr>
            <w:r>
              <w:rPr>
                <w:rFonts w:hint="eastAsia"/>
                <w:color w:val="000000"/>
                <w:sz w:val="20"/>
                <w:szCs w:val="20"/>
              </w:rPr>
              <w:t>4</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63F77387">
            <w:pPr>
              <w:widowControl/>
              <w:adjustRightInd w:val="0"/>
              <w:snapToGrid w:val="0"/>
              <w:jc w:val="center"/>
              <w:rPr>
                <w:color w:val="000000"/>
                <w:sz w:val="20"/>
                <w:szCs w:val="20"/>
              </w:rPr>
            </w:pPr>
            <w:r>
              <w:rPr>
                <w:color w:val="000000"/>
                <w:sz w:val="20"/>
                <w:szCs w:val="20"/>
              </w:rPr>
              <w:t>2</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E27411B">
            <w:pPr>
              <w:widowControl/>
              <w:adjustRightInd w:val="0"/>
              <w:snapToGrid w:val="0"/>
              <w:jc w:val="center"/>
              <w:rPr>
                <w:color w:val="000000"/>
                <w:sz w:val="20"/>
                <w:szCs w:val="20"/>
              </w:rPr>
            </w:pPr>
            <w:r>
              <w:rPr>
                <w:color w:val="000000"/>
                <w:sz w:val="20"/>
                <w:szCs w:val="20"/>
              </w:rPr>
              <w:t>50.00%</w:t>
            </w:r>
          </w:p>
        </w:tc>
      </w:tr>
      <w:tr w14:paraId="7B4AC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continue"/>
            <w:vAlign w:val="center"/>
          </w:tcPr>
          <w:p w14:paraId="68A66A96">
            <w:pPr>
              <w:widowControl/>
              <w:adjustRightInd w:val="0"/>
              <w:snapToGrid w:val="0"/>
              <w:jc w:val="center"/>
              <w:rPr>
                <w:rFonts w:ascii="宋体" w:hAnsi="宋体" w:cs="宋体"/>
                <w:color w:val="000000"/>
                <w:kern w:val="0"/>
                <w:sz w:val="20"/>
                <w:szCs w:val="20"/>
              </w:rPr>
            </w:pPr>
          </w:p>
        </w:tc>
        <w:tc>
          <w:tcPr>
            <w:tcW w:w="2127" w:type="dxa"/>
            <w:shd w:val="clear" w:color="auto" w:fill="auto"/>
            <w:noWrap/>
            <w:vAlign w:val="center"/>
          </w:tcPr>
          <w:p w14:paraId="33978F95">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结转结余率</w:t>
            </w:r>
          </w:p>
        </w:tc>
        <w:tc>
          <w:tcPr>
            <w:tcW w:w="1417" w:type="dxa"/>
            <w:gridSpan w:val="2"/>
            <w:tcBorders>
              <w:right w:val="single" w:color="auto" w:sz="4" w:space="0"/>
            </w:tcBorders>
            <w:shd w:val="clear" w:color="auto" w:fill="auto"/>
            <w:noWrap/>
            <w:vAlign w:val="center"/>
          </w:tcPr>
          <w:p w14:paraId="6DEEF1E1">
            <w:pPr>
              <w:widowControl/>
              <w:adjustRightInd w:val="0"/>
              <w:snapToGrid w:val="0"/>
              <w:jc w:val="center"/>
              <w:rPr>
                <w:color w:val="000000"/>
                <w:sz w:val="20"/>
                <w:szCs w:val="20"/>
              </w:rPr>
            </w:pPr>
            <w:r>
              <w:rPr>
                <w:rFonts w:hint="eastAsia"/>
                <w:color w:val="000000"/>
                <w:sz w:val="20"/>
                <w:szCs w:val="20"/>
              </w:rPr>
              <w:t>4</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9DB7ED3">
            <w:pPr>
              <w:widowControl/>
              <w:adjustRightInd w:val="0"/>
              <w:snapToGrid w:val="0"/>
              <w:jc w:val="center"/>
              <w:rPr>
                <w:color w:val="000000"/>
                <w:sz w:val="20"/>
                <w:szCs w:val="20"/>
              </w:rPr>
            </w:pPr>
            <w:r>
              <w:rPr>
                <w:color w:val="000000"/>
                <w:sz w:val="20"/>
                <w:szCs w:val="20"/>
              </w:rPr>
              <w:t>4</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D89F8C7">
            <w:pPr>
              <w:widowControl/>
              <w:adjustRightInd w:val="0"/>
              <w:snapToGrid w:val="0"/>
              <w:jc w:val="center"/>
              <w:rPr>
                <w:color w:val="000000"/>
                <w:sz w:val="20"/>
                <w:szCs w:val="20"/>
              </w:rPr>
            </w:pPr>
            <w:r>
              <w:rPr>
                <w:color w:val="000000"/>
                <w:sz w:val="20"/>
                <w:szCs w:val="20"/>
              </w:rPr>
              <w:t>100.00%</w:t>
            </w:r>
          </w:p>
        </w:tc>
      </w:tr>
      <w:tr w14:paraId="15A65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trHeight w:val="454" w:hRule="atLeast"/>
          <w:jc w:val="center"/>
        </w:trPr>
        <w:tc>
          <w:tcPr>
            <w:tcW w:w="1838" w:type="dxa"/>
            <w:vMerge w:val="continue"/>
            <w:vAlign w:val="center"/>
          </w:tcPr>
          <w:p w14:paraId="79B265FE">
            <w:pPr>
              <w:widowControl/>
              <w:adjustRightInd w:val="0"/>
              <w:snapToGrid w:val="0"/>
              <w:jc w:val="center"/>
              <w:rPr>
                <w:rFonts w:ascii="宋体" w:hAnsi="宋体" w:cs="宋体"/>
                <w:color w:val="000000"/>
                <w:kern w:val="0"/>
                <w:sz w:val="20"/>
                <w:szCs w:val="20"/>
              </w:rPr>
            </w:pPr>
          </w:p>
        </w:tc>
        <w:tc>
          <w:tcPr>
            <w:tcW w:w="2127" w:type="dxa"/>
            <w:shd w:val="clear" w:color="auto" w:fill="auto"/>
            <w:noWrap/>
            <w:vAlign w:val="center"/>
          </w:tcPr>
          <w:p w14:paraId="6D929F31">
            <w:pPr>
              <w:widowControl/>
              <w:adjustRightInd w:val="0"/>
              <w:snapToGrid w:val="0"/>
              <w:jc w:val="center"/>
              <w:rPr>
                <w:rFonts w:ascii="宋体" w:hAnsi="宋体" w:cs="宋体"/>
                <w:color w:val="000000"/>
                <w:kern w:val="0"/>
                <w:sz w:val="20"/>
                <w:szCs w:val="20"/>
              </w:rPr>
            </w:pPr>
            <w:r>
              <w:rPr>
                <w:rFonts w:hint="eastAsia" w:ascii="宋体" w:hAnsi="宋体" w:cs="宋体"/>
                <w:color w:val="000000"/>
                <w:kern w:val="0"/>
                <w:sz w:val="20"/>
                <w:szCs w:val="20"/>
              </w:rPr>
              <w:t>部门预决算差异率</w:t>
            </w:r>
          </w:p>
        </w:tc>
        <w:tc>
          <w:tcPr>
            <w:tcW w:w="1417" w:type="dxa"/>
            <w:gridSpan w:val="2"/>
            <w:tcBorders>
              <w:right w:val="single" w:color="auto" w:sz="4" w:space="0"/>
            </w:tcBorders>
            <w:shd w:val="clear" w:color="auto" w:fill="auto"/>
            <w:noWrap/>
            <w:vAlign w:val="center"/>
          </w:tcPr>
          <w:p w14:paraId="05B85361">
            <w:pPr>
              <w:widowControl/>
              <w:adjustRightInd w:val="0"/>
              <w:snapToGrid w:val="0"/>
              <w:jc w:val="center"/>
              <w:rPr>
                <w:color w:val="000000"/>
                <w:sz w:val="20"/>
                <w:szCs w:val="20"/>
              </w:rPr>
            </w:pPr>
            <w:r>
              <w:rPr>
                <w:rFonts w:hint="eastAsia"/>
                <w:color w:val="000000"/>
                <w:sz w:val="20"/>
                <w:szCs w:val="20"/>
              </w:rPr>
              <w:t>4</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0AE5CCBD">
            <w:pPr>
              <w:widowControl/>
              <w:adjustRightInd w:val="0"/>
              <w:snapToGrid w:val="0"/>
              <w:jc w:val="center"/>
              <w:rPr>
                <w:color w:val="000000"/>
                <w:sz w:val="20"/>
                <w:szCs w:val="20"/>
              </w:rPr>
            </w:pPr>
            <w:r>
              <w:rPr>
                <w:color w:val="000000"/>
                <w:sz w:val="20"/>
                <w:szCs w:val="20"/>
              </w:rPr>
              <w:t>4</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E74A97C">
            <w:pPr>
              <w:widowControl/>
              <w:adjustRightInd w:val="0"/>
              <w:snapToGrid w:val="0"/>
              <w:jc w:val="center"/>
              <w:rPr>
                <w:color w:val="000000"/>
                <w:sz w:val="20"/>
                <w:szCs w:val="20"/>
              </w:rPr>
            </w:pPr>
            <w:r>
              <w:rPr>
                <w:color w:val="000000"/>
                <w:sz w:val="20"/>
                <w:szCs w:val="20"/>
              </w:rPr>
              <w:t>100.00%</w:t>
            </w:r>
          </w:p>
        </w:tc>
      </w:tr>
      <w:tr w14:paraId="1AB8E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75" w:type="dxa"/>
            <w:gridSpan w:val="3"/>
            <w:shd w:val="clear" w:color="auto" w:fill="auto"/>
            <w:noWrap/>
            <w:vAlign w:val="center"/>
          </w:tcPr>
          <w:p w14:paraId="4E36EA91">
            <w:pPr>
              <w:widowControl/>
              <w:adjustRightInd w:val="0"/>
              <w:snapToGrid w:val="0"/>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417" w:type="dxa"/>
            <w:gridSpan w:val="2"/>
            <w:shd w:val="clear" w:color="auto" w:fill="auto"/>
            <w:noWrap/>
            <w:vAlign w:val="center"/>
          </w:tcPr>
          <w:p w14:paraId="5728CE21">
            <w:pPr>
              <w:widowControl/>
              <w:adjustRightInd w:val="0"/>
              <w:snapToGrid w:val="0"/>
              <w:jc w:val="center"/>
              <w:rPr>
                <w:b/>
                <w:bCs/>
                <w:color w:val="000000"/>
                <w:sz w:val="20"/>
                <w:szCs w:val="20"/>
              </w:rPr>
            </w:pPr>
            <w:r>
              <w:rPr>
                <w:rFonts w:hint="eastAsia"/>
                <w:b/>
                <w:bCs/>
                <w:color w:val="000000"/>
                <w:sz w:val="20"/>
                <w:szCs w:val="20"/>
              </w:rPr>
              <w:t>100</w:t>
            </w:r>
          </w:p>
        </w:tc>
        <w:tc>
          <w:tcPr>
            <w:tcW w:w="1418" w:type="dxa"/>
            <w:gridSpan w:val="2"/>
            <w:shd w:val="clear" w:color="auto" w:fill="auto"/>
            <w:noWrap/>
            <w:vAlign w:val="center"/>
          </w:tcPr>
          <w:p w14:paraId="4ED9A91B">
            <w:pPr>
              <w:widowControl/>
              <w:adjustRightInd w:val="0"/>
              <w:snapToGrid w:val="0"/>
              <w:jc w:val="center"/>
              <w:rPr>
                <w:b/>
                <w:bCs/>
                <w:color w:val="000000"/>
                <w:sz w:val="20"/>
                <w:szCs w:val="20"/>
              </w:rPr>
            </w:pPr>
            <w:r>
              <w:rPr>
                <w:rFonts w:hint="eastAsia"/>
                <w:b/>
                <w:bCs/>
                <w:color w:val="000000"/>
                <w:sz w:val="20"/>
                <w:szCs w:val="20"/>
              </w:rPr>
              <w:t>9</w:t>
            </w:r>
            <w:r>
              <w:rPr>
                <w:b/>
                <w:bCs/>
                <w:color w:val="000000"/>
                <w:sz w:val="20"/>
                <w:szCs w:val="20"/>
              </w:rPr>
              <w:t>4</w:t>
            </w:r>
            <w:r>
              <w:rPr>
                <w:rFonts w:hint="eastAsia"/>
                <w:b/>
                <w:bCs/>
                <w:color w:val="000000"/>
                <w:sz w:val="20"/>
                <w:szCs w:val="20"/>
              </w:rPr>
              <w:t>.11</w:t>
            </w:r>
          </w:p>
        </w:tc>
        <w:tc>
          <w:tcPr>
            <w:tcW w:w="1559" w:type="dxa"/>
            <w:gridSpan w:val="2"/>
            <w:shd w:val="clear" w:color="auto" w:fill="auto"/>
            <w:vAlign w:val="center"/>
          </w:tcPr>
          <w:p w14:paraId="76893224">
            <w:pPr>
              <w:widowControl/>
              <w:adjustRightInd w:val="0"/>
              <w:snapToGrid w:val="0"/>
              <w:jc w:val="center"/>
              <w:rPr>
                <w:rFonts w:ascii="宋体" w:hAnsi="宋体"/>
                <w:b/>
                <w:bCs/>
                <w:color w:val="000000"/>
                <w:sz w:val="20"/>
                <w:szCs w:val="20"/>
              </w:rPr>
            </w:pPr>
            <w:r>
              <w:rPr>
                <w:rFonts w:hint="eastAsia"/>
                <w:b/>
                <w:bCs/>
                <w:color w:val="000000"/>
                <w:sz w:val="20"/>
                <w:szCs w:val="20"/>
              </w:rPr>
              <w:t>9</w:t>
            </w:r>
            <w:r>
              <w:rPr>
                <w:b/>
                <w:bCs/>
                <w:color w:val="000000"/>
                <w:sz w:val="20"/>
                <w:szCs w:val="20"/>
              </w:rPr>
              <w:t>4</w:t>
            </w:r>
            <w:r>
              <w:rPr>
                <w:rFonts w:hint="eastAsia"/>
                <w:b/>
                <w:bCs/>
                <w:color w:val="000000"/>
                <w:sz w:val="20"/>
                <w:szCs w:val="20"/>
              </w:rPr>
              <w:t>.11%</w:t>
            </w:r>
          </w:p>
        </w:tc>
      </w:tr>
    </w:tbl>
    <w:p w14:paraId="4C194047">
      <w:pPr>
        <w:adjustRightInd w:val="0"/>
        <w:snapToGrid w:val="0"/>
        <w:spacing w:line="560" w:lineRule="exact"/>
        <w:ind w:firstLine="640" w:firstLineChars="200"/>
        <w:outlineLvl w:val="1"/>
        <w:rPr>
          <w:rFonts w:ascii="楷体_GB2312" w:eastAsia="楷体_GB2312"/>
          <w:sz w:val="32"/>
          <w:szCs w:val="32"/>
        </w:rPr>
      </w:pPr>
      <w:bookmarkStart w:id="34" w:name="_Toc135402111"/>
      <w:bookmarkStart w:id="35" w:name="_Toc135231112"/>
      <w:r>
        <w:rPr>
          <w:rFonts w:hint="eastAsia" w:ascii="楷体_GB2312" w:eastAsia="楷体_GB2312"/>
          <w:sz w:val="32"/>
          <w:szCs w:val="32"/>
        </w:rPr>
        <w:t>（二）存在的问题及原因分析</w:t>
      </w:r>
      <w:bookmarkEnd w:id="34"/>
      <w:bookmarkEnd w:id="35"/>
    </w:p>
    <w:p w14:paraId="2310217A">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1.部门整体及项目绩效指标仍有优化空间</w:t>
      </w:r>
    </w:p>
    <w:p w14:paraId="7CEC0404">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部门整体层面。绩效指标的全面性有所不足，对各方面工作的质量标准、成本控制及预期效益需进一步细化完善。</w:t>
      </w:r>
    </w:p>
    <w:p w14:paraId="19D47DBB">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项目层面。部分项目年初绩效指标值偏低，实际完成值偏离程度较大，时效指标与工作方案、委托合同所约定的完成时间不一致，需进一步提高绩效指标设置质量。</w:t>
      </w:r>
    </w:p>
    <w:p w14:paraId="6232F858">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2.满意度调查程序需进一步完善</w:t>
      </w:r>
    </w:p>
    <w:p w14:paraId="62637730">
      <w:pPr>
        <w:spacing w:line="560" w:lineRule="exact"/>
        <w:ind w:firstLine="646"/>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满意度调查样本量偏低，对满意度调查结果数据的统计分析不够全面，不利于全面分析了解专家学者、群众对项目实施成果的意见与建议。</w:t>
      </w:r>
    </w:p>
    <w:p w14:paraId="2D537D4C">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36" w:name="_Toc135402112"/>
      <w:bookmarkStart w:id="37" w:name="_Toc135231113"/>
      <w:r>
        <w:rPr>
          <w:rFonts w:hint="eastAsia" w:ascii="黑体" w:hAnsi="黑体" w:eastAsia="黑体" w:cs="宋体"/>
          <w:color w:val="000000"/>
          <w:kern w:val="0"/>
          <w:sz w:val="32"/>
          <w:szCs w:val="32"/>
        </w:rPr>
        <w:t>六、措施建议</w:t>
      </w:r>
      <w:bookmarkEnd w:id="36"/>
      <w:bookmarkEnd w:id="37"/>
    </w:p>
    <w:p w14:paraId="4C8D7D96">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1</w:t>
      </w:r>
      <w:r>
        <w:rPr>
          <w:rFonts w:ascii="仿宋_GB2312" w:hAnsi="宋体" w:eastAsia="仿宋_GB2312" w:cs="宋体"/>
          <w:b/>
          <w:bCs/>
          <w:color w:val="000000"/>
          <w:kern w:val="0"/>
          <w:sz w:val="32"/>
          <w:szCs w:val="32"/>
        </w:rPr>
        <w:t>.</w:t>
      </w:r>
      <w:r>
        <w:rPr>
          <w:rFonts w:hint="eastAsia"/>
        </w:rPr>
        <w:t xml:space="preserve"> </w:t>
      </w:r>
      <w:r>
        <w:rPr>
          <w:rFonts w:hint="eastAsia" w:ascii="仿宋_GB2312" w:hAnsi="宋体" w:eastAsia="仿宋_GB2312" w:cs="宋体"/>
          <w:b/>
          <w:bCs/>
          <w:color w:val="000000"/>
          <w:kern w:val="0"/>
          <w:sz w:val="32"/>
          <w:szCs w:val="32"/>
        </w:rPr>
        <w:t>夯实绩效管理思维根基，提升绩效指标科学性</w:t>
      </w:r>
    </w:p>
    <w:p w14:paraId="1BB8AE99">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定期组织开展绩效管理专题培训、讲座和研讨会，邀请行业专家、学者解读绩效管理的前沿理念、方法和工具，确保全体员工深入理解绩效管理内涵，培养全员绩效管理意识。在绩效管理思维意识的指引下，立足于单位核心职能与年度工作任务，科学编制部门总体绩效目标及指标，并分解细化可考量、对实际执行具有指导作用的项目绩效指标。</w:t>
      </w:r>
    </w:p>
    <w:p w14:paraId="09E30659">
      <w:pPr>
        <w:adjustRightInd w:val="0"/>
        <w:snapToGrid w:val="0"/>
        <w:spacing w:line="560" w:lineRule="exact"/>
        <w:ind w:firstLine="643" w:firstLineChars="200"/>
        <w:outlineLvl w:val="2"/>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2.扎实做好验收管理及满意度调查程序</w:t>
      </w:r>
    </w:p>
    <w:p w14:paraId="3B282455">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基于重点评价所发现的问题，全面指导各处室加强项目管理水平自查与优化。一是严格按照合同约定履行有关委托业务验收程序及手续，提高组织实施的规范性。二是进一步完善满意度调查，扩大满意度样本量，扎实做好统计分析，为满意度指标完成情况提供佐证的同时，为后续项目优化与改进提供有力参考。</w:t>
      </w:r>
    </w:p>
    <w:p w14:paraId="28626EDB">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38" w:name="_Toc135231114"/>
      <w:bookmarkStart w:id="39" w:name="_Toc135402113"/>
      <w:r>
        <w:rPr>
          <w:rFonts w:hint="eastAsia" w:ascii="黑体" w:hAnsi="黑体" w:eastAsia="黑体" w:cs="宋体"/>
          <w:color w:val="000000"/>
          <w:kern w:val="0"/>
          <w:sz w:val="32"/>
          <w:szCs w:val="32"/>
        </w:rPr>
        <w:t>七、附件</w:t>
      </w:r>
      <w:bookmarkEnd w:id="38"/>
      <w:bookmarkEnd w:id="39"/>
    </w:p>
    <w:p w14:paraId="5F10F27D">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附件：2024年度部门整体绩效评价指标体系评分表</w:t>
      </w:r>
    </w:p>
    <w:p w14:paraId="44B0FBD6">
      <w:pPr>
        <w:adjustRightInd w:val="0"/>
        <w:snapToGrid w:val="0"/>
        <w:spacing w:line="560" w:lineRule="exact"/>
        <w:ind w:firstLine="640" w:firstLineChars="200"/>
        <w:rPr>
          <w:rFonts w:ascii="仿宋_GB2312" w:hAnsi="仿宋" w:eastAsia="仿宋_GB2312"/>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_x000B__x000C_">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528830"/>
      <w:docPartObj>
        <w:docPartGallery w:val="autotext"/>
      </w:docPartObj>
    </w:sdtPr>
    <w:sdtEndPr>
      <w:rPr>
        <w:rFonts w:ascii="宋体" w:hAnsi="宋体" w:eastAsia="宋体"/>
        <w:sz w:val="24"/>
        <w:szCs w:val="24"/>
      </w:rPr>
    </w:sdtEndPr>
    <w:sdtContent>
      <w:p w14:paraId="39629A3A">
        <w:pPr>
          <w:pStyle w:val="4"/>
          <w:jc w:val="center"/>
          <w:rPr>
            <w:rFonts w:ascii="宋体" w:hAnsi="宋体" w:eastAsia="宋体"/>
            <w:sz w:val="24"/>
            <w:szCs w:val="24"/>
          </w:rPr>
        </w:pP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8</w:t>
        </w:r>
        <w:r>
          <w:rPr>
            <w:rFonts w:ascii="宋体" w:hAnsi="宋体" w:eastAsia="宋体"/>
            <w:sz w:val="24"/>
            <w:szCs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9AC"/>
    <w:rsid w:val="000014F6"/>
    <w:rsid w:val="00010F31"/>
    <w:rsid w:val="00040C56"/>
    <w:rsid w:val="000769FA"/>
    <w:rsid w:val="000A5A1F"/>
    <w:rsid w:val="000D0682"/>
    <w:rsid w:val="000E7804"/>
    <w:rsid w:val="000F1A03"/>
    <w:rsid w:val="001136EE"/>
    <w:rsid w:val="001202F3"/>
    <w:rsid w:val="00125BEB"/>
    <w:rsid w:val="001545F5"/>
    <w:rsid w:val="00171BB9"/>
    <w:rsid w:val="00187139"/>
    <w:rsid w:val="00190C57"/>
    <w:rsid w:val="001B44F8"/>
    <w:rsid w:val="001C6488"/>
    <w:rsid w:val="001E2638"/>
    <w:rsid w:val="001E3715"/>
    <w:rsid w:val="00234493"/>
    <w:rsid w:val="00267CF3"/>
    <w:rsid w:val="00281FDE"/>
    <w:rsid w:val="002B23E5"/>
    <w:rsid w:val="002B3798"/>
    <w:rsid w:val="002E7491"/>
    <w:rsid w:val="00301610"/>
    <w:rsid w:val="003406C8"/>
    <w:rsid w:val="00340ADE"/>
    <w:rsid w:val="00376B6F"/>
    <w:rsid w:val="0038129E"/>
    <w:rsid w:val="00392F96"/>
    <w:rsid w:val="003A3141"/>
    <w:rsid w:val="003B7850"/>
    <w:rsid w:val="003D6AD5"/>
    <w:rsid w:val="003E5BA0"/>
    <w:rsid w:val="003F7322"/>
    <w:rsid w:val="004158D0"/>
    <w:rsid w:val="00417E28"/>
    <w:rsid w:val="0044505B"/>
    <w:rsid w:val="00453FB8"/>
    <w:rsid w:val="00473F6B"/>
    <w:rsid w:val="00477753"/>
    <w:rsid w:val="004A1C57"/>
    <w:rsid w:val="004A3B65"/>
    <w:rsid w:val="004F3211"/>
    <w:rsid w:val="00535247"/>
    <w:rsid w:val="005639AC"/>
    <w:rsid w:val="00582672"/>
    <w:rsid w:val="005C246B"/>
    <w:rsid w:val="005C7FD2"/>
    <w:rsid w:val="005D1FEC"/>
    <w:rsid w:val="005D4E9A"/>
    <w:rsid w:val="005E07FF"/>
    <w:rsid w:val="005F43D6"/>
    <w:rsid w:val="00600E9C"/>
    <w:rsid w:val="0066793C"/>
    <w:rsid w:val="006842D1"/>
    <w:rsid w:val="006B0358"/>
    <w:rsid w:val="006D2D2B"/>
    <w:rsid w:val="006E1F93"/>
    <w:rsid w:val="006E3FEE"/>
    <w:rsid w:val="006E7EB3"/>
    <w:rsid w:val="006F221D"/>
    <w:rsid w:val="007115A7"/>
    <w:rsid w:val="00742552"/>
    <w:rsid w:val="00790E36"/>
    <w:rsid w:val="007A4F48"/>
    <w:rsid w:val="007A7B2D"/>
    <w:rsid w:val="007E0721"/>
    <w:rsid w:val="007E0A2B"/>
    <w:rsid w:val="007E123E"/>
    <w:rsid w:val="007E3B1E"/>
    <w:rsid w:val="007E4774"/>
    <w:rsid w:val="007E4F38"/>
    <w:rsid w:val="00816629"/>
    <w:rsid w:val="00856778"/>
    <w:rsid w:val="0087147F"/>
    <w:rsid w:val="00885314"/>
    <w:rsid w:val="008B57E1"/>
    <w:rsid w:val="008C162A"/>
    <w:rsid w:val="008C4625"/>
    <w:rsid w:val="008C5A0D"/>
    <w:rsid w:val="008D1487"/>
    <w:rsid w:val="008E7F01"/>
    <w:rsid w:val="00900131"/>
    <w:rsid w:val="0091371C"/>
    <w:rsid w:val="0093251B"/>
    <w:rsid w:val="00932889"/>
    <w:rsid w:val="00963236"/>
    <w:rsid w:val="00977AC8"/>
    <w:rsid w:val="009A625A"/>
    <w:rsid w:val="009B0AE9"/>
    <w:rsid w:val="009C37B0"/>
    <w:rsid w:val="009F53C1"/>
    <w:rsid w:val="00A279CB"/>
    <w:rsid w:val="00A7350A"/>
    <w:rsid w:val="00A74954"/>
    <w:rsid w:val="00AB3848"/>
    <w:rsid w:val="00AF7475"/>
    <w:rsid w:val="00B0216E"/>
    <w:rsid w:val="00B021AA"/>
    <w:rsid w:val="00B05C4E"/>
    <w:rsid w:val="00B1679E"/>
    <w:rsid w:val="00B263E5"/>
    <w:rsid w:val="00B51CA6"/>
    <w:rsid w:val="00B51EAB"/>
    <w:rsid w:val="00B90285"/>
    <w:rsid w:val="00BA1BEF"/>
    <w:rsid w:val="00BC22C3"/>
    <w:rsid w:val="00BC7E33"/>
    <w:rsid w:val="00BF2BFD"/>
    <w:rsid w:val="00BF7326"/>
    <w:rsid w:val="00C1277D"/>
    <w:rsid w:val="00C37990"/>
    <w:rsid w:val="00C433BA"/>
    <w:rsid w:val="00C519DE"/>
    <w:rsid w:val="00C54776"/>
    <w:rsid w:val="00C8613E"/>
    <w:rsid w:val="00C911F4"/>
    <w:rsid w:val="00CE3964"/>
    <w:rsid w:val="00CE5CD7"/>
    <w:rsid w:val="00D4497B"/>
    <w:rsid w:val="00D53570"/>
    <w:rsid w:val="00D56E18"/>
    <w:rsid w:val="00DA794A"/>
    <w:rsid w:val="00DE44BF"/>
    <w:rsid w:val="00DE6015"/>
    <w:rsid w:val="00DF02BD"/>
    <w:rsid w:val="00E31846"/>
    <w:rsid w:val="00EB3F62"/>
    <w:rsid w:val="00EB7EDC"/>
    <w:rsid w:val="00EE0C77"/>
    <w:rsid w:val="00EE585B"/>
    <w:rsid w:val="00EF09E2"/>
    <w:rsid w:val="00F02CAD"/>
    <w:rsid w:val="00F14768"/>
    <w:rsid w:val="00F15EC7"/>
    <w:rsid w:val="00F53FE2"/>
    <w:rsid w:val="00F7442D"/>
    <w:rsid w:val="00F77E91"/>
    <w:rsid w:val="00F837F3"/>
    <w:rsid w:val="00F875AA"/>
    <w:rsid w:val="00FC2F15"/>
    <w:rsid w:val="00FD04C6"/>
    <w:rsid w:val="00FD6068"/>
    <w:rsid w:val="00FD6DD0"/>
    <w:rsid w:val="00FE362C"/>
    <w:rsid w:val="00FE4511"/>
    <w:rsid w:val="00FF47A9"/>
    <w:rsid w:val="0C3856C2"/>
    <w:rsid w:val="61033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link w:val="15"/>
    <w:semiHidden/>
    <w:unhideWhenUsed/>
    <w:uiPriority w:val="99"/>
    <w:pPr>
      <w:spacing w:after="120"/>
      <w:ind w:left="420" w:leftChars="200"/>
    </w:pPr>
  </w:style>
  <w:style w:type="paragraph" w:styleId="4">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Autospacing="1" w:afterAutospacing="1"/>
      <w:jc w:val="left"/>
    </w:pPr>
    <w:rPr>
      <w:kern w:val="0"/>
      <w:sz w:val="24"/>
    </w:rPr>
  </w:style>
  <w:style w:type="paragraph" w:styleId="7">
    <w:name w:val="annotation subject"/>
    <w:basedOn w:val="2"/>
    <w:next w:val="2"/>
    <w:link w:val="19"/>
    <w:semiHidden/>
    <w:unhideWhenUsed/>
    <w:qFormat/>
    <w:uiPriority w:val="99"/>
    <w:rPr>
      <w:b/>
      <w:bCs/>
    </w:rPr>
  </w:style>
  <w:style w:type="paragraph" w:styleId="8">
    <w:name w:val="Body Text First Indent 2"/>
    <w:basedOn w:val="3"/>
    <w:link w:val="16"/>
    <w:qFormat/>
    <w:uiPriority w:val="99"/>
    <w:pPr>
      <w:spacing w:after="0"/>
      <w:ind w:left="0" w:leftChars="0" w:firstLine="420" w:firstLineChars="200"/>
    </w:pPr>
    <w:rPr>
      <w:rFonts w:ascii="仿宋_GB2312" w:hAnsi="_x000B__x000C_" w:eastAsia="仿宋_GB2312" w:cstheme="minorBidi"/>
      <w:sz w:val="28"/>
      <w:szCs w:val="22"/>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uiPriority w:val="99"/>
    <w:rPr>
      <w:sz w:val="21"/>
      <w:szCs w:val="21"/>
    </w:rPr>
  </w:style>
  <w:style w:type="character" w:customStyle="1" w:styleId="13">
    <w:name w:val="页眉 字符"/>
    <w:basedOn w:val="11"/>
    <w:link w:val="5"/>
    <w:uiPriority w:val="99"/>
    <w:rPr>
      <w:sz w:val="18"/>
      <w:szCs w:val="18"/>
    </w:rPr>
  </w:style>
  <w:style w:type="character" w:customStyle="1" w:styleId="14">
    <w:name w:val="页脚 字符"/>
    <w:basedOn w:val="11"/>
    <w:link w:val="4"/>
    <w:uiPriority w:val="99"/>
    <w:rPr>
      <w:sz w:val="18"/>
      <w:szCs w:val="18"/>
    </w:rPr>
  </w:style>
  <w:style w:type="character" w:customStyle="1" w:styleId="15">
    <w:name w:val="正文文本缩进 字符"/>
    <w:basedOn w:val="11"/>
    <w:link w:val="3"/>
    <w:semiHidden/>
    <w:uiPriority w:val="99"/>
    <w:rPr>
      <w:rFonts w:ascii="Times New Roman" w:hAnsi="Times New Roman" w:eastAsia="宋体" w:cs="Times New Roman"/>
      <w:szCs w:val="24"/>
    </w:rPr>
  </w:style>
  <w:style w:type="character" w:customStyle="1" w:styleId="16">
    <w:name w:val="正文首行缩进 2 字符"/>
    <w:basedOn w:val="15"/>
    <w:link w:val="8"/>
    <w:qFormat/>
    <w:uiPriority w:val="99"/>
    <w:rPr>
      <w:rFonts w:ascii="仿宋_GB2312" w:hAnsi="_x000B__x000C_" w:eastAsia="仿宋_GB2312" w:cs="Times New Roman"/>
      <w:sz w:val="28"/>
      <w:szCs w:val="24"/>
    </w:rPr>
  </w:style>
  <w:style w:type="paragraph" w:customStyle="1" w:styleId="17">
    <w:name w:val="ql-align-center"/>
    <w:basedOn w:val="1"/>
    <w:qFormat/>
    <w:uiPriority w:val="0"/>
    <w:pPr>
      <w:widowControl/>
      <w:spacing w:before="100" w:beforeAutospacing="1" w:after="100" w:afterAutospacing="1"/>
      <w:jc w:val="left"/>
    </w:pPr>
    <w:rPr>
      <w:rFonts w:ascii="宋体" w:hAnsi="宋体" w:eastAsiaTheme="minorEastAsia" w:cstheme="minorBidi"/>
      <w:kern w:val="0"/>
      <w:sz w:val="24"/>
    </w:rPr>
  </w:style>
  <w:style w:type="character" w:customStyle="1" w:styleId="18">
    <w:name w:val="批注文字 字符"/>
    <w:basedOn w:val="11"/>
    <w:link w:val="2"/>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8444</Words>
  <Characters>8807</Characters>
  <Lines>63</Lines>
  <Paragraphs>18</Paragraphs>
  <TotalTime>161</TotalTime>
  <ScaleCrop>false</ScaleCrop>
  <LinksUpToDate>false</LinksUpToDate>
  <CharactersWithSpaces>8810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2025-05-13T05:50:00Z</dcterms:created>
  <dc:creator>p c</dc:creator>
  <cp:lastModifiedBy>10</cp:lastModifiedBy>
  <dcterms:modified xsi:type="dcterms:W3CDTF">2025-08-26T12:02:43Z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eyJoZGlkIjoiZTA4NzIyN2MxYTlmMzQ1NGE2MjU5NWRkMjhlOGMxYTAifQ==</vt:lpwstr>
  </property>
  <property fmtid="{D5CDD505-2E9C-101B-9397-08002B2CF9AE}" pid="3" name="KSOProductBuildVer">
    <vt:lpwstr>2052-12.1.0.22215</vt:lpwstr>
  </property>
  <property fmtid="{D5CDD505-2E9C-101B-9397-08002B2CF9AE}" pid="4" name="ICV">
    <vt:lpwstr>3A38FAAF4F7745E18E10FA7C6C66885D_12</vt:lpwstr>
  </property>
</Properties>
</file>