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012DBE">
      <w:pPr>
        <w:ind w:firstLine="480"/>
        <w:rPr>
          <w:rFonts w:eastAsia="宋体"/>
        </w:rPr>
      </w:pPr>
    </w:p>
    <w:p w14:paraId="0308897B">
      <w:pPr>
        <w:ind w:firstLine="480"/>
      </w:pPr>
    </w:p>
    <w:p w14:paraId="0380D3E9">
      <w:pPr>
        <w:ind w:firstLine="480"/>
      </w:pPr>
    </w:p>
    <w:p w14:paraId="237C5454">
      <w:pPr>
        <w:ind w:firstLine="480"/>
      </w:pPr>
    </w:p>
    <w:p w14:paraId="7E7BB4DE">
      <w:pPr>
        <w:jc w:val="center"/>
        <w:outlineLvl w:val="0"/>
        <w:rPr>
          <w:b/>
          <w:bCs/>
          <w:sz w:val="52"/>
          <w:szCs w:val="52"/>
          <w:u w:val="single"/>
        </w:rPr>
      </w:pPr>
      <w:bookmarkStart w:id="0" w:name="_Toc24379"/>
      <w:bookmarkStart w:id="1" w:name="_Toc410210434"/>
      <w:r>
        <w:rPr>
          <w:rFonts w:hint="eastAsia"/>
          <w:b/>
          <w:bCs/>
          <w:sz w:val="52"/>
          <w:szCs w:val="52"/>
        </w:rPr>
        <w:t>北京市市级</w:t>
      </w:r>
      <w:bookmarkEnd w:id="0"/>
      <w:r>
        <w:rPr>
          <w:rFonts w:hint="eastAsia"/>
          <w:b/>
          <w:bCs/>
          <w:sz w:val="52"/>
          <w:szCs w:val="52"/>
        </w:rPr>
        <w:t>项目支出</w:t>
      </w:r>
    </w:p>
    <w:p w14:paraId="3B699007">
      <w:pPr>
        <w:jc w:val="center"/>
        <w:rPr>
          <w:b/>
          <w:bCs/>
          <w:sz w:val="52"/>
          <w:szCs w:val="52"/>
        </w:rPr>
      </w:pPr>
      <w:r>
        <w:rPr>
          <w:rFonts w:hint="eastAsia"/>
          <w:b/>
          <w:bCs/>
          <w:sz w:val="52"/>
          <w:szCs w:val="52"/>
        </w:rPr>
        <w:t>绩效评价报告</w:t>
      </w:r>
      <w:bookmarkEnd w:id="1"/>
    </w:p>
    <w:p w14:paraId="62C69474">
      <w:pPr>
        <w:rPr>
          <w:rFonts w:eastAsia="黑体"/>
          <w:sz w:val="30"/>
        </w:rPr>
      </w:pPr>
    </w:p>
    <w:p w14:paraId="3941A981">
      <w:pPr>
        <w:ind w:firstLine="600"/>
        <w:rPr>
          <w:rFonts w:eastAsia="黑体"/>
          <w:sz w:val="30"/>
        </w:rPr>
      </w:pPr>
    </w:p>
    <w:p w14:paraId="6154B346">
      <w:pPr>
        <w:ind w:firstLine="600"/>
        <w:rPr>
          <w:rFonts w:eastAsia="黑体"/>
          <w:sz w:val="30"/>
        </w:rPr>
      </w:pPr>
    </w:p>
    <w:p w14:paraId="3878D976">
      <w:pPr>
        <w:ind w:firstLine="600"/>
        <w:rPr>
          <w:rFonts w:eastAsia="黑体"/>
          <w:sz w:val="30"/>
        </w:rPr>
      </w:pPr>
    </w:p>
    <w:p w14:paraId="6ED6779A">
      <w:pPr>
        <w:pStyle w:val="6"/>
      </w:pPr>
    </w:p>
    <w:p w14:paraId="29A488B6">
      <w:pPr>
        <w:pStyle w:val="6"/>
      </w:pPr>
    </w:p>
    <w:p w14:paraId="0A4722A8">
      <w:pPr>
        <w:pStyle w:val="6"/>
      </w:pPr>
    </w:p>
    <w:p w14:paraId="3F800983">
      <w:pPr>
        <w:pStyle w:val="6"/>
      </w:pPr>
    </w:p>
    <w:p w14:paraId="6D0DAA88">
      <w:pPr>
        <w:pStyle w:val="6"/>
      </w:pPr>
    </w:p>
    <w:p w14:paraId="3A558273">
      <w:pPr>
        <w:pStyle w:val="6"/>
      </w:pPr>
    </w:p>
    <w:p w14:paraId="3AF42AA2">
      <w:pPr>
        <w:pStyle w:val="6"/>
      </w:pPr>
    </w:p>
    <w:p w14:paraId="595B0966">
      <w:pPr>
        <w:snapToGrid w:val="0"/>
        <w:spacing w:after="156" w:afterLines="50"/>
        <w:ind w:right="-57" w:rightChars="-27"/>
        <w:rPr>
          <w:rFonts w:ascii="仿宋_GB2312" w:hAnsi="宋体" w:eastAsia="仿宋_GB2312"/>
          <w:sz w:val="32"/>
          <w:szCs w:val="32"/>
          <w:u w:val="single"/>
        </w:rPr>
      </w:pPr>
      <w:r>
        <w:rPr>
          <w:rFonts w:hint="eastAsia" w:ascii="仿宋_GB2312" w:hAnsi="宋体" w:eastAsia="仿宋_GB2312"/>
          <w:sz w:val="32"/>
          <w:szCs w:val="32"/>
        </w:rPr>
        <w:t>主管部门</w:t>
      </w:r>
      <w:r>
        <w:rPr>
          <w:rFonts w:ascii="仿宋_GB2312" w:hAnsi="宋体" w:eastAsia="仿宋_GB2312"/>
          <w:sz w:val="32"/>
          <w:szCs w:val="32"/>
        </w:rPr>
        <w:t xml:space="preserve">   </w:t>
      </w:r>
      <w:r>
        <w:rPr>
          <w:rFonts w:hint="eastAsia" w:ascii="仿宋_GB2312" w:hAnsi="宋体" w:eastAsia="仿宋_GB2312"/>
          <w:sz w:val="32"/>
          <w:szCs w:val="32"/>
        </w:rPr>
        <w:t xml:space="preserve"> </w:t>
      </w:r>
      <w:r>
        <w:rPr>
          <w:rFonts w:ascii="仿宋_GB2312" w:hAnsi="宋体" w:eastAsia="仿宋_GB2312"/>
          <w:sz w:val="32"/>
          <w:szCs w:val="32"/>
          <w:u w:val="single"/>
        </w:rPr>
        <w:t xml:space="preserve">  </w:t>
      </w:r>
      <w:r>
        <w:rPr>
          <w:rFonts w:hint="eastAsia" w:ascii="仿宋_GB2312" w:hAnsi="宋体" w:eastAsia="仿宋_GB2312"/>
          <w:sz w:val="32"/>
          <w:szCs w:val="32"/>
          <w:u w:val="single"/>
        </w:rPr>
        <w:t xml:space="preserve">    北京市文学艺术界联合会</w:t>
      </w:r>
      <w:r>
        <w:rPr>
          <w:rFonts w:ascii="仿宋_GB2312" w:hAnsi="宋体" w:eastAsia="仿宋_GB2312"/>
          <w:sz w:val="32"/>
          <w:szCs w:val="32"/>
          <w:u w:val="single"/>
        </w:rPr>
        <w:t xml:space="preserve">   </w:t>
      </w:r>
      <w:r>
        <w:rPr>
          <w:rFonts w:hint="eastAsia" w:ascii="仿宋_GB2312" w:hAnsi="宋体" w:eastAsia="仿宋_GB2312"/>
          <w:sz w:val="32"/>
          <w:szCs w:val="32"/>
          <w:u w:val="single"/>
        </w:rPr>
        <w:t xml:space="preserve">    </w:t>
      </w:r>
      <w:r>
        <w:rPr>
          <w:rFonts w:ascii="仿宋_GB2312" w:hAnsi="宋体" w:eastAsia="仿宋_GB2312"/>
          <w:sz w:val="32"/>
          <w:szCs w:val="32"/>
          <w:u w:val="single"/>
        </w:rPr>
        <w:t xml:space="preserve"> </w:t>
      </w:r>
    </w:p>
    <w:p w14:paraId="56B1B94C">
      <w:pPr>
        <w:snapToGrid w:val="0"/>
        <w:spacing w:after="156" w:afterLines="50"/>
        <w:ind w:right="-57" w:rightChars="-27"/>
        <w:rPr>
          <w:rFonts w:ascii="仿宋_GB2312" w:hAnsi="宋体" w:eastAsia="仿宋_GB2312"/>
          <w:sz w:val="32"/>
          <w:szCs w:val="32"/>
          <w:u w:val="single"/>
        </w:rPr>
      </w:pPr>
      <w:r>
        <w:rPr>
          <w:rFonts w:hint="eastAsia" w:ascii="仿宋_GB2312" w:hAnsi="宋体" w:eastAsia="仿宋_GB2312"/>
          <w:sz w:val="32"/>
          <w:szCs w:val="32"/>
        </w:rPr>
        <w:t>项目单位</w:t>
      </w:r>
      <w:r>
        <w:rPr>
          <w:rFonts w:ascii="仿宋_GB2312" w:hAnsi="宋体" w:eastAsia="仿宋_GB2312"/>
          <w:sz w:val="32"/>
          <w:szCs w:val="32"/>
        </w:rPr>
        <w:t xml:space="preserve">   </w:t>
      </w:r>
      <w:r>
        <w:rPr>
          <w:rFonts w:hint="eastAsia" w:ascii="仿宋_GB2312" w:hAnsi="宋体" w:eastAsia="仿宋_GB2312"/>
          <w:sz w:val="32"/>
          <w:szCs w:val="32"/>
        </w:rPr>
        <w:t xml:space="preserve"> </w:t>
      </w:r>
      <w:r>
        <w:rPr>
          <w:rFonts w:hint="eastAsia" w:ascii="仿宋_GB2312" w:hAnsi="宋体" w:eastAsia="仿宋_GB2312"/>
          <w:sz w:val="32"/>
          <w:szCs w:val="32"/>
          <w:u w:val="single"/>
        </w:rPr>
        <w:t xml:space="preserve">      北京市文学艺术界联合会        </w:t>
      </w:r>
    </w:p>
    <w:p w14:paraId="70E585A8">
      <w:pPr>
        <w:snapToGrid w:val="0"/>
        <w:spacing w:after="156" w:afterLines="50"/>
        <w:rPr>
          <w:rFonts w:ascii="仿宋_GB2312" w:hAnsi="宋体" w:eastAsia="仿宋_GB2312"/>
          <w:sz w:val="32"/>
          <w:szCs w:val="32"/>
          <w:u w:val="single"/>
        </w:rPr>
      </w:pPr>
      <w:r>
        <w:rPr>
          <w:rFonts w:hint="eastAsia" w:ascii="仿宋_GB2312" w:hAnsi="宋体" w:eastAsia="仿宋_GB2312"/>
          <w:sz w:val="32"/>
          <w:szCs w:val="32"/>
        </w:rPr>
        <w:t>项目名称</w:t>
      </w:r>
      <w:r>
        <w:rPr>
          <w:rFonts w:ascii="仿宋_GB2312" w:hAnsi="宋体" w:eastAsia="仿宋_GB2312"/>
          <w:sz w:val="32"/>
          <w:szCs w:val="32"/>
        </w:rPr>
        <w:t xml:space="preserve">   </w:t>
      </w:r>
      <w:r>
        <w:rPr>
          <w:rFonts w:hint="eastAsia" w:ascii="仿宋_GB2312" w:hAnsi="宋体" w:eastAsia="仿宋_GB2312"/>
          <w:sz w:val="32"/>
          <w:szCs w:val="32"/>
        </w:rPr>
        <w:t xml:space="preserve"> </w:t>
      </w:r>
      <w:r>
        <w:rPr>
          <w:rFonts w:ascii="仿宋_GB2312" w:hAnsi="宋体" w:eastAsia="仿宋_GB2312"/>
          <w:sz w:val="32"/>
          <w:u w:val="single"/>
        </w:rPr>
        <w:t xml:space="preserve"> </w:t>
      </w:r>
      <w:r>
        <w:rPr>
          <w:rFonts w:hint="eastAsia" w:ascii="仿宋_GB2312" w:hAnsi="宋体" w:eastAsia="仿宋_GB2312"/>
          <w:sz w:val="32"/>
          <w:u w:val="single"/>
        </w:rPr>
        <w:t xml:space="preserve">     第七届北京大学生魔术交流大会</w:t>
      </w:r>
      <w:r>
        <w:rPr>
          <w:rFonts w:hint="eastAsia" w:ascii="仿宋_GB2312" w:hAnsi="宋体" w:eastAsia="仿宋_GB2312"/>
          <w:sz w:val="32"/>
          <w:szCs w:val="32"/>
          <w:u w:val="single"/>
        </w:rPr>
        <w:t xml:space="preserve">  </w:t>
      </w:r>
    </w:p>
    <w:p w14:paraId="44EF6B60">
      <w:pPr>
        <w:snapToGrid w:val="0"/>
        <w:spacing w:after="156" w:afterLines="50"/>
        <w:rPr>
          <w:rFonts w:ascii="仿宋_GB2312" w:eastAsia="仿宋_GB2312"/>
          <w:sz w:val="32"/>
          <w:szCs w:val="32"/>
          <w:u w:val="single"/>
        </w:rPr>
      </w:pPr>
      <w:r>
        <w:rPr>
          <w:rFonts w:hint="eastAsia" w:ascii="仿宋_GB2312" w:hAnsi="宋体" w:eastAsia="仿宋_GB2312"/>
          <w:sz w:val="32"/>
          <w:szCs w:val="32"/>
        </w:rPr>
        <w:t>评价单位</w:t>
      </w:r>
      <w:r>
        <w:rPr>
          <w:rFonts w:ascii="仿宋_GB2312" w:hAnsi="宋体" w:eastAsia="仿宋_GB2312"/>
          <w:sz w:val="32"/>
          <w:szCs w:val="32"/>
        </w:rPr>
        <w:t xml:space="preserve">   </w:t>
      </w:r>
      <w:r>
        <w:rPr>
          <w:rFonts w:hint="eastAsia" w:ascii="仿宋_GB2312" w:hAnsi="宋体" w:eastAsia="仿宋_GB2312"/>
          <w:sz w:val="32"/>
          <w:szCs w:val="32"/>
        </w:rPr>
        <w:t xml:space="preserve"> </w:t>
      </w:r>
      <w:r>
        <w:rPr>
          <w:rFonts w:ascii="仿宋_GB2312" w:hAnsi="宋体" w:eastAsia="仿宋_GB2312"/>
          <w:sz w:val="32"/>
          <w:szCs w:val="32"/>
          <w:u w:val="single"/>
        </w:rPr>
        <w:t xml:space="preserve">  </w:t>
      </w:r>
      <w:r>
        <w:rPr>
          <w:rFonts w:hint="eastAsia" w:ascii="仿宋_GB2312" w:hAnsi="宋体" w:eastAsia="仿宋_GB2312"/>
          <w:sz w:val="32"/>
          <w:szCs w:val="32"/>
          <w:u w:val="single"/>
        </w:rPr>
        <w:t xml:space="preserve">    北京市文学艺术界联合会</w:t>
      </w:r>
      <w:r>
        <w:rPr>
          <w:rFonts w:ascii="仿宋_GB2312" w:hAnsi="宋体" w:eastAsia="仿宋_GB2312"/>
          <w:sz w:val="32"/>
          <w:szCs w:val="32"/>
          <w:u w:val="single"/>
        </w:rPr>
        <w:t xml:space="preserve">        </w:t>
      </w:r>
    </w:p>
    <w:p w14:paraId="7D39F347">
      <w:pPr>
        <w:spacing w:before="156" w:beforeLines="50" w:after="156" w:afterLines="50" w:line="360" w:lineRule="exact"/>
        <w:rPr>
          <w:rFonts w:ascii="仿宋" w:hAnsi="仿宋" w:eastAsia="仿宋"/>
          <w:sz w:val="32"/>
        </w:rPr>
      </w:pPr>
      <w:r>
        <w:rPr>
          <w:rFonts w:hint="eastAsia" w:ascii="仿宋" w:hAnsi="仿宋" w:eastAsia="仿宋"/>
          <w:sz w:val="32"/>
        </w:rPr>
        <w:t>参与评价</w:t>
      </w:r>
    </w:p>
    <w:p w14:paraId="196D80CA">
      <w:pPr>
        <w:spacing w:before="156" w:beforeLines="50" w:after="156" w:afterLines="50" w:line="360" w:lineRule="exact"/>
        <w:rPr>
          <w:rFonts w:ascii="仿宋" w:hAnsi="仿宋" w:eastAsia="仿宋"/>
          <w:sz w:val="32"/>
        </w:rPr>
      </w:pPr>
      <w:r>
        <w:rPr>
          <w:rFonts w:hint="eastAsia" w:ascii="仿宋" w:hAnsi="仿宋" w:eastAsia="仿宋"/>
          <w:sz w:val="32"/>
          <w:szCs w:val="32"/>
        </w:rPr>
        <w:t>中介机构</w:t>
      </w:r>
      <w:r>
        <w:rPr>
          <w:rFonts w:hint="eastAsia" w:ascii="仿宋_GB2312" w:hAnsi="宋体" w:eastAsia="仿宋_GB2312"/>
          <w:sz w:val="32"/>
          <w:szCs w:val="32"/>
        </w:rPr>
        <w:t xml:space="preserve">  </w:t>
      </w:r>
      <w:r>
        <w:rPr>
          <w:rFonts w:ascii="仿宋_GB2312" w:hAnsi="宋体" w:eastAsia="仿宋_GB2312"/>
          <w:sz w:val="32"/>
          <w:szCs w:val="32"/>
        </w:rPr>
        <w:t xml:space="preserve">  </w:t>
      </w:r>
      <w:r>
        <w:rPr>
          <w:rFonts w:hint="eastAsia" w:ascii="仿宋_GB2312" w:hAnsi="宋体" w:eastAsia="仿宋_GB2312"/>
          <w:sz w:val="32"/>
          <w:szCs w:val="32"/>
          <w:u w:val="single"/>
        </w:rPr>
        <w:t xml:space="preserve">     北京恒康智辉咨询有限公司       </w:t>
      </w:r>
    </w:p>
    <w:p w14:paraId="74E9AEDF">
      <w:pPr>
        <w:rPr>
          <w:rFonts w:eastAsia="黑体"/>
          <w:sz w:val="30"/>
          <w:u w:val="single"/>
        </w:rPr>
      </w:pPr>
    </w:p>
    <w:p w14:paraId="5F7C6DBD">
      <w:pPr>
        <w:rPr>
          <w:rFonts w:eastAsia="黑体"/>
          <w:sz w:val="30"/>
          <w:u w:val="single"/>
        </w:rPr>
      </w:pPr>
    </w:p>
    <w:p w14:paraId="61C09324">
      <w:pPr>
        <w:rPr>
          <w:rFonts w:ascii="宋体" w:hAnsi="宋体" w:cs="Arial"/>
          <w:b/>
          <w:bCs/>
          <w:sz w:val="32"/>
          <w:szCs w:val="32"/>
        </w:rPr>
      </w:pPr>
    </w:p>
    <w:p w14:paraId="4B35ABFA">
      <w:pPr>
        <w:jc w:val="center"/>
        <w:rPr>
          <w:rFonts w:ascii="宋体" w:hAnsi="宋体" w:cs="Arial"/>
          <w:b/>
          <w:bCs/>
          <w:sz w:val="32"/>
          <w:szCs w:val="32"/>
        </w:rPr>
      </w:pPr>
      <w:r>
        <w:rPr>
          <w:rFonts w:hint="eastAsia" w:ascii="宋体" w:hAnsi="宋体" w:cs="Arial"/>
          <w:b/>
          <w:bCs/>
          <w:sz w:val="32"/>
          <w:szCs w:val="32"/>
        </w:rPr>
        <w:t>二○二五年五月</w:t>
      </w:r>
    </w:p>
    <w:p w14:paraId="0B2C94F9">
      <w:pPr>
        <w:widowControl/>
        <w:jc w:val="left"/>
        <w:rPr>
          <w:rFonts w:ascii="宋体" w:hAnsi="宋体" w:cs="Arial"/>
          <w:b/>
          <w:bCs/>
          <w:sz w:val="32"/>
          <w:szCs w:val="32"/>
        </w:rPr>
      </w:pPr>
    </w:p>
    <w:p w14:paraId="5F5D3236">
      <w:pPr>
        <w:pStyle w:val="10"/>
        <w:widowControl/>
      </w:pPr>
      <w:r>
        <w:drawing>
          <wp:inline distT="0" distB="0" distL="0" distR="0">
            <wp:extent cx="5276850" cy="3171825"/>
            <wp:effectExtent l="0" t="0" r="0" b="9525"/>
            <wp:docPr id="6" name="图片 6" descr="D:\Documents\WeChat Files\beauty17\FileStorage\Temp\1747377536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Documents\WeChat Files\beauty17\FileStorage\Temp\174737753613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4310" cy="3170298"/>
                    </a:xfrm>
                    <a:prstGeom prst="rect">
                      <a:avLst/>
                    </a:prstGeom>
                    <a:noFill/>
                    <a:ln>
                      <a:noFill/>
                    </a:ln>
                  </pic:spPr>
                </pic:pic>
              </a:graphicData>
            </a:graphic>
          </wp:inline>
        </w:drawing>
      </w:r>
    </w:p>
    <w:p w14:paraId="766A1376">
      <w:pPr>
        <w:pStyle w:val="10"/>
        <w:widowControl/>
        <w:jc w:val="center"/>
      </w:pPr>
      <w:r>
        <w:rPr>
          <w:rFonts w:hint="eastAsia"/>
        </w:rPr>
        <w:t>开幕式</w:t>
      </w:r>
    </w:p>
    <w:p w14:paraId="03820027">
      <w:pPr>
        <w:pStyle w:val="10"/>
        <w:widowControl/>
      </w:pPr>
      <w:r>
        <w:drawing>
          <wp:inline distT="0" distB="0" distL="0" distR="0">
            <wp:extent cx="5267325" cy="3286125"/>
            <wp:effectExtent l="0" t="0" r="9525" b="9525"/>
            <wp:docPr id="7" name="图片 7" descr="D:\Documents\WeChat Files\beauty17\FileStorage\Temp\1747377577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Documents\WeChat Files\beauty17\FileStorage\Temp\1747377577786.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74310" cy="3290483"/>
                    </a:xfrm>
                    <a:prstGeom prst="rect">
                      <a:avLst/>
                    </a:prstGeom>
                    <a:noFill/>
                    <a:ln>
                      <a:noFill/>
                    </a:ln>
                  </pic:spPr>
                </pic:pic>
              </a:graphicData>
            </a:graphic>
          </wp:inline>
        </w:drawing>
      </w:r>
    </w:p>
    <w:p w14:paraId="698116A0">
      <w:pPr>
        <w:pStyle w:val="10"/>
        <w:widowControl/>
        <w:jc w:val="center"/>
      </w:pPr>
      <w:r>
        <w:rPr>
          <w:rFonts w:hint="eastAsia"/>
        </w:rPr>
        <w:t>展演精彩节目</w:t>
      </w:r>
    </w:p>
    <w:p w14:paraId="0D1B053A">
      <w:pPr>
        <w:pStyle w:val="6"/>
      </w:pPr>
    </w:p>
    <w:sdt>
      <w:sdtPr>
        <w:rPr>
          <w:rFonts w:ascii="宋体" w:hAnsi="宋体" w:eastAsia="宋体"/>
          <w:b/>
          <w:bCs/>
          <w:sz w:val="32"/>
          <w:szCs w:val="32"/>
        </w:rPr>
        <w:id w:val="147472446"/>
        <w:docPartObj>
          <w:docPartGallery w:val="Table of Contents"/>
          <w:docPartUnique/>
        </w:docPartObj>
      </w:sdtPr>
      <w:sdtEndPr>
        <w:rPr>
          <w:rFonts w:ascii="宋体" w:hAnsi="宋体" w:eastAsia="宋体"/>
          <w:b/>
          <w:bCs/>
          <w:sz w:val="32"/>
          <w:szCs w:val="32"/>
        </w:rPr>
      </w:sdtEndPr>
      <w:sdtContent>
        <w:p w14:paraId="1F2BA582">
          <w:pPr>
            <w:jc w:val="center"/>
            <w:rPr>
              <w:rFonts w:ascii="黑体" w:hAnsi="黑体" w:eastAsia="黑体" w:cs="黑体"/>
              <w:b/>
              <w:bCs/>
              <w:sz w:val="36"/>
              <w:szCs w:val="36"/>
            </w:rPr>
          </w:pPr>
          <w:r>
            <w:rPr>
              <w:rFonts w:hint="eastAsia" w:ascii="黑体" w:hAnsi="黑体" w:eastAsia="黑体" w:cs="黑体"/>
              <w:b/>
              <w:bCs/>
              <w:sz w:val="36"/>
              <w:szCs w:val="36"/>
            </w:rPr>
            <w:t>目  录</w:t>
          </w:r>
        </w:p>
        <w:p w14:paraId="6B31E6ED">
          <w:pPr>
            <w:pStyle w:val="16"/>
            <w:tabs>
              <w:tab w:val="right" w:leader="dot" w:pos="8306"/>
            </w:tabs>
            <w:rPr>
              <w:b/>
            </w:rPr>
          </w:pPr>
          <w:r>
            <w:fldChar w:fldCharType="begin"/>
          </w:r>
          <w:r>
            <w:instrText xml:space="preserve">TOC \o "1-2" \h \u </w:instrText>
          </w:r>
          <w:r>
            <w:fldChar w:fldCharType="separate"/>
          </w:r>
        </w:p>
        <w:p w14:paraId="4E641148">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"_Toc14044" </w:instrText>
          </w:r>
          <w:r>
            <w:fldChar w:fldCharType="separate"/>
          </w:r>
          <w:r>
            <w:rPr>
              <w:rFonts w:hint="eastAsia" w:ascii="宋体" w:hAnsi="宋体" w:cs="宋体"/>
              <w:b/>
              <w:sz w:val="28"/>
              <w:szCs w:val="28"/>
            </w:rPr>
            <w:t>一、基本情况</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_Toc14044 \h </w:instrText>
          </w:r>
          <w:r>
            <w:rPr>
              <w:rFonts w:hint="eastAsia" w:ascii="宋体" w:hAnsi="宋体" w:cs="宋体"/>
              <w:b/>
              <w:sz w:val="28"/>
              <w:szCs w:val="28"/>
            </w:rPr>
            <w:fldChar w:fldCharType="separate"/>
          </w:r>
          <w:r>
            <w:rPr>
              <w:rFonts w:hint="eastAsia" w:ascii="宋体" w:hAnsi="宋体" w:cs="宋体"/>
              <w:b/>
              <w:sz w:val="28"/>
              <w:szCs w:val="28"/>
            </w:rPr>
            <w:t>1</w:t>
          </w:r>
          <w:r>
            <w:rPr>
              <w:rFonts w:hint="eastAsia" w:ascii="宋体" w:hAnsi="宋体" w:cs="宋体"/>
              <w:b/>
              <w:sz w:val="28"/>
              <w:szCs w:val="28"/>
            </w:rPr>
            <w:fldChar w:fldCharType="end"/>
          </w:r>
          <w:r>
            <w:rPr>
              <w:rFonts w:hint="eastAsia" w:ascii="宋体" w:hAnsi="宋体" w:cs="宋体"/>
              <w:b/>
              <w:sz w:val="28"/>
              <w:szCs w:val="28"/>
            </w:rPr>
            <w:fldChar w:fldCharType="end"/>
          </w:r>
        </w:p>
        <w:p w14:paraId="665AFA3E">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"_Toc30622" </w:instrText>
          </w:r>
          <w:r>
            <w:fldChar w:fldCharType="separate"/>
          </w:r>
          <w:r>
            <w:rPr>
              <w:rFonts w:hint="eastAsia" w:ascii="宋体" w:hAnsi="宋体" w:cs="宋体"/>
              <w:bCs/>
              <w:sz w:val="28"/>
              <w:szCs w:val="28"/>
            </w:rPr>
            <w:t>（一）项目概况</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_Toc30622 \h </w:instrText>
          </w:r>
          <w:r>
            <w:rPr>
              <w:rFonts w:hint="eastAsia" w:ascii="宋体" w:hAnsi="宋体" w:cs="宋体"/>
              <w:sz w:val="28"/>
              <w:szCs w:val="28"/>
            </w:rPr>
            <w:fldChar w:fldCharType="separate"/>
          </w:r>
          <w:r>
            <w:rPr>
              <w:rFonts w:hint="eastAsia" w:ascii="宋体" w:hAnsi="宋体" w:cs="宋体"/>
              <w:sz w:val="28"/>
              <w:szCs w:val="28"/>
            </w:rPr>
            <w:t>1</w:t>
          </w:r>
          <w:r>
            <w:rPr>
              <w:rFonts w:hint="eastAsia" w:ascii="宋体" w:hAnsi="宋体" w:cs="宋体"/>
              <w:sz w:val="28"/>
              <w:szCs w:val="28"/>
            </w:rPr>
            <w:fldChar w:fldCharType="end"/>
          </w:r>
          <w:r>
            <w:rPr>
              <w:rFonts w:hint="eastAsia" w:ascii="宋体" w:hAnsi="宋体" w:cs="宋体"/>
              <w:sz w:val="28"/>
              <w:szCs w:val="28"/>
            </w:rPr>
            <w:fldChar w:fldCharType="end"/>
          </w:r>
        </w:p>
        <w:p w14:paraId="06A7FA33">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"_Toc15722" </w:instrText>
          </w:r>
          <w:r>
            <w:fldChar w:fldCharType="separate"/>
          </w:r>
          <w:r>
            <w:rPr>
              <w:rFonts w:hint="eastAsia" w:ascii="宋体" w:hAnsi="宋体" w:cs="宋体"/>
              <w:bCs/>
              <w:sz w:val="28"/>
              <w:szCs w:val="28"/>
            </w:rPr>
            <w:t>（二）项目绩效目标</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_Toc15722 \h </w:instrText>
          </w:r>
          <w:r>
            <w:rPr>
              <w:rFonts w:hint="eastAsia" w:ascii="宋体" w:hAnsi="宋体" w:cs="宋体"/>
              <w:sz w:val="28"/>
              <w:szCs w:val="28"/>
            </w:rPr>
            <w:fldChar w:fldCharType="separate"/>
          </w:r>
          <w:r>
            <w:rPr>
              <w:rFonts w:hint="eastAsia" w:ascii="宋体" w:hAnsi="宋体" w:cs="宋体"/>
              <w:sz w:val="28"/>
              <w:szCs w:val="28"/>
            </w:rPr>
            <w:t>3</w:t>
          </w:r>
          <w:r>
            <w:rPr>
              <w:rFonts w:hint="eastAsia" w:ascii="宋体" w:hAnsi="宋体" w:cs="宋体"/>
              <w:sz w:val="28"/>
              <w:szCs w:val="28"/>
            </w:rPr>
            <w:fldChar w:fldCharType="end"/>
          </w:r>
          <w:r>
            <w:rPr>
              <w:rFonts w:hint="eastAsia" w:ascii="宋体" w:hAnsi="宋体" w:cs="宋体"/>
              <w:sz w:val="28"/>
              <w:szCs w:val="28"/>
            </w:rPr>
            <w:fldChar w:fldCharType="end"/>
          </w:r>
        </w:p>
        <w:p w14:paraId="1AAD0DE2">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"_Toc5818" </w:instrText>
          </w:r>
          <w:r>
            <w:fldChar w:fldCharType="separate"/>
          </w:r>
          <w:r>
            <w:rPr>
              <w:rFonts w:hint="eastAsia" w:ascii="宋体" w:hAnsi="宋体" w:cs="宋体"/>
              <w:b/>
              <w:sz w:val="28"/>
              <w:szCs w:val="28"/>
            </w:rPr>
            <w:t>二、绩效评价工作开展情况</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_Toc5818 \h </w:instrText>
          </w:r>
          <w:r>
            <w:rPr>
              <w:rFonts w:hint="eastAsia" w:ascii="宋体" w:hAnsi="宋体" w:cs="宋体"/>
              <w:b/>
              <w:sz w:val="28"/>
              <w:szCs w:val="28"/>
            </w:rPr>
            <w:fldChar w:fldCharType="separate"/>
          </w:r>
          <w:r>
            <w:rPr>
              <w:rFonts w:hint="eastAsia" w:ascii="宋体" w:hAnsi="宋体" w:cs="宋体"/>
              <w:b/>
              <w:sz w:val="28"/>
              <w:szCs w:val="28"/>
            </w:rPr>
            <w:t>4</w:t>
          </w:r>
          <w:r>
            <w:rPr>
              <w:rFonts w:hint="eastAsia" w:ascii="宋体" w:hAnsi="宋体" w:cs="宋体"/>
              <w:b/>
              <w:sz w:val="28"/>
              <w:szCs w:val="28"/>
            </w:rPr>
            <w:fldChar w:fldCharType="end"/>
          </w:r>
          <w:r>
            <w:rPr>
              <w:rFonts w:hint="eastAsia" w:ascii="宋体" w:hAnsi="宋体" w:cs="宋体"/>
              <w:b/>
              <w:sz w:val="28"/>
              <w:szCs w:val="28"/>
            </w:rPr>
            <w:fldChar w:fldCharType="end"/>
          </w:r>
        </w:p>
        <w:p w14:paraId="405D59F9">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"_Toc479" </w:instrText>
          </w:r>
          <w:r>
            <w:fldChar w:fldCharType="separate"/>
          </w:r>
          <w:r>
            <w:rPr>
              <w:rFonts w:hint="eastAsia" w:ascii="宋体" w:hAnsi="宋体" w:cs="宋体"/>
              <w:bCs/>
              <w:sz w:val="28"/>
              <w:szCs w:val="28"/>
            </w:rPr>
            <w:t>（一）绩效评价目的、对象和范围</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_Toc479 \h </w:instrText>
          </w:r>
          <w:r>
            <w:rPr>
              <w:rFonts w:hint="eastAsia" w:ascii="宋体" w:hAnsi="宋体" w:cs="宋体"/>
              <w:sz w:val="28"/>
              <w:szCs w:val="28"/>
            </w:rPr>
            <w:fldChar w:fldCharType="separate"/>
          </w:r>
          <w:r>
            <w:rPr>
              <w:rFonts w:hint="eastAsia" w:ascii="宋体" w:hAnsi="宋体" w:cs="宋体"/>
              <w:sz w:val="28"/>
              <w:szCs w:val="28"/>
            </w:rPr>
            <w:t>4</w:t>
          </w:r>
          <w:r>
            <w:rPr>
              <w:rFonts w:hint="eastAsia" w:ascii="宋体" w:hAnsi="宋体" w:cs="宋体"/>
              <w:sz w:val="28"/>
              <w:szCs w:val="28"/>
            </w:rPr>
            <w:fldChar w:fldCharType="end"/>
          </w:r>
          <w:r>
            <w:rPr>
              <w:rFonts w:hint="eastAsia" w:ascii="宋体" w:hAnsi="宋体" w:cs="宋体"/>
              <w:sz w:val="28"/>
              <w:szCs w:val="28"/>
            </w:rPr>
            <w:fldChar w:fldCharType="end"/>
          </w:r>
        </w:p>
        <w:p w14:paraId="25C7BA59">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"_Toc13732" </w:instrText>
          </w:r>
          <w:r>
            <w:fldChar w:fldCharType="separate"/>
          </w:r>
          <w:r>
            <w:rPr>
              <w:rFonts w:hint="eastAsia" w:ascii="宋体" w:hAnsi="宋体" w:cs="宋体"/>
              <w:bCs/>
              <w:sz w:val="28"/>
              <w:szCs w:val="28"/>
            </w:rPr>
            <w:t>（二）绩效评价原则、评价指标体系、评价方法、评价标准等</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_Toc13732 \h </w:instrText>
          </w:r>
          <w:r>
            <w:rPr>
              <w:rFonts w:hint="eastAsia" w:ascii="宋体" w:hAnsi="宋体" w:cs="宋体"/>
              <w:sz w:val="28"/>
              <w:szCs w:val="28"/>
            </w:rPr>
            <w:fldChar w:fldCharType="separate"/>
          </w:r>
          <w:r>
            <w:rPr>
              <w:rFonts w:hint="eastAsia" w:ascii="宋体" w:hAnsi="宋体" w:cs="宋体"/>
              <w:sz w:val="28"/>
              <w:szCs w:val="28"/>
            </w:rPr>
            <w:t>5</w:t>
          </w:r>
          <w:r>
            <w:rPr>
              <w:rFonts w:hint="eastAsia" w:ascii="宋体" w:hAnsi="宋体" w:cs="宋体"/>
              <w:sz w:val="28"/>
              <w:szCs w:val="28"/>
            </w:rPr>
            <w:fldChar w:fldCharType="end"/>
          </w:r>
          <w:r>
            <w:rPr>
              <w:rFonts w:hint="eastAsia" w:ascii="宋体" w:hAnsi="宋体" w:cs="宋体"/>
              <w:sz w:val="28"/>
              <w:szCs w:val="28"/>
            </w:rPr>
            <w:fldChar w:fldCharType="end"/>
          </w:r>
        </w:p>
        <w:p w14:paraId="0D03B661">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"_Toc27495" </w:instrText>
          </w:r>
          <w:r>
            <w:fldChar w:fldCharType="separate"/>
          </w:r>
          <w:r>
            <w:rPr>
              <w:rFonts w:hint="eastAsia" w:ascii="宋体" w:hAnsi="宋体" w:cs="宋体"/>
              <w:bCs/>
              <w:sz w:val="28"/>
              <w:szCs w:val="28"/>
            </w:rPr>
            <w:t>（三）绩效评价工作过程</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_Toc27495 \h </w:instrText>
          </w:r>
          <w:r>
            <w:rPr>
              <w:rFonts w:hint="eastAsia" w:ascii="宋体" w:hAnsi="宋体" w:cs="宋体"/>
              <w:sz w:val="28"/>
              <w:szCs w:val="28"/>
            </w:rPr>
            <w:fldChar w:fldCharType="separate"/>
          </w:r>
          <w:r>
            <w:rPr>
              <w:rFonts w:hint="eastAsia" w:ascii="宋体" w:hAnsi="宋体" w:cs="宋体"/>
              <w:sz w:val="28"/>
              <w:szCs w:val="28"/>
            </w:rPr>
            <w:t>5</w:t>
          </w:r>
          <w:r>
            <w:rPr>
              <w:rFonts w:hint="eastAsia" w:ascii="宋体" w:hAnsi="宋体" w:cs="宋体"/>
              <w:sz w:val="28"/>
              <w:szCs w:val="28"/>
            </w:rPr>
            <w:fldChar w:fldCharType="end"/>
          </w:r>
          <w:r>
            <w:rPr>
              <w:rFonts w:hint="eastAsia" w:ascii="宋体" w:hAnsi="宋体" w:cs="宋体"/>
              <w:sz w:val="28"/>
              <w:szCs w:val="28"/>
            </w:rPr>
            <w:fldChar w:fldCharType="end"/>
          </w:r>
        </w:p>
        <w:p w14:paraId="6B184D05">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"_Toc1238" </w:instrText>
          </w:r>
          <w:r>
            <w:fldChar w:fldCharType="separate"/>
          </w:r>
          <w:r>
            <w:rPr>
              <w:rFonts w:hint="eastAsia" w:ascii="宋体" w:hAnsi="宋体" w:cs="宋体"/>
              <w:b/>
              <w:sz w:val="28"/>
              <w:szCs w:val="28"/>
            </w:rPr>
            <w:t>三、综合评价情况及评价结论</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_Toc1238 \h </w:instrText>
          </w:r>
          <w:r>
            <w:rPr>
              <w:rFonts w:hint="eastAsia" w:ascii="宋体" w:hAnsi="宋体" w:cs="宋体"/>
              <w:b/>
              <w:sz w:val="28"/>
              <w:szCs w:val="28"/>
            </w:rPr>
            <w:fldChar w:fldCharType="separate"/>
          </w:r>
          <w:r>
            <w:rPr>
              <w:rFonts w:hint="eastAsia" w:ascii="宋体" w:hAnsi="宋体" w:cs="宋体"/>
              <w:b/>
              <w:sz w:val="28"/>
              <w:szCs w:val="28"/>
            </w:rPr>
            <w:t>7</w:t>
          </w:r>
          <w:r>
            <w:rPr>
              <w:rFonts w:hint="eastAsia" w:ascii="宋体" w:hAnsi="宋体" w:cs="宋体"/>
              <w:b/>
              <w:sz w:val="28"/>
              <w:szCs w:val="28"/>
            </w:rPr>
            <w:fldChar w:fldCharType="end"/>
          </w:r>
          <w:r>
            <w:rPr>
              <w:rFonts w:hint="eastAsia" w:ascii="宋体" w:hAnsi="宋体" w:cs="宋体"/>
              <w:b/>
              <w:sz w:val="28"/>
              <w:szCs w:val="28"/>
            </w:rPr>
            <w:fldChar w:fldCharType="end"/>
          </w:r>
        </w:p>
        <w:p w14:paraId="00ECC6F5">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"_Toc22782" </w:instrText>
          </w:r>
          <w:r>
            <w:fldChar w:fldCharType="separate"/>
          </w:r>
          <w:r>
            <w:rPr>
              <w:rFonts w:hint="eastAsia" w:ascii="宋体" w:hAnsi="宋体" w:cs="宋体"/>
              <w:b/>
              <w:sz w:val="28"/>
              <w:szCs w:val="28"/>
            </w:rPr>
            <w:t>四、绩效评价指标分析</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_Toc22782 \h </w:instrText>
          </w:r>
          <w:r>
            <w:rPr>
              <w:rFonts w:hint="eastAsia" w:ascii="宋体" w:hAnsi="宋体" w:cs="宋体"/>
              <w:b/>
              <w:sz w:val="28"/>
              <w:szCs w:val="28"/>
            </w:rPr>
            <w:fldChar w:fldCharType="separate"/>
          </w:r>
          <w:r>
            <w:rPr>
              <w:rFonts w:hint="eastAsia" w:ascii="宋体" w:hAnsi="宋体" w:cs="宋体"/>
              <w:b/>
              <w:sz w:val="28"/>
              <w:szCs w:val="28"/>
            </w:rPr>
            <w:t>7</w:t>
          </w:r>
          <w:r>
            <w:rPr>
              <w:rFonts w:hint="eastAsia" w:ascii="宋体" w:hAnsi="宋体" w:cs="宋体"/>
              <w:b/>
              <w:sz w:val="28"/>
              <w:szCs w:val="28"/>
            </w:rPr>
            <w:fldChar w:fldCharType="end"/>
          </w:r>
          <w:r>
            <w:rPr>
              <w:rFonts w:hint="eastAsia" w:ascii="宋体" w:hAnsi="宋体" w:cs="宋体"/>
              <w:b/>
              <w:sz w:val="28"/>
              <w:szCs w:val="28"/>
            </w:rPr>
            <w:fldChar w:fldCharType="end"/>
          </w:r>
        </w:p>
        <w:p w14:paraId="5A55BA4E">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"_Toc8324" </w:instrText>
          </w:r>
          <w:r>
            <w:fldChar w:fldCharType="separate"/>
          </w:r>
          <w:r>
            <w:rPr>
              <w:rFonts w:hint="eastAsia" w:ascii="宋体" w:hAnsi="宋体" w:cs="宋体"/>
              <w:bCs/>
              <w:sz w:val="28"/>
              <w:szCs w:val="28"/>
            </w:rPr>
            <w:t>（一）项目决策情况</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_Toc8324 \h </w:instrText>
          </w:r>
          <w:r>
            <w:rPr>
              <w:rFonts w:hint="eastAsia" w:ascii="宋体" w:hAnsi="宋体" w:cs="宋体"/>
              <w:sz w:val="28"/>
              <w:szCs w:val="28"/>
            </w:rPr>
            <w:fldChar w:fldCharType="separate"/>
          </w:r>
          <w:r>
            <w:rPr>
              <w:rFonts w:hint="eastAsia" w:ascii="宋体" w:hAnsi="宋体" w:cs="宋体"/>
              <w:sz w:val="28"/>
              <w:szCs w:val="28"/>
            </w:rPr>
            <w:t>7</w:t>
          </w:r>
          <w:r>
            <w:rPr>
              <w:rFonts w:hint="eastAsia" w:ascii="宋体" w:hAnsi="宋体" w:cs="宋体"/>
              <w:sz w:val="28"/>
              <w:szCs w:val="28"/>
            </w:rPr>
            <w:fldChar w:fldCharType="end"/>
          </w:r>
          <w:r>
            <w:rPr>
              <w:rFonts w:hint="eastAsia" w:ascii="宋体" w:hAnsi="宋体" w:cs="宋体"/>
              <w:sz w:val="28"/>
              <w:szCs w:val="28"/>
            </w:rPr>
            <w:fldChar w:fldCharType="end"/>
          </w:r>
        </w:p>
        <w:p w14:paraId="5273A50C">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"_Toc4245" </w:instrText>
          </w:r>
          <w:r>
            <w:fldChar w:fldCharType="separate"/>
          </w:r>
          <w:r>
            <w:rPr>
              <w:rFonts w:hint="eastAsia" w:ascii="宋体" w:hAnsi="宋体" w:cs="宋体"/>
              <w:bCs/>
              <w:sz w:val="28"/>
              <w:szCs w:val="28"/>
            </w:rPr>
            <w:t>（二）项目管理情况</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_Toc4245 \h </w:instrText>
          </w:r>
          <w:r>
            <w:rPr>
              <w:rFonts w:hint="eastAsia" w:ascii="宋体" w:hAnsi="宋体" w:cs="宋体"/>
              <w:sz w:val="28"/>
              <w:szCs w:val="28"/>
            </w:rPr>
            <w:fldChar w:fldCharType="separate"/>
          </w:r>
          <w:r>
            <w:rPr>
              <w:rFonts w:hint="eastAsia" w:ascii="宋体" w:hAnsi="宋体" w:cs="宋体"/>
              <w:sz w:val="28"/>
              <w:szCs w:val="28"/>
            </w:rPr>
            <w:t>9</w:t>
          </w:r>
          <w:r>
            <w:rPr>
              <w:rFonts w:hint="eastAsia" w:ascii="宋体" w:hAnsi="宋体" w:cs="宋体"/>
              <w:sz w:val="28"/>
              <w:szCs w:val="28"/>
            </w:rPr>
            <w:fldChar w:fldCharType="end"/>
          </w:r>
          <w:r>
            <w:rPr>
              <w:rFonts w:hint="eastAsia" w:ascii="宋体" w:hAnsi="宋体" w:cs="宋体"/>
              <w:sz w:val="28"/>
              <w:szCs w:val="28"/>
            </w:rPr>
            <w:fldChar w:fldCharType="end"/>
          </w:r>
        </w:p>
        <w:p w14:paraId="1F11A394">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"_Toc16486" </w:instrText>
          </w:r>
          <w:r>
            <w:fldChar w:fldCharType="separate"/>
          </w:r>
          <w:r>
            <w:rPr>
              <w:rFonts w:hint="eastAsia" w:ascii="宋体" w:hAnsi="宋体" w:cs="宋体"/>
              <w:bCs/>
              <w:sz w:val="28"/>
              <w:szCs w:val="28"/>
            </w:rPr>
            <w:t>（三）项目产出情况</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_Toc16486 \h </w:instrText>
          </w:r>
          <w:r>
            <w:rPr>
              <w:rFonts w:hint="eastAsia" w:ascii="宋体" w:hAnsi="宋体" w:cs="宋体"/>
              <w:sz w:val="28"/>
              <w:szCs w:val="28"/>
            </w:rPr>
            <w:fldChar w:fldCharType="separate"/>
          </w:r>
          <w:r>
            <w:rPr>
              <w:rFonts w:hint="eastAsia" w:ascii="宋体" w:hAnsi="宋体" w:cs="宋体"/>
              <w:sz w:val="28"/>
              <w:szCs w:val="28"/>
            </w:rPr>
            <w:t>9</w:t>
          </w:r>
          <w:r>
            <w:rPr>
              <w:rFonts w:hint="eastAsia" w:ascii="宋体" w:hAnsi="宋体" w:cs="宋体"/>
              <w:sz w:val="28"/>
              <w:szCs w:val="28"/>
            </w:rPr>
            <w:fldChar w:fldCharType="end"/>
          </w:r>
          <w:r>
            <w:rPr>
              <w:rFonts w:hint="eastAsia" w:ascii="宋体" w:hAnsi="宋体" w:cs="宋体"/>
              <w:sz w:val="28"/>
              <w:szCs w:val="28"/>
            </w:rPr>
            <w:fldChar w:fldCharType="end"/>
          </w:r>
        </w:p>
        <w:p w14:paraId="563C4B8E">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"_Toc29976" </w:instrText>
          </w:r>
          <w:r>
            <w:fldChar w:fldCharType="separate"/>
          </w:r>
          <w:r>
            <w:rPr>
              <w:rFonts w:hint="eastAsia" w:ascii="宋体" w:hAnsi="宋体" w:cs="宋体"/>
              <w:bCs/>
              <w:sz w:val="28"/>
              <w:szCs w:val="28"/>
            </w:rPr>
            <w:t>（四）项目效益情况</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_Toc29976 \h </w:instrText>
          </w:r>
          <w:r>
            <w:rPr>
              <w:rFonts w:hint="eastAsia" w:ascii="宋体" w:hAnsi="宋体" w:cs="宋体"/>
              <w:sz w:val="28"/>
              <w:szCs w:val="28"/>
            </w:rPr>
            <w:fldChar w:fldCharType="separate"/>
          </w:r>
          <w:r>
            <w:rPr>
              <w:rFonts w:hint="eastAsia" w:ascii="宋体" w:hAnsi="宋体" w:cs="宋体"/>
              <w:sz w:val="28"/>
              <w:szCs w:val="28"/>
            </w:rPr>
            <w:t>10</w:t>
          </w:r>
          <w:r>
            <w:rPr>
              <w:rFonts w:hint="eastAsia" w:ascii="宋体" w:hAnsi="宋体" w:cs="宋体"/>
              <w:sz w:val="28"/>
              <w:szCs w:val="28"/>
            </w:rPr>
            <w:fldChar w:fldCharType="end"/>
          </w:r>
          <w:r>
            <w:rPr>
              <w:rFonts w:hint="eastAsia" w:ascii="宋体" w:hAnsi="宋体" w:cs="宋体"/>
              <w:sz w:val="28"/>
              <w:szCs w:val="28"/>
            </w:rPr>
            <w:fldChar w:fldCharType="end"/>
          </w:r>
        </w:p>
        <w:p w14:paraId="7F4DBE93">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"_Toc32255" </w:instrText>
          </w:r>
          <w:r>
            <w:fldChar w:fldCharType="separate"/>
          </w:r>
          <w:r>
            <w:rPr>
              <w:rFonts w:hint="eastAsia" w:ascii="宋体" w:hAnsi="宋体" w:cs="宋体"/>
              <w:b/>
              <w:sz w:val="28"/>
              <w:szCs w:val="28"/>
            </w:rPr>
            <w:t>五、主要经验及做法、存在的问题及原因分析</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_Toc32255 \h </w:instrText>
          </w:r>
          <w:r>
            <w:rPr>
              <w:rFonts w:hint="eastAsia" w:ascii="宋体" w:hAnsi="宋体" w:cs="宋体"/>
              <w:b/>
              <w:sz w:val="28"/>
              <w:szCs w:val="28"/>
            </w:rPr>
            <w:fldChar w:fldCharType="separate"/>
          </w:r>
          <w:r>
            <w:rPr>
              <w:rFonts w:hint="eastAsia" w:ascii="宋体" w:hAnsi="宋体" w:cs="宋体"/>
              <w:b/>
              <w:sz w:val="28"/>
              <w:szCs w:val="28"/>
            </w:rPr>
            <w:t>11</w:t>
          </w:r>
          <w:r>
            <w:rPr>
              <w:rFonts w:hint="eastAsia" w:ascii="宋体" w:hAnsi="宋体" w:cs="宋体"/>
              <w:b/>
              <w:sz w:val="28"/>
              <w:szCs w:val="28"/>
            </w:rPr>
            <w:fldChar w:fldCharType="end"/>
          </w:r>
          <w:r>
            <w:rPr>
              <w:rFonts w:hint="eastAsia" w:ascii="宋体" w:hAnsi="宋体" w:cs="宋体"/>
              <w:b/>
              <w:sz w:val="28"/>
              <w:szCs w:val="28"/>
            </w:rPr>
            <w:fldChar w:fldCharType="end"/>
          </w:r>
        </w:p>
        <w:p w14:paraId="6CEA2829">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"_Toc21507" </w:instrText>
          </w:r>
          <w:r>
            <w:fldChar w:fldCharType="separate"/>
          </w:r>
          <w:r>
            <w:rPr>
              <w:rFonts w:hint="eastAsia" w:ascii="宋体" w:hAnsi="宋体" w:cs="宋体"/>
              <w:bCs/>
              <w:sz w:val="28"/>
              <w:szCs w:val="28"/>
            </w:rPr>
            <w:t>（一）主要经验及做法</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_Toc21507 \h </w:instrText>
          </w:r>
          <w:r>
            <w:rPr>
              <w:rFonts w:hint="eastAsia" w:ascii="宋体" w:hAnsi="宋体" w:cs="宋体"/>
              <w:sz w:val="28"/>
              <w:szCs w:val="28"/>
            </w:rPr>
            <w:fldChar w:fldCharType="separate"/>
          </w:r>
          <w:r>
            <w:rPr>
              <w:rFonts w:hint="eastAsia" w:ascii="宋体" w:hAnsi="宋体" w:cs="宋体"/>
              <w:sz w:val="28"/>
              <w:szCs w:val="28"/>
            </w:rPr>
            <w:t>11</w:t>
          </w:r>
          <w:r>
            <w:rPr>
              <w:rFonts w:hint="eastAsia" w:ascii="宋体" w:hAnsi="宋体" w:cs="宋体"/>
              <w:sz w:val="28"/>
              <w:szCs w:val="28"/>
            </w:rPr>
            <w:fldChar w:fldCharType="end"/>
          </w:r>
          <w:r>
            <w:rPr>
              <w:rFonts w:hint="eastAsia" w:ascii="宋体" w:hAnsi="宋体" w:cs="宋体"/>
              <w:sz w:val="28"/>
              <w:szCs w:val="28"/>
            </w:rPr>
            <w:fldChar w:fldCharType="end"/>
          </w:r>
        </w:p>
        <w:p w14:paraId="57E6BAA7">
          <w:pPr>
            <w:pStyle w:val="17"/>
            <w:tabs>
              <w:tab w:val="right" w:leader="dot" w:pos="8306"/>
            </w:tabs>
            <w:adjustRightInd w:val="0"/>
            <w:snapToGrid w:val="0"/>
            <w:spacing w:line="360" w:lineRule="auto"/>
            <w:ind w:leftChars="0"/>
            <w:rPr>
              <w:rFonts w:ascii="宋体" w:hAnsi="宋体" w:cs="宋体"/>
              <w:sz w:val="28"/>
              <w:szCs w:val="28"/>
            </w:rPr>
          </w:pPr>
          <w:r>
            <w:fldChar w:fldCharType="begin"/>
          </w:r>
          <w:r>
            <w:instrText xml:space="preserve"> HYPERLINK \l "_Toc3778" </w:instrText>
          </w:r>
          <w:r>
            <w:fldChar w:fldCharType="separate"/>
          </w:r>
          <w:r>
            <w:rPr>
              <w:rFonts w:hint="eastAsia" w:ascii="宋体" w:hAnsi="宋体" w:cs="宋体"/>
              <w:bCs/>
              <w:sz w:val="28"/>
              <w:szCs w:val="28"/>
            </w:rPr>
            <w:t>（二）存在的问题及原因分析</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_Toc3778 \h </w:instrText>
          </w:r>
          <w:r>
            <w:rPr>
              <w:rFonts w:hint="eastAsia" w:ascii="宋体" w:hAnsi="宋体" w:cs="宋体"/>
              <w:sz w:val="28"/>
              <w:szCs w:val="28"/>
            </w:rPr>
            <w:fldChar w:fldCharType="separate"/>
          </w:r>
          <w:r>
            <w:rPr>
              <w:rFonts w:hint="eastAsia" w:ascii="宋体" w:hAnsi="宋体" w:cs="宋体"/>
              <w:sz w:val="28"/>
              <w:szCs w:val="28"/>
            </w:rPr>
            <w:t>11</w:t>
          </w:r>
          <w:r>
            <w:rPr>
              <w:rFonts w:hint="eastAsia" w:ascii="宋体" w:hAnsi="宋体" w:cs="宋体"/>
              <w:sz w:val="28"/>
              <w:szCs w:val="28"/>
            </w:rPr>
            <w:fldChar w:fldCharType="end"/>
          </w:r>
          <w:r>
            <w:rPr>
              <w:rFonts w:hint="eastAsia" w:ascii="宋体" w:hAnsi="宋体" w:cs="宋体"/>
              <w:sz w:val="28"/>
              <w:szCs w:val="28"/>
            </w:rPr>
            <w:fldChar w:fldCharType="end"/>
          </w:r>
        </w:p>
        <w:p w14:paraId="6C85701B">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"_Toc15186" </w:instrText>
          </w:r>
          <w:r>
            <w:fldChar w:fldCharType="separate"/>
          </w:r>
          <w:r>
            <w:rPr>
              <w:rFonts w:hint="eastAsia" w:ascii="宋体" w:hAnsi="宋体" w:cs="宋体"/>
              <w:b/>
              <w:sz w:val="28"/>
              <w:szCs w:val="28"/>
            </w:rPr>
            <w:t>六、有关建议</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_Toc15186 \h </w:instrText>
          </w:r>
          <w:r>
            <w:rPr>
              <w:rFonts w:hint="eastAsia" w:ascii="宋体" w:hAnsi="宋体" w:cs="宋体"/>
              <w:b/>
              <w:sz w:val="28"/>
              <w:szCs w:val="28"/>
            </w:rPr>
            <w:fldChar w:fldCharType="separate"/>
          </w:r>
          <w:r>
            <w:rPr>
              <w:rFonts w:hint="eastAsia" w:ascii="宋体" w:hAnsi="宋体" w:cs="宋体"/>
              <w:b/>
              <w:sz w:val="28"/>
              <w:szCs w:val="28"/>
            </w:rPr>
            <w:t>11</w:t>
          </w:r>
          <w:r>
            <w:rPr>
              <w:rFonts w:hint="eastAsia" w:ascii="宋体" w:hAnsi="宋体" w:cs="宋体"/>
              <w:b/>
              <w:sz w:val="28"/>
              <w:szCs w:val="28"/>
            </w:rPr>
            <w:fldChar w:fldCharType="end"/>
          </w:r>
          <w:r>
            <w:rPr>
              <w:rFonts w:hint="eastAsia" w:ascii="宋体" w:hAnsi="宋体" w:cs="宋体"/>
              <w:b/>
              <w:sz w:val="28"/>
              <w:szCs w:val="28"/>
            </w:rPr>
            <w:fldChar w:fldCharType="end"/>
          </w:r>
        </w:p>
        <w:p w14:paraId="4F73517B">
          <w:pPr>
            <w:pStyle w:val="16"/>
            <w:tabs>
              <w:tab w:val="right" w:leader="dot" w:pos="8306"/>
            </w:tabs>
            <w:adjustRightInd w:val="0"/>
            <w:snapToGrid w:val="0"/>
            <w:spacing w:line="360" w:lineRule="auto"/>
            <w:rPr>
              <w:rFonts w:ascii="宋体" w:hAnsi="宋体" w:cs="宋体"/>
              <w:b/>
              <w:sz w:val="28"/>
              <w:szCs w:val="28"/>
            </w:rPr>
          </w:pPr>
          <w:r>
            <w:fldChar w:fldCharType="begin"/>
          </w:r>
          <w:r>
            <w:instrText xml:space="preserve"> HYPERLINK \l "_Toc3673" </w:instrText>
          </w:r>
          <w:r>
            <w:fldChar w:fldCharType="separate"/>
          </w:r>
          <w:r>
            <w:rPr>
              <w:rFonts w:hint="eastAsia" w:ascii="宋体" w:hAnsi="宋体" w:cs="宋体"/>
              <w:b/>
              <w:sz w:val="28"/>
              <w:szCs w:val="28"/>
            </w:rPr>
            <w:t>七、其他需要说明的问题</w:t>
          </w:r>
          <w:r>
            <w:rPr>
              <w:rFonts w:hint="eastAsia" w:ascii="宋体" w:hAnsi="宋体" w:cs="宋体"/>
              <w:b/>
              <w:sz w:val="28"/>
              <w:szCs w:val="28"/>
            </w:rPr>
            <w:tab/>
          </w:r>
          <w:r>
            <w:rPr>
              <w:rFonts w:hint="eastAsia" w:ascii="宋体" w:hAnsi="宋体" w:cs="宋体"/>
              <w:b/>
              <w:sz w:val="28"/>
              <w:szCs w:val="28"/>
            </w:rPr>
            <w:fldChar w:fldCharType="begin"/>
          </w:r>
          <w:r>
            <w:rPr>
              <w:rFonts w:hint="eastAsia" w:ascii="宋体" w:hAnsi="宋体" w:cs="宋体"/>
              <w:b/>
              <w:sz w:val="28"/>
              <w:szCs w:val="28"/>
            </w:rPr>
            <w:instrText xml:space="preserve"> PAGEREF _Toc3673 \h </w:instrText>
          </w:r>
          <w:r>
            <w:rPr>
              <w:rFonts w:hint="eastAsia" w:ascii="宋体" w:hAnsi="宋体" w:cs="宋体"/>
              <w:b/>
              <w:sz w:val="28"/>
              <w:szCs w:val="28"/>
            </w:rPr>
            <w:fldChar w:fldCharType="separate"/>
          </w:r>
          <w:r>
            <w:rPr>
              <w:rFonts w:hint="eastAsia" w:ascii="宋体" w:hAnsi="宋体" w:cs="宋体"/>
              <w:b/>
              <w:sz w:val="28"/>
              <w:szCs w:val="28"/>
            </w:rPr>
            <w:t>12</w:t>
          </w:r>
          <w:r>
            <w:rPr>
              <w:rFonts w:hint="eastAsia" w:ascii="宋体" w:hAnsi="宋体" w:cs="宋体"/>
              <w:b/>
              <w:sz w:val="28"/>
              <w:szCs w:val="28"/>
            </w:rPr>
            <w:fldChar w:fldCharType="end"/>
          </w:r>
          <w:r>
            <w:rPr>
              <w:rFonts w:hint="eastAsia" w:ascii="宋体" w:hAnsi="宋体" w:cs="宋体"/>
              <w:b/>
              <w:sz w:val="28"/>
              <w:szCs w:val="28"/>
            </w:rPr>
            <w:fldChar w:fldCharType="end"/>
          </w:r>
        </w:p>
        <w:p w14:paraId="3C6BE3BA">
          <w:r>
            <w:rPr>
              <w:b/>
            </w:rPr>
            <w:fldChar w:fldCharType="end"/>
          </w:r>
        </w:p>
      </w:sdtContent>
    </w:sdt>
    <w:p w14:paraId="2533B501">
      <w:pPr>
        <w:jc w:val="center"/>
        <w:rPr>
          <w:rFonts w:ascii="宋体" w:hAnsi="宋体" w:cs="Arial"/>
          <w:b/>
          <w:bCs/>
          <w:sz w:val="36"/>
          <w:szCs w:val="36"/>
        </w:rPr>
        <w:sectPr>
          <w:pgSz w:w="11906" w:h="16838"/>
          <w:pgMar w:top="1440" w:right="1800" w:bottom="1440" w:left="1800" w:header="851" w:footer="992" w:gutter="0"/>
          <w:pgNumType w:start="1"/>
          <w:cols w:space="425" w:num="1"/>
          <w:docGrid w:type="lines" w:linePitch="312" w:charSpace="0"/>
        </w:sectPr>
      </w:pPr>
    </w:p>
    <w:p w14:paraId="0F6A6143">
      <w:pPr>
        <w:adjustRightInd w:val="0"/>
        <w:snapToGrid w:val="0"/>
        <w:spacing w:after="156" w:afterLines="50"/>
        <w:jc w:val="center"/>
        <w:rPr>
          <w:rFonts w:ascii="宋体" w:hAnsi="宋体" w:cs="Arial"/>
          <w:b/>
          <w:bCs/>
          <w:sz w:val="44"/>
          <w:szCs w:val="44"/>
        </w:rPr>
      </w:pPr>
      <w:r>
        <w:rPr>
          <w:rFonts w:hint="eastAsia" w:ascii="宋体" w:hAnsi="宋体" w:cs="Arial"/>
          <w:b/>
          <w:bCs/>
          <w:sz w:val="44"/>
          <w:szCs w:val="44"/>
        </w:rPr>
        <w:t>北京市文学艺术界联合会</w:t>
      </w:r>
    </w:p>
    <w:p w14:paraId="3BD653C0">
      <w:pPr>
        <w:adjustRightInd w:val="0"/>
        <w:snapToGrid w:val="0"/>
        <w:spacing w:after="156" w:afterLines="50"/>
        <w:jc w:val="center"/>
        <w:rPr>
          <w:rFonts w:ascii="宋体" w:hAnsi="宋体" w:cs="Arial"/>
          <w:b/>
          <w:bCs/>
          <w:sz w:val="44"/>
          <w:szCs w:val="44"/>
        </w:rPr>
      </w:pPr>
      <w:bookmarkStart w:id="2" w:name="_Toc14973"/>
      <w:r>
        <w:rPr>
          <w:rFonts w:hint="eastAsia" w:ascii="宋体" w:hAnsi="宋体" w:cs="Arial"/>
          <w:b/>
          <w:bCs/>
          <w:sz w:val="44"/>
          <w:szCs w:val="44"/>
        </w:rPr>
        <w:t>第七届北京大学生魔术交流大会</w:t>
      </w:r>
    </w:p>
    <w:p w14:paraId="7EE0F14B">
      <w:pPr>
        <w:adjustRightInd w:val="0"/>
        <w:snapToGrid w:val="0"/>
        <w:spacing w:after="156" w:afterLines="50"/>
        <w:jc w:val="center"/>
        <w:rPr>
          <w:rFonts w:ascii="宋体" w:hAnsi="宋体" w:cs="Arial"/>
          <w:b/>
          <w:bCs/>
          <w:sz w:val="44"/>
          <w:szCs w:val="44"/>
        </w:rPr>
      </w:pPr>
      <w:r>
        <w:rPr>
          <w:rFonts w:hint="eastAsia" w:ascii="宋体" w:hAnsi="宋体" w:cs="Arial"/>
          <w:b/>
          <w:bCs/>
          <w:sz w:val="44"/>
          <w:szCs w:val="44"/>
        </w:rPr>
        <w:t>项目支出</w:t>
      </w:r>
      <w:r>
        <w:rPr>
          <w:rFonts w:ascii="宋体" w:hAnsi="宋体" w:cs="Arial"/>
          <w:b/>
          <w:bCs/>
          <w:sz w:val="44"/>
          <w:szCs w:val="44"/>
        </w:rPr>
        <w:t>绩效</w:t>
      </w:r>
      <w:r>
        <w:rPr>
          <w:rFonts w:hint="eastAsia" w:ascii="宋体" w:hAnsi="宋体" w:cs="Arial"/>
          <w:b/>
          <w:bCs/>
          <w:sz w:val="44"/>
          <w:szCs w:val="44"/>
        </w:rPr>
        <w:t>评价报告</w:t>
      </w:r>
      <w:bookmarkEnd w:id="2"/>
    </w:p>
    <w:p w14:paraId="2E64F526">
      <w:pPr>
        <w:pStyle w:val="6"/>
      </w:pPr>
    </w:p>
    <w:p w14:paraId="58C4CB4B">
      <w:pPr>
        <w:widowControl/>
        <w:adjustRightInd w:val="0"/>
        <w:snapToGrid w:val="0"/>
        <w:spacing w:line="360" w:lineRule="auto"/>
        <w:ind w:firstLine="640" w:firstLineChars="200"/>
        <w:jc w:val="left"/>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为进一步加强财政支出管理，合理配置财政资源，提高财政资金使用效益和财政支出管理水平，根据《北京市项目支出绩效评价管理办法》（京财绩效〔2020〕2146号）及《北京市财政局关于2025年推进全面实施预算绩效管理工作的通知》等文件要求，北京市文学艺术界联合会（以下简称“市文联”）组织成立了绩效评价工作组，委托北京恒康智辉咨询有限公司作为中介机构参与此项目绩效评价工作，对“第七届北京大学生魔术交流大会”项目的绩效情况实施绩效评价，形成本绩效评价报告。</w:t>
      </w:r>
    </w:p>
    <w:p w14:paraId="06E07AE5">
      <w:pPr>
        <w:adjustRightInd w:val="0"/>
        <w:snapToGrid w:val="0"/>
        <w:spacing w:line="360" w:lineRule="auto"/>
        <w:ind w:firstLine="640" w:firstLineChars="200"/>
        <w:outlineLvl w:val="0"/>
        <w:rPr>
          <w:rFonts w:ascii="黑体" w:hAnsi="黑体" w:eastAsia="黑体" w:cs="黑体"/>
          <w:bCs/>
          <w:kern w:val="0"/>
          <w:sz w:val="32"/>
          <w:szCs w:val="32"/>
        </w:rPr>
      </w:pPr>
      <w:bookmarkStart w:id="3" w:name="_Toc14044"/>
      <w:r>
        <w:rPr>
          <w:rFonts w:hint="eastAsia" w:ascii="黑体" w:hAnsi="黑体" w:eastAsia="黑体" w:cs="黑体"/>
          <w:bCs/>
          <w:kern w:val="0"/>
          <w:sz w:val="32"/>
          <w:szCs w:val="32"/>
        </w:rPr>
        <w:t>一、基本情况</w:t>
      </w:r>
      <w:bookmarkEnd w:id="3"/>
    </w:p>
    <w:p w14:paraId="7C28643F">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4" w:name="_Toc30622"/>
      <w:r>
        <w:rPr>
          <w:rFonts w:hint="eastAsia" w:ascii="仿宋_GB2312" w:hAnsi="仿宋_GB2312" w:eastAsia="仿宋_GB2312" w:cs="仿宋_GB2312"/>
          <w:b/>
          <w:bCs/>
          <w:kern w:val="0"/>
          <w:sz w:val="32"/>
          <w:szCs w:val="32"/>
        </w:rPr>
        <w:t>（一）项目概况</w:t>
      </w:r>
      <w:bookmarkEnd w:id="4"/>
    </w:p>
    <w:p w14:paraId="6DA229AA">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1.项目背景</w:t>
      </w:r>
    </w:p>
    <w:p w14:paraId="2D43B9F2">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为深入贯彻落实党的二十大精神，在服务新时代首都发展和“四区”建设，落实北京全国文化中心、国际交往中心战略定位的政策支持下，深入贯彻落实习近平文化思想，助力北京市建设“演艺之都”的背景下，由市文联、中国杂技家协会主办，北京杂技家协会、朝阳区文联承办的第七届北京大学生魔术交流大会（以下简称“该项目”）在京举办。</w:t>
      </w:r>
    </w:p>
    <w:p w14:paraId="002EE4B4">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t>本届大会聚焦魔术发展新业态带来的新变化、新机遇、新活力，在关心支持大学生和青年魔术人才的成长发展中，推出更多增强人民精神力量的优秀作品，更好满足人民群众精神文化需求，</w:t>
      </w:r>
      <w:r>
        <w:rPr>
          <w:rFonts w:hint="eastAsia" w:ascii="仿宋_GB2312" w:hAnsi="仿宋_GB2312" w:eastAsia="仿宋_GB2312" w:cs="仿宋_GB2312"/>
          <w:sz w:val="32"/>
          <w:szCs w:val="32"/>
        </w:rPr>
        <w:t>为首都人民群众奉献专业、精彩、优质的精神文化盛宴。</w:t>
      </w:r>
    </w:p>
    <w:p w14:paraId="2BEC6F6C">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2.主要内容及实施情况</w:t>
      </w:r>
    </w:p>
    <w:p w14:paraId="7854DAF2">
      <w:pPr>
        <w:pStyle w:val="6"/>
        <w:ind w:firstLine="640" w:firstLineChars="200"/>
        <w:rPr>
          <w:rFonts w:ascii="仿宋_GB2312" w:hAnsi="宋体" w:eastAsia="仿宋_GB2312"/>
          <w:bCs/>
          <w:sz w:val="32"/>
          <w:szCs w:val="32"/>
        </w:rPr>
      </w:pPr>
      <w:r>
        <w:rPr>
          <w:rFonts w:hint="eastAsia" w:ascii="仿宋_GB2312" w:hAnsi="宋体" w:eastAsia="仿宋_GB2312"/>
          <w:bCs/>
          <w:sz w:val="32"/>
          <w:szCs w:val="32"/>
        </w:rPr>
        <w:t>该项目以魔术展演、大学生魔术交流活动为主要内容。包括进商圈、进社区、进校园魔术展演，国际魔术大师“云对话”、魔术摄影图片展。覆盖大学生群体及全国魔术爱好者，旨在搭建魔术交流平台、普及魔术文化。</w:t>
      </w:r>
    </w:p>
    <w:p w14:paraId="0495C6F0">
      <w:pPr>
        <w:pStyle w:val="6"/>
        <w:ind w:firstLine="640" w:firstLineChars="200"/>
        <w:rPr>
          <w:rFonts w:ascii="仿宋_GB2312" w:hAnsi="宋体" w:eastAsia="仿宋_GB2312"/>
          <w:bCs/>
          <w:sz w:val="32"/>
          <w:szCs w:val="32"/>
        </w:rPr>
      </w:pPr>
      <w:r>
        <w:rPr>
          <w:rFonts w:hint="eastAsia" w:ascii="仿宋_GB2312" w:eastAsia="仿宋_GB2312"/>
          <w:sz w:val="32"/>
          <w:szCs w:val="32"/>
        </w:rPr>
        <w:t>该项目2024年3月筹备招标工作，4月采取竞争性磋商的方式确定中标单位，4月中旬签订合作协议，5月制定该项目活动方案，6月进入执行状态，7月至8月按照该项目总体情况每周召开1</w:t>
      </w:r>
      <w:r>
        <w:rPr>
          <w:rFonts w:hint="eastAsia" w:ascii="仿宋_GB2312" w:eastAsia="仿宋_GB2312"/>
          <w:sz w:val="32"/>
          <w:szCs w:val="32"/>
          <w:lang w:eastAsia="zh-CN"/>
        </w:rPr>
        <w:t>～</w:t>
      </w:r>
      <w:r>
        <w:rPr>
          <w:rFonts w:hint="eastAsia" w:ascii="仿宋_GB2312" w:eastAsia="仿宋_GB2312"/>
          <w:sz w:val="32"/>
          <w:szCs w:val="32"/>
        </w:rPr>
        <w:t>2次协调会，9月7日活动落地执行，10月底大会闭幕，活动整体执行历时7个月。</w:t>
      </w:r>
    </w:p>
    <w:p w14:paraId="38E3CA1D">
      <w:pPr>
        <w:tabs>
          <w:tab w:val="left" w:pos="312"/>
        </w:tabs>
        <w:adjustRightInd w:val="0"/>
        <w:snapToGrid w:val="0"/>
        <w:spacing w:line="360" w:lineRule="auto"/>
        <w:ind w:left="64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w:t>
      </w:r>
      <w:r>
        <w:rPr>
          <w:rFonts w:ascii="仿宋_GB2312" w:hAnsi="仿宋_GB2312" w:eastAsia="仿宋_GB2312" w:cs="仿宋_GB2312"/>
          <w:kern w:val="0"/>
          <w:sz w:val="32"/>
          <w:szCs w:val="32"/>
        </w:rPr>
        <w:t>.</w:t>
      </w:r>
      <w:r>
        <w:rPr>
          <w:rFonts w:hint="eastAsia" w:ascii="仿宋_GB2312" w:hAnsi="仿宋_GB2312" w:eastAsia="仿宋_GB2312" w:cs="仿宋_GB2312"/>
          <w:kern w:val="0"/>
          <w:sz w:val="32"/>
          <w:szCs w:val="32"/>
        </w:rPr>
        <w:t>资金投入和使用情况</w:t>
      </w:r>
    </w:p>
    <w:p w14:paraId="70597EBF">
      <w:pPr>
        <w:adjustRightInd w:val="0"/>
        <w:snapToGrid w:val="0"/>
        <w:spacing w:line="360" w:lineRule="auto"/>
        <w:ind w:firstLine="640" w:firstLineChars="200"/>
        <w:rPr>
          <w:rFonts w:ascii="仿宋_GB2312" w:hAnsi="宋体" w:eastAsia="仿宋_GB2312"/>
          <w:bCs/>
          <w:sz w:val="32"/>
          <w:szCs w:val="32"/>
        </w:rPr>
      </w:pPr>
      <w:r>
        <w:rPr>
          <w:rFonts w:hint="eastAsia" w:ascii="仿宋_GB2312" w:hAnsi="宋体" w:eastAsia="仿宋_GB2312"/>
          <w:bCs/>
          <w:sz w:val="32"/>
          <w:szCs w:val="32"/>
        </w:rPr>
        <w:t>（1）年初预算批复情况</w:t>
      </w:r>
    </w:p>
    <w:p w14:paraId="6CEF357A">
      <w:pPr>
        <w:adjustRightInd w:val="0"/>
        <w:snapToGrid w:val="0"/>
        <w:spacing w:line="360" w:lineRule="auto"/>
        <w:ind w:firstLine="640" w:firstLineChars="200"/>
        <w:rPr>
          <w:rFonts w:ascii="仿宋_GB2312" w:hAnsi="宋体" w:eastAsia="仿宋_GB2312"/>
          <w:bCs/>
          <w:sz w:val="32"/>
          <w:szCs w:val="32"/>
        </w:rPr>
      </w:pPr>
      <w:r>
        <w:rPr>
          <w:rFonts w:hint="eastAsia" w:ascii="仿宋_GB2312" w:hAnsi="宋体" w:eastAsia="仿宋_GB2312"/>
          <w:bCs/>
          <w:sz w:val="32"/>
          <w:szCs w:val="32"/>
        </w:rPr>
        <w:t>2024年年初，根据《北京市财政局关于批复北京市文学艺术界联合会2024年预算的函》（京财科文指〔2024〕0</w:t>
      </w:r>
      <w:r>
        <w:rPr>
          <w:rFonts w:ascii="仿宋_GB2312" w:hAnsi="宋体" w:eastAsia="仿宋_GB2312"/>
          <w:bCs/>
          <w:sz w:val="32"/>
          <w:szCs w:val="32"/>
        </w:rPr>
        <w:t>175号</w:t>
      </w:r>
      <w:r>
        <w:rPr>
          <w:rFonts w:hint="eastAsia" w:ascii="仿宋_GB2312" w:hAnsi="宋体" w:eastAsia="仿宋_GB2312"/>
          <w:bCs/>
          <w:sz w:val="32"/>
          <w:szCs w:val="32"/>
        </w:rPr>
        <w:t>），该项目批复预算141.824万元，均为财政资金。该项目实际支出资金为</w:t>
      </w:r>
      <w:r>
        <w:rPr>
          <w:rFonts w:ascii="仿宋_GB2312" w:hAnsi="宋体" w:eastAsia="仿宋_GB2312"/>
          <w:bCs/>
          <w:sz w:val="32"/>
          <w:szCs w:val="32"/>
        </w:rPr>
        <w:t>141.8121</w:t>
      </w:r>
      <w:r>
        <w:rPr>
          <w:rFonts w:hint="eastAsia" w:ascii="仿宋_GB2312" w:hAnsi="宋体" w:eastAsia="仿宋_GB2312"/>
          <w:bCs/>
          <w:sz w:val="32"/>
          <w:szCs w:val="32"/>
        </w:rPr>
        <w:t>万元。招标结余资金</w:t>
      </w:r>
      <w:r>
        <w:rPr>
          <w:rFonts w:ascii="仿宋_GB2312" w:hAnsi="宋体" w:eastAsia="仿宋_GB2312"/>
          <w:bCs/>
          <w:sz w:val="32"/>
          <w:szCs w:val="32"/>
        </w:rPr>
        <w:t>0.</w:t>
      </w:r>
      <w:r>
        <w:rPr>
          <w:rFonts w:hint="eastAsia" w:ascii="仿宋_GB2312" w:hAnsi="宋体" w:eastAsia="仿宋_GB2312"/>
          <w:bCs/>
          <w:sz w:val="32"/>
          <w:szCs w:val="32"/>
        </w:rPr>
        <w:t>0119万元，已交回市财政。</w:t>
      </w:r>
    </w:p>
    <w:p w14:paraId="608EFAC2">
      <w:pPr>
        <w:adjustRightInd w:val="0"/>
        <w:snapToGrid w:val="0"/>
        <w:spacing w:line="360" w:lineRule="auto"/>
        <w:ind w:firstLine="640" w:firstLineChars="200"/>
        <w:rPr>
          <w:rFonts w:ascii="仿宋_GB2312" w:hAnsi="宋体" w:eastAsia="仿宋_GB2312"/>
          <w:bCs/>
          <w:sz w:val="32"/>
          <w:szCs w:val="32"/>
        </w:rPr>
      </w:pPr>
      <w:r>
        <w:rPr>
          <w:rFonts w:hint="eastAsia" w:ascii="仿宋_GB2312" w:hAnsi="宋体" w:eastAsia="仿宋_GB2312"/>
          <w:bCs/>
          <w:sz w:val="32"/>
          <w:szCs w:val="32"/>
        </w:rPr>
        <w:t>（</w:t>
      </w:r>
      <w:r>
        <w:rPr>
          <w:rFonts w:ascii="仿宋_GB2312" w:hAnsi="宋体" w:eastAsia="仿宋_GB2312"/>
          <w:bCs/>
          <w:sz w:val="32"/>
          <w:szCs w:val="32"/>
        </w:rPr>
        <w:t>2</w:t>
      </w:r>
      <w:r>
        <w:rPr>
          <w:rFonts w:hint="eastAsia" w:ascii="仿宋_GB2312" w:hAnsi="宋体" w:eastAsia="仿宋_GB2312"/>
          <w:bCs/>
          <w:sz w:val="32"/>
          <w:szCs w:val="32"/>
        </w:rPr>
        <w:t>）资金使用情况</w:t>
      </w:r>
    </w:p>
    <w:p w14:paraId="0484230F">
      <w:pPr>
        <w:adjustRightInd w:val="0"/>
        <w:snapToGrid w:val="0"/>
        <w:spacing w:line="360" w:lineRule="auto"/>
        <w:ind w:firstLine="640" w:firstLineChars="200"/>
        <w:rPr>
          <w:rFonts w:ascii="仿宋_GB2312" w:hAnsi="仿宋_GB2312" w:eastAsia="仿宋_GB2312" w:cs="仿宋_GB2312"/>
          <w:b/>
          <w:bCs/>
          <w:kern w:val="0"/>
          <w:sz w:val="32"/>
          <w:szCs w:val="32"/>
        </w:rPr>
      </w:pPr>
      <w:r>
        <w:rPr>
          <w:rFonts w:hint="eastAsia" w:ascii="仿宋_GB2312" w:hAnsi="宋体" w:eastAsia="仿宋_GB2312"/>
          <w:bCs/>
          <w:sz w:val="32"/>
          <w:szCs w:val="32"/>
        </w:rPr>
        <w:t>截至2024年12月31日，该项目实际支出金额</w:t>
      </w:r>
      <w:r>
        <w:rPr>
          <w:rFonts w:ascii="仿宋_GB2312" w:hAnsi="宋体" w:eastAsia="仿宋_GB2312"/>
          <w:bCs/>
          <w:sz w:val="32"/>
          <w:szCs w:val="32"/>
        </w:rPr>
        <w:t>141.8121</w:t>
      </w:r>
      <w:r>
        <w:rPr>
          <w:rFonts w:hint="eastAsia" w:ascii="仿宋_GB2312" w:hAnsi="宋体" w:eastAsia="仿宋_GB2312"/>
          <w:bCs/>
          <w:sz w:val="32"/>
          <w:szCs w:val="32"/>
        </w:rPr>
        <w:t>万元，预算执行率</w:t>
      </w:r>
      <w:r>
        <w:rPr>
          <w:rFonts w:ascii="仿宋_GB2312" w:hAnsi="宋体" w:eastAsia="仿宋_GB2312"/>
          <w:bCs/>
          <w:sz w:val="32"/>
          <w:szCs w:val="32"/>
        </w:rPr>
        <w:t>99.</w:t>
      </w:r>
      <w:r>
        <w:rPr>
          <w:rFonts w:hint="eastAsia" w:ascii="仿宋_GB2312" w:hAnsi="宋体" w:eastAsia="仿宋_GB2312"/>
          <w:bCs/>
          <w:sz w:val="32"/>
          <w:szCs w:val="32"/>
        </w:rPr>
        <w:t>99</w:t>
      </w:r>
      <w:r>
        <w:rPr>
          <w:rFonts w:ascii="仿宋_GB2312" w:hAnsi="宋体" w:eastAsia="仿宋_GB2312"/>
          <w:bCs/>
          <w:sz w:val="32"/>
          <w:szCs w:val="32"/>
        </w:rPr>
        <w:t>%</w:t>
      </w:r>
      <w:r>
        <w:rPr>
          <w:rFonts w:hint="eastAsia" w:ascii="仿宋_GB2312" w:hAnsi="宋体" w:eastAsia="仿宋_GB2312"/>
          <w:bCs/>
          <w:sz w:val="32"/>
          <w:szCs w:val="32"/>
        </w:rPr>
        <w:t>。</w:t>
      </w:r>
      <w:bookmarkStart w:id="5" w:name="_Toc15722"/>
    </w:p>
    <w:p w14:paraId="70C776D4">
      <w:pPr>
        <w:adjustRightInd w:val="0"/>
        <w:snapToGrid w:val="0"/>
        <w:spacing w:before="156" w:beforeLines="50" w:line="360" w:lineRule="auto"/>
        <w:ind w:firstLine="643" w:firstLineChars="200"/>
        <w:outlineLvl w:val="1"/>
        <w:rPr>
          <w:rFonts w:ascii="仿宋_GB2312" w:hAnsi="仿宋_GB2312" w:eastAsia="仿宋_GB2312" w:cs="仿宋_GB2312"/>
          <w:b/>
          <w:bCs/>
          <w:kern w:val="0"/>
          <w:sz w:val="32"/>
          <w:szCs w:val="32"/>
        </w:rPr>
      </w:pPr>
      <w:r>
        <w:rPr>
          <w:rFonts w:hint="eastAsia" w:ascii="仿宋_GB2312" w:hAnsi="仿宋_GB2312" w:eastAsia="仿宋_GB2312" w:cs="仿宋_GB2312"/>
          <w:b/>
          <w:bCs/>
          <w:kern w:val="0"/>
          <w:sz w:val="32"/>
          <w:szCs w:val="32"/>
        </w:rPr>
        <w:t>（二）项目绩效目标</w:t>
      </w:r>
      <w:bookmarkEnd w:id="5"/>
    </w:p>
    <w:p w14:paraId="500850F5">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1.总体目标</w:t>
      </w:r>
    </w:p>
    <w:p w14:paraId="4ADA4AC9">
      <w:pPr>
        <w:adjustRightInd w:val="0"/>
        <w:snapToGrid w:val="0"/>
        <w:spacing w:line="360" w:lineRule="auto"/>
        <w:ind w:firstLine="640" w:firstLineChars="200"/>
        <w:rPr>
          <w:rFonts w:ascii="仿宋_GB2312" w:hAnsi="宋体" w:eastAsia="仿宋_GB2312"/>
          <w:bCs/>
          <w:sz w:val="32"/>
          <w:szCs w:val="32"/>
        </w:rPr>
      </w:pPr>
      <w:r>
        <w:rPr>
          <w:rFonts w:hint="eastAsia" w:ascii="仿宋_GB2312" w:hAnsi="宋体" w:eastAsia="仿宋_GB2312"/>
          <w:bCs/>
          <w:sz w:val="32"/>
          <w:szCs w:val="32"/>
        </w:rPr>
        <w:t>根据协会年度计划，开展第七届北京大学生魔术交流大会工作。北京大学生魔术交流大会是北京乃至华北地区唯一由专业协会举办的大型魔术交流活动。助力北京打造“大戏看北京”文化名牌，在青年群体培养魔术爱好者，推动魔术艺术发展。</w:t>
      </w:r>
    </w:p>
    <w:p w14:paraId="0DC004D3">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2.项目具体指标和指标值设定情况</w:t>
      </w:r>
    </w:p>
    <w:p w14:paraId="52637C99">
      <w:pPr>
        <w:adjustRightInd w:val="0"/>
        <w:snapToGrid w:val="0"/>
        <w:spacing w:line="360" w:lineRule="auto"/>
        <w:ind w:firstLine="640" w:firstLineChars="200"/>
        <w:rPr>
          <w:rFonts w:eastAsia="仿宋_GB2312"/>
          <w:bCs/>
          <w:sz w:val="32"/>
          <w:szCs w:val="32"/>
        </w:rPr>
      </w:pPr>
      <w:r>
        <w:rPr>
          <w:rFonts w:hint="eastAsia" w:eastAsia="仿宋_GB2312"/>
          <w:bCs/>
          <w:sz w:val="32"/>
          <w:szCs w:val="32"/>
        </w:rPr>
        <w:t>根据该项目实际情况，设定了项目绩效目标，并填报了绩效目标申报表。项目具体指标和指标值设定情况如下：</w:t>
      </w:r>
    </w:p>
    <w:p w14:paraId="1217485E">
      <w:pPr>
        <w:pStyle w:val="6"/>
        <w:jc w:val="center"/>
        <w:rPr>
          <w:rFonts w:ascii="黑体" w:hAnsi="黑体" w:eastAsia="黑体" w:cs="黑体"/>
          <w:bCs/>
          <w:sz w:val="28"/>
          <w:szCs w:val="28"/>
        </w:rPr>
      </w:pPr>
      <w:r>
        <w:rPr>
          <w:rFonts w:hint="eastAsia" w:ascii="黑体" w:hAnsi="黑体" w:eastAsia="黑体" w:cs="黑体"/>
          <w:bCs/>
          <w:sz w:val="28"/>
          <w:szCs w:val="28"/>
        </w:rPr>
        <w:t>表1：项目具体指标和指标值设定情况表</w:t>
      </w:r>
    </w:p>
    <w:tbl>
      <w:tblPr>
        <w:tblStyle w:val="11"/>
        <w:tblW w:w="0" w:type="auto"/>
        <w:tblInd w:w="0" w:type="dxa"/>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Layout w:type="autofit"/>
        <w:tblCellMar>
          <w:top w:w="0" w:type="dxa"/>
          <w:left w:w="108" w:type="dxa"/>
          <w:bottom w:w="0" w:type="dxa"/>
          <w:right w:w="108" w:type="dxa"/>
        </w:tblCellMar>
      </w:tblPr>
      <w:tblGrid>
        <w:gridCol w:w="1349"/>
        <w:gridCol w:w="1245"/>
        <w:gridCol w:w="4095"/>
        <w:gridCol w:w="1833"/>
      </w:tblGrid>
      <w:tr w14:paraId="005F0B85">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476" w:hRule="atLeast"/>
          <w:tblHeader/>
        </w:trPr>
        <w:tc>
          <w:tcPr>
            <w:tcW w:w="1353" w:type="dxa"/>
            <w:vAlign w:val="center"/>
          </w:tcPr>
          <w:p w14:paraId="2BB5424F">
            <w:pPr>
              <w:widowControl/>
              <w:jc w:val="center"/>
              <w:textAlignment w:val="center"/>
              <w:rPr>
                <w:rFonts w:ascii="仿宋_GB2312" w:hAnsi="宋体" w:eastAsia="仿宋_GB2312" w:cs="宋体"/>
                <w:b/>
                <w:bCs/>
                <w:kern w:val="0"/>
                <w:sz w:val="24"/>
                <w:lang w:bidi="ar"/>
              </w:rPr>
            </w:pPr>
            <w:r>
              <w:rPr>
                <w:rFonts w:hint="eastAsia" w:ascii="仿宋_GB2312" w:hAnsi="宋体" w:eastAsia="仿宋_GB2312" w:cs="宋体"/>
                <w:b/>
                <w:bCs/>
                <w:kern w:val="0"/>
                <w:sz w:val="24"/>
                <w:lang w:bidi="ar"/>
              </w:rPr>
              <w:t>一级指标</w:t>
            </w:r>
          </w:p>
        </w:tc>
        <w:tc>
          <w:tcPr>
            <w:tcW w:w="1249" w:type="dxa"/>
            <w:vAlign w:val="center"/>
          </w:tcPr>
          <w:p w14:paraId="3235AE5C">
            <w:pPr>
              <w:widowControl/>
              <w:jc w:val="center"/>
              <w:textAlignment w:val="center"/>
              <w:rPr>
                <w:rFonts w:ascii="仿宋_GB2312" w:hAnsi="宋体" w:eastAsia="仿宋_GB2312" w:cs="宋体"/>
                <w:b/>
                <w:bCs/>
                <w:kern w:val="0"/>
                <w:sz w:val="24"/>
                <w:lang w:bidi="ar"/>
              </w:rPr>
            </w:pPr>
            <w:r>
              <w:rPr>
                <w:rFonts w:hint="eastAsia" w:ascii="仿宋_GB2312" w:hAnsi="宋体" w:eastAsia="仿宋_GB2312" w:cs="宋体"/>
                <w:b/>
                <w:bCs/>
                <w:kern w:val="0"/>
                <w:sz w:val="24"/>
                <w:lang w:bidi="ar"/>
              </w:rPr>
              <w:t>二级指标</w:t>
            </w:r>
          </w:p>
        </w:tc>
        <w:tc>
          <w:tcPr>
            <w:tcW w:w="4110" w:type="dxa"/>
            <w:vAlign w:val="center"/>
          </w:tcPr>
          <w:p w14:paraId="78AF8541">
            <w:pPr>
              <w:widowControl/>
              <w:jc w:val="center"/>
              <w:textAlignment w:val="center"/>
              <w:rPr>
                <w:rFonts w:ascii="仿宋_GB2312" w:hAnsi="宋体" w:eastAsia="仿宋_GB2312" w:cs="宋体"/>
                <w:b/>
                <w:bCs/>
                <w:kern w:val="0"/>
                <w:sz w:val="24"/>
                <w:lang w:bidi="ar"/>
              </w:rPr>
            </w:pPr>
            <w:r>
              <w:rPr>
                <w:rFonts w:hint="eastAsia" w:ascii="仿宋_GB2312" w:hAnsi="宋体" w:eastAsia="仿宋_GB2312" w:cs="宋体"/>
                <w:b/>
                <w:bCs/>
                <w:kern w:val="0"/>
                <w:sz w:val="24"/>
                <w:lang w:bidi="ar"/>
              </w:rPr>
              <w:t>三级指标</w:t>
            </w:r>
          </w:p>
        </w:tc>
        <w:tc>
          <w:tcPr>
            <w:tcW w:w="0" w:type="auto"/>
            <w:vAlign w:val="center"/>
          </w:tcPr>
          <w:p w14:paraId="12F527A1">
            <w:pPr>
              <w:widowControl/>
              <w:jc w:val="center"/>
              <w:textAlignment w:val="center"/>
              <w:rPr>
                <w:rFonts w:ascii="仿宋_GB2312" w:hAnsi="宋体" w:eastAsia="仿宋_GB2312" w:cs="宋体"/>
                <w:b/>
                <w:bCs/>
                <w:kern w:val="0"/>
                <w:sz w:val="24"/>
                <w:lang w:bidi="ar"/>
              </w:rPr>
            </w:pPr>
            <w:r>
              <w:rPr>
                <w:rFonts w:hint="eastAsia" w:ascii="仿宋_GB2312" w:hAnsi="宋体" w:eastAsia="仿宋_GB2312" w:cs="宋体"/>
                <w:b/>
                <w:bCs/>
                <w:kern w:val="0"/>
                <w:sz w:val="24"/>
                <w:lang w:bidi="ar"/>
              </w:rPr>
              <w:t>年度指标值</w:t>
            </w:r>
          </w:p>
        </w:tc>
      </w:tr>
      <w:tr w14:paraId="0D558A78">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580" w:hRule="atLeast"/>
        </w:trPr>
        <w:tc>
          <w:tcPr>
            <w:tcW w:w="1353" w:type="dxa"/>
            <w:vMerge w:val="restart"/>
            <w:vAlign w:val="center"/>
          </w:tcPr>
          <w:p w14:paraId="5E55C9E2">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产出指标</w:t>
            </w:r>
          </w:p>
        </w:tc>
        <w:tc>
          <w:tcPr>
            <w:tcW w:w="1249" w:type="dxa"/>
            <w:vMerge w:val="restart"/>
            <w:vAlign w:val="center"/>
          </w:tcPr>
          <w:p w14:paraId="2EE0AF7B">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数量指标</w:t>
            </w:r>
          </w:p>
        </w:tc>
        <w:tc>
          <w:tcPr>
            <w:tcW w:w="4110" w:type="dxa"/>
            <w:vAlign w:val="center"/>
          </w:tcPr>
          <w:p w14:paraId="0C3E39B4">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演出场次</w:t>
            </w:r>
          </w:p>
        </w:tc>
        <w:tc>
          <w:tcPr>
            <w:tcW w:w="0" w:type="auto"/>
            <w:vAlign w:val="center"/>
          </w:tcPr>
          <w:p w14:paraId="77FA2D30">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2场</w:t>
            </w:r>
          </w:p>
        </w:tc>
      </w:tr>
      <w:tr w14:paraId="05653F1B">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599" w:hRule="atLeast"/>
        </w:trPr>
        <w:tc>
          <w:tcPr>
            <w:tcW w:w="1353" w:type="dxa"/>
            <w:vMerge w:val="continue"/>
            <w:vAlign w:val="center"/>
          </w:tcPr>
          <w:p w14:paraId="02B2FFDA">
            <w:pPr>
              <w:rPr>
                <w:rFonts w:ascii="仿宋_GB2312" w:hAnsi="宋体" w:eastAsia="仿宋_GB2312" w:cs="宋体"/>
                <w:kern w:val="0"/>
                <w:sz w:val="24"/>
                <w:lang w:bidi="ar"/>
              </w:rPr>
            </w:pPr>
          </w:p>
        </w:tc>
        <w:tc>
          <w:tcPr>
            <w:tcW w:w="1249" w:type="dxa"/>
            <w:vMerge w:val="continue"/>
            <w:vAlign w:val="center"/>
          </w:tcPr>
          <w:p w14:paraId="5516EEA1">
            <w:pPr>
              <w:rPr>
                <w:rFonts w:ascii="仿宋_GB2312" w:hAnsi="宋体" w:eastAsia="仿宋_GB2312" w:cs="宋体"/>
                <w:kern w:val="0"/>
                <w:sz w:val="24"/>
                <w:lang w:bidi="ar"/>
              </w:rPr>
            </w:pPr>
          </w:p>
        </w:tc>
        <w:tc>
          <w:tcPr>
            <w:tcW w:w="4110" w:type="dxa"/>
            <w:vAlign w:val="center"/>
          </w:tcPr>
          <w:p w14:paraId="4C2F50B5">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邀请节目</w:t>
            </w:r>
          </w:p>
        </w:tc>
        <w:tc>
          <w:tcPr>
            <w:tcW w:w="1810" w:type="dxa"/>
            <w:vAlign w:val="center"/>
          </w:tcPr>
          <w:p w14:paraId="436EAE4D">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6个</w:t>
            </w:r>
          </w:p>
        </w:tc>
      </w:tr>
      <w:tr w14:paraId="183A4630">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552" w:hRule="atLeast"/>
        </w:trPr>
        <w:tc>
          <w:tcPr>
            <w:tcW w:w="1353" w:type="dxa"/>
            <w:vMerge w:val="continue"/>
            <w:vAlign w:val="center"/>
          </w:tcPr>
          <w:p w14:paraId="4F6D2A38">
            <w:pPr>
              <w:rPr>
                <w:rFonts w:ascii="仿宋_GB2312" w:hAnsi="宋体" w:eastAsia="仿宋_GB2312" w:cs="宋体"/>
                <w:kern w:val="0"/>
                <w:sz w:val="24"/>
                <w:lang w:bidi="ar"/>
              </w:rPr>
            </w:pPr>
          </w:p>
        </w:tc>
        <w:tc>
          <w:tcPr>
            <w:tcW w:w="1249" w:type="dxa"/>
            <w:vAlign w:val="center"/>
          </w:tcPr>
          <w:p w14:paraId="29214267">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质量指标</w:t>
            </w:r>
          </w:p>
        </w:tc>
        <w:tc>
          <w:tcPr>
            <w:tcW w:w="4110" w:type="dxa"/>
            <w:vAlign w:val="center"/>
          </w:tcPr>
          <w:p w14:paraId="2BE039C6">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安全事故发生次数</w:t>
            </w:r>
          </w:p>
        </w:tc>
        <w:tc>
          <w:tcPr>
            <w:tcW w:w="0" w:type="auto"/>
            <w:vAlign w:val="center"/>
          </w:tcPr>
          <w:p w14:paraId="40A47F67">
            <w:pPr>
              <w:widowControl/>
              <w:textAlignment w:val="center"/>
              <w:rPr>
                <w:rFonts w:ascii="仿宋_GB2312" w:hAnsi="宋体" w:eastAsia="仿宋_GB2312" w:cs="宋体"/>
                <w:sz w:val="24"/>
              </w:rPr>
            </w:pPr>
            <w:r>
              <w:rPr>
                <w:rFonts w:hint="eastAsia" w:ascii="仿宋_GB2312" w:hAnsi="宋体" w:eastAsia="仿宋_GB2312" w:cs="宋体"/>
                <w:kern w:val="0"/>
                <w:sz w:val="24"/>
                <w:lang w:val="en-US" w:eastAsia="zh-CN" w:bidi="ar"/>
              </w:rPr>
              <w:t>＜</w:t>
            </w:r>
            <w:r>
              <w:rPr>
                <w:rFonts w:hint="eastAsia" w:ascii="仿宋_GB2312" w:hAnsi="宋体" w:eastAsia="仿宋_GB2312" w:cs="宋体"/>
                <w:kern w:val="0"/>
                <w:sz w:val="24"/>
                <w:lang w:bidi="ar"/>
              </w:rPr>
              <w:t>1次</w:t>
            </w:r>
          </w:p>
        </w:tc>
      </w:tr>
      <w:tr w14:paraId="0DC9EC64">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572" w:hRule="atLeast"/>
        </w:trPr>
        <w:tc>
          <w:tcPr>
            <w:tcW w:w="1353" w:type="dxa"/>
            <w:vMerge w:val="continue"/>
            <w:vAlign w:val="center"/>
          </w:tcPr>
          <w:p w14:paraId="23DE6050">
            <w:pPr>
              <w:rPr>
                <w:rFonts w:ascii="仿宋_GB2312" w:hAnsi="宋体" w:eastAsia="仿宋_GB2312" w:cs="宋体"/>
                <w:sz w:val="24"/>
              </w:rPr>
            </w:pPr>
          </w:p>
        </w:tc>
        <w:tc>
          <w:tcPr>
            <w:tcW w:w="1249" w:type="dxa"/>
            <w:vMerge w:val="restart"/>
            <w:vAlign w:val="center"/>
          </w:tcPr>
          <w:p w14:paraId="193F3521">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时效指标</w:t>
            </w:r>
          </w:p>
        </w:tc>
        <w:tc>
          <w:tcPr>
            <w:tcW w:w="4110" w:type="dxa"/>
            <w:vAlign w:val="center"/>
          </w:tcPr>
          <w:p w14:paraId="7E5497B8">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2024年6月前完成方案制定</w:t>
            </w:r>
          </w:p>
        </w:tc>
        <w:tc>
          <w:tcPr>
            <w:tcW w:w="1810" w:type="dxa"/>
            <w:vAlign w:val="center"/>
          </w:tcPr>
          <w:p w14:paraId="6BFA7E8F">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≤6月</w:t>
            </w:r>
          </w:p>
        </w:tc>
      </w:tr>
      <w:tr w14:paraId="44083371">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572" w:hRule="atLeast"/>
        </w:trPr>
        <w:tc>
          <w:tcPr>
            <w:tcW w:w="1353" w:type="dxa"/>
            <w:vMerge w:val="continue"/>
            <w:vAlign w:val="center"/>
          </w:tcPr>
          <w:p w14:paraId="4DEBA00B">
            <w:pPr>
              <w:rPr>
                <w:rFonts w:ascii="仿宋_GB2312" w:hAnsi="宋体" w:eastAsia="仿宋_GB2312" w:cs="宋体"/>
                <w:sz w:val="24"/>
              </w:rPr>
            </w:pPr>
          </w:p>
        </w:tc>
        <w:tc>
          <w:tcPr>
            <w:tcW w:w="1249" w:type="dxa"/>
            <w:vMerge w:val="continue"/>
            <w:vAlign w:val="center"/>
          </w:tcPr>
          <w:p w14:paraId="5A30227B">
            <w:pPr>
              <w:widowControl/>
              <w:textAlignment w:val="center"/>
              <w:rPr>
                <w:rFonts w:ascii="仿宋_GB2312" w:hAnsi="宋体" w:eastAsia="仿宋_GB2312" w:cs="宋体"/>
                <w:kern w:val="0"/>
                <w:sz w:val="24"/>
                <w:lang w:bidi="ar"/>
              </w:rPr>
            </w:pPr>
          </w:p>
        </w:tc>
        <w:tc>
          <w:tcPr>
            <w:tcW w:w="4110" w:type="dxa"/>
            <w:vAlign w:val="center"/>
          </w:tcPr>
          <w:p w14:paraId="2DE761DE">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2024年12月底前完成演出</w:t>
            </w:r>
          </w:p>
        </w:tc>
        <w:tc>
          <w:tcPr>
            <w:tcW w:w="1810" w:type="dxa"/>
            <w:vAlign w:val="center"/>
          </w:tcPr>
          <w:p w14:paraId="7E825BE8">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≤12月</w:t>
            </w:r>
          </w:p>
        </w:tc>
      </w:tr>
      <w:tr w14:paraId="7DEDE787">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608" w:hRule="atLeast"/>
        </w:trPr>
        <w:tc>
          <w:tcPr>
            <w:tcW w:w="1353" w:type="dxa"/>
            <w:vMerge w:val="continue"/>
            <w:vAlign w:val="center"/>
          </w:tcPr>
          <w:p w14:paraId="190205BB">
            <w:pPr>
              <w:widowControl/>
              <w:textAlignment w:val="center"/>
            </w:pPr>
          </w:p>
        </w:tc>
        <w:tc>
          <w:tcPr>
            <w:tcW w:w="1249" w:type="dxa"/>
            <w:vAlign w:val="center"/>
          </w:tcPr>
          <w:p w14:paraId="2AF903DB">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成本指标</w:t>
            </w:r>
          </w:p>
        </w:tc>
        <w:tc>
          <w:tcPr>
            <w:tcW w:w="4110" w:type="dxa"/>
            <w:vAlign w:val="center"/>
          </w:tcPr>
          <w:p w14:paraId="3CE69808">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项目总成本</w:t>
            </w:r>
          </w:p>
        </w:tc>
        <w:tc>
          <w:tcPr>
            <w:tcW w:w="0" w:type="auto"/>
            <w:vAlign w:val="center"/>
          </w:tcPr>
          <w:p w14:paraId="4A9FEB17">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≤141.824万元</w:t>
            </w:r>
          </w:p>
        </w:tc>
      </w:tr>
      <w:tr w14:paraId="6A7BA663">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997" w:hRule="atLeast"/>
        </w:trPr>
        <w:tc>
          <w:tcPr>
            <w:tcW w:w="1353" w:type="dxa"/>
            <w:vMerge w:val="restart"/>
            <w:vAlign w:val="center"/>
          </w:tcPr>
          <w:p w14:paraId="7D34E1E9">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效益指标</w:t>
            </w:r>
          </w:p>
          <w:p w14:paraId="2F7F04C4">
            <w:pPr>
              <w:rPr>
                <w:rFonts w:ascii="仿宋_GB2312" w:hAnsi="宋体" w:eastAsia="仿宋_GB2312" w:cs="宋体"/>
                <w:sz w:val="24"/>
              </w:rPr>
            </w:pPr>
          </w:p>
        </w:tc>
        <w:tc>
          <w:tcPr>
            <w:tcW w:w="1249" w:type="dxa"/>
            <w:vMerge w:val="restart"/>
            <w:vAlign w:val="center"/>
          </w:tcPr>
          <w:p w14:paraId="73F305BA">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社会效益指标</w:t>
            </w:r>
          </w:p>
        </w:tc>
        <w:tc>
          <w:tcPr>
            <w:tcW w:w="4110" w:type="dxa"/>
            <w:vAlign w:val="center"/>
          </w:tcPr>
          <w:p w14:paraId="4919787A">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受众人次</w:t>
            </w:r>
          </w:p>
        </w:tc>
        <w:tc>
          <w:tcPr>
            <w:tcW w:w="0" w:type="auto"/>
            <w:vAlign w:val="center"/>
          </w:tcPr>
          <w:p w14:paraId="2EC4C3FF">
            <w:pPr>
              <w:widowControl/>
              <w:textAlignment w:val="center"/>
              <w:rPr>
                <w:rFonts w:ascii="仿宋_GB2312" w:hAnsi="宋体" w:eastAsia="仿宋_GB2312" w:cs="宋体"/>
                <w:sz w:val="24"/>
              </w:rPr>
            </w:pPr>
            <w:r>
              <w:rPr>
                <w:rFonts w:hint="eastAsia" w:ascii="仿宋_GB2312" w:hAnsi="宋体" w:eastAsia="仿宋_GB2312" w:cs="宋体"/>
                <w:kern w:val="0"/>
                <w:sz w:val="24"/>
                <w:lang w:bidi="ar"/>
              </w:rPr>
              <w:t>≥500人次</w:t>
            </w:r>
          </w:p>
        </w:tc>
      </w:tr>
      <w:tr w14:paraId="006C871D">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997" w:hRule="atLeast"/>
        </w:trPr>
        <w:tc>
          <w:tcPr>
            <w:tcW w:w="1353" w:type="dxa"/>
            <w:vMerge w:val="continue"/>
            <w:vAlign w:val="center"/>
          </w:tcPr>
          <w:p w14:paraId="36484CFD">
            <w:pPr>
              <w:widowControl/>
              <w:textAlignment w:val="center"/>
              <w:rPr>
                <w:rFonts w:ascii="仿宋_GB2312" w:hAnsi="宋体" w:eastAsia="仿宋_GB2312" w:cs="宋体"/>
                <w:kern w:val="0"/>
                <w:sz w:val="24"/>
                <w:lang w:bidi="ar"/>
              </w:rPr>
            </w:pPr>
          </w:p>
        </w:tc>
        <w:tc>
          <w:tcPr>
            <w:tcW w:w="1249" w:type="dxa"/>
            <w:vMerge w:val="continue"/>
            <w:vAlign w:val="center"/>
          </w:tcPr>
          <w:p w14:paraId="4B850192">
            <w:pPr>
              <w:widowControl/>
              <w:textAlignment w:val="center"/>
              <w:rPr>
                <w:rFonts w:ascii="仿宋_GB2312" w:hAnsi="宋体" w:eastAsia="仿宋_GB2312" w:cs="宋体"/>
                <w:kern w:val="0"/>
                <w:sz w:val="24"/>
                <w:lang w:bidi="ar"/>
              </w:rPr>
            </w:pPr>
          </w:p>
        </w:tc>
        <w:tc>
          <w:tcPr>
            <w:tcW w:w="4110" w:type="dxa"/>
            <w:vAlign w:val="center"/>
          </w:tcPr>
          <w:p w14:paraId="296FD20E">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媒体报道</w:t>
            </w:r>
          </w:p>
        </w:tc>
        <w:tc>
          <w:tcPr>
            <w:tcW w:w="0" w:type="auto"/>
            <w:vAlign w:val="center"/>
          </w:tcPr>
          <w:p w14:paraId="516477DA">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≥4家</w:t>
            </w:r>
          </w:p>
        </w:tc>
      </w:tr>
      <w:tr w14:paraId="74630272">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1085" w:hRule="atLeast"/>
        </w:trPr>
        <w:tc>
          <w:tcPr>
            <w:tcW w:w="1353" w:type="dxa"/>
            <w:vMerge w:val="continue"/>
            <w:vAlign w:val="center"/>
          </w:tcPr>
          <w:p w14:paraId="1AF8BA7A">
            <w:pPr>
              <w:rPr>
                <w:rFonts w:ascii="仿宋_GB2312" w:hAnsi="宋体" w:eastAsia="仿宋_GB2312" w:cs="宋体"/>
                <w:sz w:val="24"/>
              </w:rPr>
            </w:pPr>
          </w:p>
        </w:tc>
        <w:tc>
          <w:tcPr>
            <w:tcW w:w="1249" w:type="dxa"/>
            <w:vAlign w:val="center"/>
          </w:tcPr>
          <w:p w14:paraId="59BFFD01">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可持续影响指标</w:t>
            </w:r>
          </w:p>
        </w:tc>
        <w:tc>
          <w:tcPr>
            <w:tcW w:w="4110" w:type="dxa"/>
            <w:vAlign w:val="center"/>
          </w:tcPr>
          <w:p w14:paraId="74BE7E42">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推动魔术艺术发展</w:t>
            </w:r>
          </w:p>
        </w:tc>
        <w:tc>
          <w:tcPr>
            <w:tcW w:w="0" w:type="auto"/>
            <w:vAlign w:val="center"/>
          </w:tcPr>
          <w:p w14:paraId="0EC5EF9F">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得到推动</w:t>
            </w:r>
          </w:p>
        </w:tc>
      </w:tr>
      <w:tr w14:paraId="51EA1B90">
        <w:tblPrEx>
          <w:tblBorders>
            <w:top w:val="single" w:color="000000" w:sz="4" w:space="0"/>
            <w:left w:val="single" w:color="000000" w:sz="4" w:space="0"/>
            <w:bottom w:val="single" w:color="000000" w:sz="4" w:space="0"/>
            <w:right w:val="single" w:color="000000" w:sz="4" w:space="0"/>
            <w:insideH w:val="dotted" w:color="000000" w:sz="4" w:space="0"/>
            <w:insideV w:val="dotted" w:color="000000" w:sz="4" w:space="0"/>
          </w:tblBorders>
          <w:tblCellMar>
            <w:top w:w="0" w:type="dxa"/>
            <w:left w:w="108" w:type="dxa"/>
            <w:bottom w:w="0" w:type="dxa"/>
            <w:right w:w="108" w:type="dxa"/>
          </w:tblCellMar>
        </w:tblPrEx>
        <w:trPr>
          <w:trHeight w:val="1085" w:hRule="atLeast"/>
        </w:trPr>
        <w:tc>
          <w:tcPr>
            <w:tcW w:w="1353" w:type="dxa"/>
            <w:vAlign w:val="center"/>
          </w:tcPr>
          <w:p w14:paraId="75EF3602">
            <w:pPr>
              <w:rPr>
                <w:rFonts w:ascii="仿宋_GB2312" w:hAnsi="宋体" w:eastAsia="仿宋_GB2312" w:cs="宋体"/>
                <w:sz w:val="24"/>
              </w:rPr>
            </w:pPr>
            <w:r>
              <w:rPr>
                <w:rFonts w:hint="eastAsia" w:ascii="仿宋_GB2312" w:hAnsi="宋体" w:eastAsia="仿宋_GB2312" w:cs="宋体"/>
                <w:sz w:val="24"/>
              </w:rPr>
              <w:t>满意度指标</w:t>
            </w:r>
          </w:p>
        </w:tc>
        <w:tc>
          <w:tcPr>
            <w:tcW w:w="1249" w:type="dxa"/>
            <w:vAlign w:val="center"/>
          </w:tcPr>
          <w:p w14:paraId="296E8CC2">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服务对象满意度指标</w:t>
            </w:r>
          </w:p>
        </w:tc>
        <w:tc>
          <w:tcPr>
            <w:tcW w:w="4110" w:type="dxa"/>
            <w:vAlign w:val="center"/>
          </w:tcPr>
          <w:p w14:paraId="3658D7D3">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受众满意度</w:t>
            </w:r>
          </w:p>
        </w:tc>
        <w:tc>
          <w:tcPr>
            <w:tcW w:w="0" w:type="auto"/>
            <w:vAlign w:val="center"/>
          </w:tcPr>
          <w:p w14:paraId="6CB988EA">
            <w:pPr>
              <w:widowControl/>
              <w:textAlignment w:val="center"/>
              <w:rPr>
                <w:rFonts w:ascii="仿宋_GB2312" w:hAnsi="宋体" w:eastAsia="仿宋_GB2312" w:cs="宋体"/>
                <w:kern w:val="0"/>
                <w:sz w:val="24"/>
                <w:lang w:bidi="ar"/>
              </w:rPr>
            </w:pPr>
            <w:r>
              <w:rPr>
                <w:rFonts w:hint="eastAsia" w:ascii="仿宋_GB2312" w:hAnsi="宋体" w:eastAsia="仿宋_GB2312" w:cs="宋体"/>
                <w:kern w:val="0"/>
                <w:sz w:val="24"/>
                <w:lang w:bidi="ar"/>
              </w:rPr>
              <w:t>≥90%</w:t>
            </w:r>
          </w:p>
        </w:tc>
      </w:tr>
    </w:tbl>
    <w:p w14:paraId="0AC025A0">
      <w:pPr>
        <w:pStyle w:val="6"/>
      </w:pPr>
    </w:p>
    <w:p w14:paraId="4FFA7549">
      <w:pPr>
        <w:adjustRightInd w:val="0"/>
        <w:snapToGrid w:val="0"/>
        <w:spacing w:line="360" w:lineRule="auto"/>
        <w:ind w:firstLine="640" w:firstLineChars="200"/>
        <w:outlineLvl w:val="0"/>
        <w:rPr>
          <w:rFonts w:ascii="黑体" w:hAnsi="黑体" w:eastAsia="黑体" w:cs="黑体"/>
          <w:bCs/>
          <w:kern w:val="0"/>
          <w:sz w:val="32"/>
          <w:szCs w:val="32"/>
        </w:rPr>
      </w:pPr>
      <w:bookmarkStart w:id="6" w:name="_Toc5818"/>
      <w:r>
        <w:rPr>
          <w:rFonts w:hint="eastAsia" w:ascii="黑体" w:hAnsi="黑体" w:eastAsia="黑体" w:cs="黑体"/>
          <w:bCs/>
          <w:kern w:val="0"/>
          <w:sz w:val="32"/>
          <w:szCs w:val="32"/>
        </w:rPr>
        <w:t>二、绩效评价工作开展情况</w:t>
      </w:r>
      <w:bookmarkEnd w:id="6"/>
    </w:p>
    <w:p w14:paraId="209AE6B7">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7" w:name="_Toc479"/>
      <w:r>
        <w:rPr>
          <w:rFonts w:hint="eastAsia" w:ascii="仿宋_GB2312" w:hAnsi="仿宋_GB2312" w:eastAsia="仿宋_GB2312" w:cs="仿宋_GB2312"/>
          <w:b/>
          <w:bCs/>
          <w:kern w:val="0"/>
          <w:sz w:val="32"/>
          <w:szCs w:val="32"/>
        </w:rPr>
        <w:t>（一）绩效评价目的、对象和范围</w:t>
      </w:r>
      <w:bookmarkEnd w:id="7"/>
    </w:p>
    <w:p w14:paraId="05C9AF63">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1.绩效评价目的</w:t>
      </w:r>
    </w:p>
    <w:p w14:paraId="12CCBA34">
      <w:pPr>
        <w:pStyle w:val="7"/>
        <w:adjustRightInd w:val="0"/>
        <w:snapToGrid w:val="0"/>
        <w:spacing w:after="0" w:line="360" w:lineRule="auto"/>
        <w:ind w:left="0" w:leftChars="0"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开展绩效评价工作，衡量和考核该项目在申报、执行、管理和绩效等方面的整体情况并对该项目实施的全过程进行绩效分析。包括对项目决策过程的合理性、管理体系的规范性、绩效目标实现程度进行综合评价，梳理项目决策、管理过程中存在的问题，加强项目预算绩效管理，提高财政资金使用效益。</w:t>
      </w:r>
    </w:p>
    <w:p w14:paraId="29EE33C6">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2.绩效评价对象和范围</w:t>
      </w:r>
    </w:p>
    <w:p w14:paraId="2B7DFCEF">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eastAsia="zh-Hans"/>
        </w:rPr>
        <w:t>本次评价对象为“</w:t>
      </w:r>
      <w:r>
        <w:rPr>
          <w:rFonts w:hint="eastAsia" w:ascii="仿宋_GB2312" w:hAnsi="仿宋_GB2312" w:eastAsia="仿宋_GB2312" w:cs="仿宋_GB2312"/>
          <w:sz w:val="32"/>
          <w:szCs w:val="32"/>
        </w:rPr>
        <w:t>第七届北京大学生魔术交流大会</w:t>
      </w:r>
      <w:r>
        <w:rPr>
          <w:rFonts w:hint="eastAsia" w:ascii="仿宋_GB2312" w:hAnsi="仿宋_GB2312" w:eastAsia="仿宋_GB2312" w:cs="仿宋_GB2312"/>
          <w:sz w:val="32"/>
          <w:szCs w:val="32"/>
          <w:lang w:eastAsia="zh-Hans"/>
        </w:rPr>
        <w:t>”项目</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Hans"/>
        </w:rPr>
        <w:t>评价范围为202</w:t>
      </w:r>
      <w:r>
        <w:rPr>
          <w:rFonts w:hint="eastAsia" w:ascii="仿宋_GB2312" w:hAnsi="仿宋_GB2312" w:eastAsia="仿宋_GB2312" w:cs="仿宋_GB2312"/>
          <w:sz w:val="32"/>
          <w:szCs w:val="32"/>
        </w:rPr>
        <w:t>4</w:t>
      </w:r>
      <w:r>
        <w:rPr>
          <w:rFonts w:hint="eastAsia" w:ascii="仿宋_GB2312" w:hAnsi="仿宋_GB2312" w:eastAsia="仿宋_GB2312" w:cs="仿宋_GB2312"/>
          <w:sz w:val="32"/>
          <w:szCs w:val="32"/>
          <w:lang w:eastAsia="zh-Hans"/>
        </w:rPr>
        <w:t>年度项目资金</w:t>
      </w:r>
      <w:r>
        <w:rPr>
          <w:rFonts w:ascii="仿宋_GB2312" w:hAnsi="仿宋_GB2312" w:eastAsia="仿宋_GB2312" w:cs="仿宋_GB2312"/>
          <w:sz w:val="32"/>
          <w:szCs w:val="32"/>
        </w:rPr>
        <w:t>141.8121</w:t>
      </w:r>
      <w:r>
        <w:rPr>
          <w:rFonts w:hint="eastAsia" w:ascii="仿宋_GB2312" w:hAnsi="仿宋_GB2312" w:eastAsia="仿宋_GB2312" w:cs="仿宋_GB2312"/>
          <w:sz w:val="32"/>
          <w:szCs w:val="32"/>
          <w:lang w:eastAsia="zh-Hans"/>
        </w:rPr>
        <w:t>万元的申报及使用情况，包括项目决策、项目过程、项目产出、项目效益等</w:t>
      </w:r>
      <w:r>
        <w:rPr>
          <w:rFonts w:hint="eastAsia" w:ascii="仿宋_GB2312" w:hAnsi="仿宋_GB2312" w:eastAsia="仿宋_GB2312" w:cs="仿宋_GB2312"/>
          <w:sz w:val="32"/>
          <w:szCs w:val="32"/>
        </w:rPr>
        <w:t>。</w:t>
      </w:r>
    </w:p>
    <w:p w14:paraId="583B6AC6">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8" w:name="_Toc13732"/>
      <w:r>
        <w:rPr>
          <w:rFonts w:hint="eastAsia" w:ascii="仿宋_GB2312" w:hAnsi="仿宋_GB2312" w:eastAsia="仿宋_GB2312" w:cs="仿宋_GB2312"/>
          <w:b/>
          <w:bCs/>
          <w:kern w:val="0"/>
          <w:sz w:val="32"/>
          <w:szCs w:val="32"/>
        </w:rPr>
        <w:t>（二）绩效评价原则、评价方法及评价标准</w:t>
      </w:r>
      <w:bookmarkEnd w:id="8"/>
    </w:p>
    <w:p w14:paraId="600BFD7D">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1.评价原则</w:t>
      </w:r>
    </w:p>
    <w:p w14:paraId="59D02787">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本次绩效评价遵循“科学公正、统筹兼顾、激励约束、公开透明”的原则。</w:t>
      </w:r>
    </w:p>
    <w:p w14:paraId="4050ED24">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2.评价方法</w:t>
      </w:r>
    </w:p>
    <w:p w14:paraId="5F6C742A">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本次绩效评价方法采用比较法、专家评价等方法开展评价工作。工作组通过资料审核、电话沟通的方式，了解该项目资金的决策、使用和取得的效益情况，收集并整理项目资料，组织</w:t>
      </w:r>
      <w:r>
        <w:rPr>
          <w:rFonts w:hint="eastAsia" w:ascii="仿宋_GB2312" w:hAnsi="仿宋_GB2312" w:eastAsia="仿宋_GB2312" w:cs="仿宋_GB2312"/>
          <w:kern w:val="0"/>
          <w:sz w:val="32"/>
          <w:szCs w:val="32"/>
          <w:lang w:eastAsia="zh-CN"/>
        </w:rPr>
        <w:t>召开</w:t>
      </w:r>
      <w:r>
        <w:rPr>
          <w:rFonts w:hint="eastAsia" w:ascii="仿宋_GB2312" w:hAnsi="仿宋_GB2312" w:eastAsia="仿宋_GB2312" w:cs="仿宋_GB2312"/>
          <w:kern w:val="0"/>
          <w:sz w:val="32"/>
          <w:szCs w:val="32"/>
        </w:rPr>
        <w:t>绩效评价会议，由各专家对项目进行评价。</w:t>
      </w:r>
    </w:p>
    <w:p w14:paraId="35A7852E">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3.评价标准</w:t>
      </w:r>
    </w:p>
    <w:p w14:paraId="76720588">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t>本次绩效评价标准包括计划标准、行业标准、历史标准等，用于对绩效指标完成情况进行比较</w:t>
      </w:r>
      <w:r>
        <w:rPr>
          <w:rFonts w:hint="eastAsia" w:ascii="仿宋_GB2312" w:hAnsi="仿宋_GB2312" w:eastAsia="仿宋_GB2312" w:cs="仿宋_GB2312"/>
          <w:sz w:val="32"/>
          <w:szCs w:val="32"/>
        </w:rPr>
        <w:t>。</w:t>
      </w:r>
    </w:p>
    <w:p w14:paraId="1AF80780">
      <w:pPr>
        <w:adjustRightInd w:val="0"/>
        <w:snapToGrid w:val="0"/>
        <w:spacing w:line="360" w:lineRule="auto"/>
        <w:ind w:firstLine="643" w:firstLineChars="200"/>
        <w:outlineLvl w:val="2"/>
        <w:rPr>
          <w:rFonts w:ascii="仿宋_GB2312" w:hAnsi="仿宋_GB2312" w:eastAsia="仿宋_GB2312" w:cs="仿宋_GB2312"/>
          <w:b/>
          <w:bCs/>
          <w:kern w:val="0"/>
          <w:sz w:val="32"/>
          <w:szCs w:val="32"/>
        </w:rPr>
      </w:pPr>
      <w:r>
        <w:rPr>
          <w:rFonts w:hint="eastAsia" w:ascii="仿宋_GB2312" w:hAnsi="仿宋_GB2312" w:eastAsia="仿宋_GB2312" w:cs="仿宋_GB2312"/>
          <w:b/>
          <w:bCs/>
          <w:kern w:val="0"/>
          <w:sz w:val="32"/>
          <w:szCs w:val="32"/>
        </w:rPr>
        <w:t>（三）评价指标体系</w:t>
      </w:r>
    </w:p>
    <w:p w14:paraId="37EE5190">
      <w:pPr>
        <w:pStyle w:val="6"/>
        <w:keepNext w:val="0"/>
        <w:keepLines w:val="0"/>
        <w:pageBreakBefore w:val="0"/>
        <w:widowControl w:val="0"/>
        <w:kinsoku/>
        <w:wordWrap/>
        <w:overflowPunct/>
        <w:topLinePunct w:val="0"/>
        <w:autoSpaceDE/>
        <w:autoSpaceDN/>
        <w:bidi w:val="0"/>
        <w:adjustRightInd/>
        <w:snapToGrid/>
        <w:ind w:firstLine="0" w:firstLineChars="0"/>
        <w:jc w:val="left"/>
        <w:textAlignment w:val="auto"/>
        <w:rPr>
          <w:rFonts w:ascii="黑体" w:hAnsi="黑体" w:eastAsia="黑体" w:cs="黑体"/>
          <w:bCs/>
          <w:sz w:val="28"/>
          <w:szCs w:val="28"/>
          <w:lang w:eastAsia="zh-Hans"/>
        </w:rPr>
      </w:pPr>
      <w:r>
        <w:rPr>
          <w:rFonts w:hint="eastAsia" w:ascii="仿宋_GB2312" w:hAnsi="仿宋_GB2312" w:eastAsia="仿宋_GB2312" w:cs="仿宋_GB2312"/>
          <w:sz w:val="32"/>
          <w:szCs w:val="32"/>
        </w:rPr>
        <w:t>评价工作组根据《北京市项目支出绩效评价管理办法》中的绩效评价体系框架，围绕项目决策、过程、产出和效益四个维度，</w:t>
      </w:r>
      <w:r>
        <w:rPr>
          <w:rFonts w:hint="eastAsia" w:ascii="仿宋_GB2312" w:hAnsi="仿宋_GB2312" w:eastAsia="仿宋_GB2312" w:cs="仿宋_GB2312"/>
          <w:sz w:val="32"/>
          <w:szCs w:val="32"/>
          <w:lang w:eastAsia="zh-Hans"/>
        </w:rPr>
        <w:t>结合项目实际情况</w:t>
      </w:r>
      <w:r>
        <w:rPr>
          <w:rFonts w:hint="eastAsia" w:ascii="仿宋_GB2312" w:hAnsi="仿宋_GB2312" w:eastAsia="仿宋_GB2312" w:cs="仿宋_GB2312"/>
          <w:sz w:val="32"/>
          <w:szCs w:val="32"/>
        </w:rPr>
        <w:t>进一步细化并制定了《第七届北京大学生魔术交流大会</w:t>
      </w:r>
      <w:r>
        <w:rPr>
          <w:rFonts w:hint="eastAsia" w:ascii="仿宋_GB2312" w:hAnsi="仿宋_GB2312" w:eastAsia="仿宋_GB2312" w:cs="仿宋_GB2312"/>
          <w:sz w:val="32"/>
          <w:szCs w:val="32"/>
          <w:lang w:eastAsia="zh-Hans"/>
        </w:rPr>
        <w:t>项目</w:t>
      </w:r>
      <w:r>
        <w:rPr>
          <w:rFonts w:hint="eastAsia" w:ascii="仿宋_GB2312" w:hAnsi="仿宋_GB2312" w:eastAsia="仿宋_GB2312" w:cs="仿宋_GB2312"/>
          <w:sz w:val="32"/>
          <w:szCs w:val="32"/>
        </w:rPr>
        <w:t>绩效评价指标体系》，并</w:t>
      </w:r>
      <w:r>
        <w:rPr>
          <w:rFonts w:hint="eastAsia" w:ascii="仿宋_GB2312" w:hAnsi="仿宋_GB2312" w:eastAsia="仿宋_GB2312" w:cs="仿宋_GB2312"/>
          <w:sz w:val="32"/>
          <w:szCs w:val="32"/>
          <w:lang w:val="en-US" w:eastAsia="zh-CN"/>
        </w:rPr>
        <w:t>根据</w:t>
      </w:r>
      <w:r>
        <w:rPr>
          <w:rFonts w:hint="eastAsia" w:ascii="仿宋_GB2312" w:hAnsi="仿宋_GB2312" w:eastAsia="仿宋_GB2312" w:cs="仿宋_GB2312"/>
          <w:sz w:val="32"/>
          <w:szCs w:val="32"/>
        </w:rPr>
        <w:t>各项</w:t>
      </w:r>
      <w:r>
        <w:rPr>
          <w:rFonts w:hint="eastAsia" w:ascii="仿宋_GB2312" w:hAnsi="仿宋_GB2312" w:eastAsia="仿宋_GB2312" w:cs="仿宋_GB2312"/>
          <w:sz w:val="32"/>
          <w:szCs w:val="32"/>
          <w:lang w:val="en-US" w:eastAsia="zh-CN"/>
        </w:rPr>
        <w:t>指</w:t>
      </w:r>
      <w:r>
        <w:rPr>
          <w:rFonts w:hint="eastAsia" w:ascii="仿宋_GB2312" w:hAnsi="仿宋_GB2312" w:eastAsia="仿宋_GB2312" w:cs="仿宋_GB2312"/>
          <w:sz w:val="32"/>
          <w:szCs w:val="32"/>
        </w:rPr>
        <w:t>标的重要性程度确定所占权重及评分标准。</w:t>
      </w:r>
    </w:p>
    <w:p w14:paraId="4885F71E">
      <w:pPr>
        <w:pStyle w:val="6"/>
      </w:pPr>
    </w:p>
    <w:p w14:paraId="10E17A33">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9" w:name="_Toc27495"/>
      <w:r>
        <w:rPr>
          <w:rFonts w:hint="eastAsia" w:ascii="仿宋_GB2312" w:hAnsi="仿宋_GB2312" w:eastAsia="仿宋_GB2312" w:cs="仿宋_GB2312"/>
          <w:b/>
          <w:bCs/>
          <w:kern w:val="0"/>
          <w:sz w:val="32"/>
          <w:szCs w:val="32"/>
        </w:rPr>
        <w:t>（三）绩效评价工作过程</w:t>
      </w:r>
      <w:bookmarkEnd w:id="9"/>
    </w:p>
    <w:p w14:paraId="77B578B8">
      <w:pPr>
        <w:adjustRightInd w:val="0"/>
        <w:snapToGrid w:val="0"/>
        <w:spacing w:line="360" w:lineRule="auto"/>
        <w:ind w:firstLine="640" w:firstLineChars="200"/>
        <w:outlineLvl w:val="2"/>
        <w:rPr>
          <w:rFonts w:ascii="仿宋_GB2312" w:hAnsi="仿宋_GB2312" w:eastAsia="仿宋_GB2312" w:cs="仿宋_GB2312"/>
          <w:kern w:val="0"/>
          <w:sz w:val="32"/>
          <w:szCs w:val="32"/>
        </w:rPr>
      </w:pPr>
      <w:bookmarkStart w:id="10" w:name="_Toc28402"/>
      <w:r>
        <w:rPr>
          <w:rFonts w:hint="eastAsia" w:ascii="仿宋_GB2312" w:hAnsi="仿宋_GB2312" w:eastAsia="仿宋_GB2312" w:cs="仿宋_GB2312"/>
          <w:kern w:val="0"/>
          <w:sz w:val="32"/>
          <w:szCs w:val="32"/>
        </w:rPr>
        <w:t>1.前期准备</w:t>
      </w:r>
      <w:r>
        <w:rPr>
          <w:rFonts w:hint="eastAsia" w:ascii="仿宋_GB2312" w:hAnsi="仿宋_GB2312" w:eastAsia="仿宋_GB2312" w:cs="仿宋_GB2312"/>
          <w:kern w:val="0"/>
          <w:sz w:val="32"/>
          <w:szCs w:val="32"/>
          <w:lang w:eastAsia="zh-Hans"/>
        </w:rPr>
        <w:t>阶段</w:t>
      </w:r>
    </w:p>
    <w:p w14:paraId="202B3DB2">
      <w:pPr>
        <w:pStyle w:val="7"/>
        <w:adjustRightInd w:val="0"/>
        <w:snapToGrid w:val="0"/>
        <w:spacing w:after="0" w:line="360" w:lineRule="auto"/>
        <w:ind w:left="0" w:leftChars="0"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（1）组建评价工作组</w:t>
      </w:r>
    </w:p>
    <w:p w14:paraId="05F0E4D6">
      <w:pPr>
        <w:pStyle w:val="7"/>
        <w:adjustRightInd w:val="0"/>
        <w:snapToGrid w:val="0"/>
        <w:spacing w:after="0" w:line="360" w:lineRule="auto"/>
        <w:ind w:left="0" w:leftChars="0"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eastAsia="zh-Hans"/>
        </w:rPr>
        <w:t>结</w:t>
      </w:r>
      <w:r>
        <w:rPr>
          <w:rFonts w:hint="eastAsia" w:ascii="仿宋_GB2312" w:hAnsi="仿宋_GB2312" w:eastAsia="仿宋_GB2312" w:cs="仿宋_GB2312"/>
          <w:sz w:val="32"/>
          <w:szCs w:val="32"/>
        </w:rPr>
        <w:t>合绩效评价工作的实际需要，成立绩效评价工作组，根据任务分工，全程负责组织、实施绩效评价工作。</w:t>
      </w:r>
    </w:p>
    <w:p w14:paraId="231B8281">
      <w:pPr>
        <w:numPr>
          <w:ilvl w:val="0"/>
          <w:numId w:val="1"/>
        </w:num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准备项目评价资料清单</w:t>
      </w:r>
    </w:p>
    <w:p w14:paraId="263D980D">
      <w:pPr>
        <w:numPr>
          <w:ilvl w:val="255"/>
          <w:numId w:val="0"/>
        </w:num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评价工作组通过深入了解项目的组织实施、监控管理和完成情况；根据掌握的该项目基本情况，形成资料清单，请市文联收集并提供资料。</w:t>
      </w:r>
    </w:p>
    <w:p w14:paraId="14797357">
      <w:pPr>
        <w:numPr>
          <w:ilvl w:val="0"/>
          <w:numId w:val="1"/>
        </w:num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指导市文联开展自评</w:t>
      </w:r>
    </w:p>
    <w:p w14:paraId="45929BC8">
      <w:pPr>
        <w:numPr>
          <w:ilvl w:val="255"/>
          <w:numId w:val="0"/>
        </w:num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指导市文联根据绩效评价相关管理办法，开展自评工作，收集、整理绩效材料，撰写财政支出项目绩效报告。</w:t>
      </w:r>
    </w:p>
    <w:p w14:paraId="3D3B4C1B">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2.现场收集资料</w:t>
      </w:r>
    </w:p>
    <w:p w14:paraId="3411A765">
      <w:pPr>
        <w:pStyle w:val="7"/>
        <w:adjustRightInd w:val="0"/>
        <w:snapToGrid w:val="0"/>
        <w:spacing w:after="0" w:line="360" w:lineRule="auto"/>
        <w:ind w:left="0" w:leftChars="0"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绩效评价工作组与项目负责人共同汇总整理项目资料。评价工作组按照指标体系内容和评价重点，对项目资料进行分类整理，分为项目决策资料、项目管理资料和项目绩效资料三大类。整理成专家资料手册，供专家审阅。</w:t>
      </w:r>
    </w:p>
    <w:p w14:paraId="19A1F8D8">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w:t>
      </w:r>
      <w:r>
        <w:rPr>
          <w:rFonts w:ascii="仿宋_GB2312" w:hAnsi="仿宋_GB2312" w:eastAsia="仿宋_GB2312" w:cs="仿宋_GB2312"/>
          <w:kern w:val="0"/>
          <w:sz w:val="32"/>
          <w:szCs w:val="32"/>
        </w:rPr>
        <w:t>.</w:t>
      </w:r>
      <w:r>
        <w:rPr>
          <w:rFonts w:hint="eastAsia" w:ascii="仿宋_GB2312" w:hAnsi="仿宋_GB2312" w:eastAsia="仿宋_GB2312" w:cs="仿宋_GB2312"/>
          <w:kern w:val="0"/>
          <w:sz w:val="32"/>
          <w:szCs w:val="32"/>
        </w:rPr>
        <w:t>专家评价</w:t>
      </w:r>
    </w:p>
    <w:p w14:paraId="4AB17B5C">
      <w:pPr>
        <w:pStyle w:val="7"/>
        <w:adjustRightInd w:val="0"/>
        <w:snapToGrid w:val="0"/>
        <w:spacing w:after="0" w:line="360" w:lineRule="auto"/>
        <w:ind w:left="0" w:leftChars="0"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根据项目特点，评价工作组遴选5名专家（其中业务专家2名，管理专家2名，财务专家1名），组成专家评价组，对项目资料进行审核。</w:t>
      </w:r>
      <w:r>
        <w:rPr>
          <w:rFonts w:hint="eastAsia" w:ascii="仿宋_GB2312" w:hAnsi="仿宋_GB2312" w:eastAsia="仿宋_GB2312" w:cs="仿宋_GB2312"/>
          <w:sz w:val="32"/>
          <w:szCs w:val="32"/>
          <w:lang w:eastAsia="zh-Hans"/>
        </w:rPr>
        <w:t>于</w:t>
      </w:r>
      <w:r>
        <w:rPr>
          <w:rFonts w:hint="eastAsia" w:ascii="仿宋_GB2312" w:hAnsi="仿宋_GB2312" w:eastAsia="仿宋_GB2312" w:cs="仿宋_GB2312"/>
          <w:sz w:val="32"/>
          <w:szCs w:val="32"/>
        </w:rPr>
        <w:t>2025年5月16日召开专家评价会。评价会上，专家与项目单位有关人员进行了充分讨论和沟通，并依据评价指标体系对该项目进行了评价打分，并出具了评价意见，形成专家意见汇总书。</w:t>
      </w:r>
    </w:p>
    <w:p w14:paraId="3777E276">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4.评价报告阶段</w:t>
      </w:r>
      <w:bookmarkEnd w:id="10"/>
    </w:p>
    <w:p w14:paraId="5266B867">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（1）形成绩效评价结论、撰写绩效评价报告</w:t>
      </w:r>
    </w:p>
    <w:p w14:paraId="7DA9C619">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评价工作组根据收集的资料、评价分析情况，结合专家意见，确定评价结果等级，撰写绩效评价报告初稿。</w:t>
      </w:r>
    </w:p>
    <w:p w14:paraId="7F202145">
      <w:pPr>
        <w:numPr>
          <w:ilvl w:val="0"/>
          <w:numId w:val="2"/>
        </w:num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沟通初步评价意见</w:t>
      </w:r>
    </w:p>
    <w:p w14:paraId="404E399C">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绩效评价报告初稿完成后，在</w:t>
      </w:r>
      <w:r>
        <w:rPr>
          <w:rFonts w:hint="eastAsia" w:ascii="仿宋_GB2312" w:hAnsi="仿宋_GB2312" w:eastAsia="仿宋_GB2312" w:cs="仿宋_GB2312"/>
          <w:sz w:val="32"/>
          <w:szCs w:val="32"/>
          <w:lang w:eastAsia="zh-Hans"/>
        </w:rPr>
        <w:t>与</w:t>
      </w:r>
      <w:r>
        <w:rPr>
          <w:rFonts w:hint="eastAsia" w:ascii="仿宋_GB2312" w:hAnsi="仿宋_GB2312" w:eastAsia="仿宋_GB2312" w:cs="仿宋_GB2312"/>
          <w:sz w:val="32"/>
          <w:szCs w:val="32"/>
        </w:rPr>
        <w:t>市文联沟</w:t>
      </w:r>
      <w:r>
        <w:rPr>
          <w:rFonts w:hint="eastAsia" w:ascii="仿宋_GB2312" w:hAnsi="仿宋_GB2312" w:eastAsia="仿宋_GB2312" w:cs="仿宋_GB2312"/>
          <w:sz w:val="32"/>
          <w:szCs w:val="32"/>
          <w:lang w:eastAsia="zh-Hans"/>
        </w:rPr>
        <w:t>通</w:t>
      </w:r>
      <w:r>
        <w:rPr>
          <w:rFonts w:hint="eastAsia" w:ascii="仿宋_GB2312" w:hAnsi="仿宋_GB2312" w:eastAsia="仿宋_GB2312" w:cs="仿宋_GB2312"/>
          <w:sz w:val="32"/>
          <w:szCs w:val="32"/>
        </w:rPr>
        <w:t>反馈的基础上</w:t>
      </w:r>
      <w:r>
        <w:rPr>
          <w:rFonts w:hint="eastAsia" w:ascii="仿宋_GB2312" w:hAnsi="仿宋_GB2312" w:eastAsia="仿宋_GB2312" w:cs="仿宋_GB2312"/>
          <w:sz w:val="32"/>
          <w:szCs w:val="32"/>
          <w:lang w:eastAsia="zh-Hans"/>
        </w:rPr>
        <w:t>，</w:t>
      </w:r>
      <w:r>
        <w:rPr>
          <w:rFonts w:hint="eastAsia" w:ascii="仿宋_GB2312" w:hAnsi="仿宋_GB2312" w:eastAsia="仿宋_GB2312" w:cs="仿宋_GB2312"/>
          <w:sz w:val="32"/>
          <w:szCs w:val="32"/>
        </w:rPr>
        <w:t>进一步</w:t>
      </w:r>
      <w:r>
        <w:rPr>
          <w:rFonts w:hint="eastAsia" w:ascii="仿宋_GB2312" w:hAnsi="仿宋_GB2312" w:eastAsia="仿宋_GB2312" w:cs="仿宋_GB2312"/>
          <w:sz w:val="32"/>
          <w:szCs w:val="32"/>
          <w:lang w:eastAsia="zh-Hans"/>
        </w:rPr>
        <w:t>修改完善</w:t>
      </w:r>
      <w:r>
        <w:rPr>
          <w:rFonts w:hint="eastAsia" w:ascii="仿宋_GB2312" w:hAnsi="仿宋_GB2312" w:eastAsia="仿宋_GB2312" w:cs="仿宋_GB2312"/>
          <w:sz w:val="32"/>
          <w:szCs w:val="32"/>
        </w:rPr>
        <w:t>。</w:t>
      </w:r>
    </w:p>
    <w:p w14:paraId="12651AD1">
      <w:pPr>
        <w:numPr>
          <w:ilvl w:val="0"/>
          <w:numId w:val="2"/>
        </w:num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形成正式绩效评价报告</w:t>
      </w:r>
    </w:p>
    <w:p w14:paraId="32AE176A">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评价工作组在综合专家及</w:t>
      </w:r>
      <w:r>
        <w:rPr>
          <w:rFonts w:hint="eastAsia" w:ascii="仿宋_GB2312" w:hAnsi="仿宋_GB2312" w:eastAsia="仿宋_GB2312" w:cs="仿宋_GB2312"/>
          <w:sz w:val="32"/>
          <w:szCs w:val="32"/>
          <w:lang w:eastAsia="zh-Hans"/>
        </w:rPr>
        <w:t>各方</w:t>
      </w:r>
      <w:r>
        <w:rPr>
          <w:rFonts w:hint="eastAsia" w:ascii="仿宋_GB2312" w:hAnsi="仿宋_GB2312" w:eastAsia="仿宋_GB2312" w:cs="仿宋_GB2312"/>
          <w:sz w:val="32"/>
          <w:szCs w:val="32"/>
        </w:rPr>
        <w:t>反馈的合理意见后，对评价报告进行修改，经市文联审核后形成正式绩效评价报告。</w:t>
      </w:r>
    </w:p>
    <w:p w14:paraId="70B97FE9">
      <w:pPr>
        <w:numPr>
          <w:ilvl w:val="0"/>
          <w:numId w:val="2"/>
        </w:num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报送报告及资料手册</w:t>
      </w:r>
    </w:p>
    <w:p w14:paraId="1CC79567">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评价工作组根据绩效评价工作要求装订评价报告、资料手册，报送至市文联。</w:t>
      </w:r>
    </w:p>
    <w:p w14:paraId="32B7F3A0">
      <w:pPr>
        <w:numPr>
          <w:ilvl w:val="0"/>
          <w:numId w:val="2"/>
        </w:num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归档绩效评价资料</w:t>
      </w:r>
    </w:p>
    <w:p w14:paraId="5D94C174">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sz w:val="32"/>
          <w:szCs w:val="32"/>
        </w:rPr>
        <w:t>绩效评价工作结束后，评价工作组及时将资料整理归档，并妥善</w:t>
      </w:r>
      <w:r>
        <w:rPr>
          <w:rFonts w:hint="eastAsia" w:ascii="仿宋_GB2312" w:hAnsi="仿宋_GB2312" w:eastAsia="仿宋_GB2312" w:cs="仿宋_GB2312"/>
          <w:sz w:val="32"/>
          <w:szCs w:val="32"/>
          <w:lang w:eastAsia="zh-Hans"/>
        </w:rPr>
        <w:t>保管绩效档案</w:t>
      </w:r>
      <w:r>
        <w:rPr>
          <w:rFonts w:hint="eastAsia" w:ascii="仿宋_GB2312" w:hAnsi="仿宋_GB2312" w:eastAsia="仿宋_GB2312" w:cs="仿宋_GB2312"/>
          <w:sz w:val="32"/>
          <w:szCs w:val="32"/>
        </w:rPr>
        <w:t>资料。</w:t>
      </w:r>
    </w:p>
    <w:p w14:paraId="08034267">
      <w:pPr>
        <w:adjustRightInd w:val="0"/>
        <w:snapToGrid w:val="0"/>
        <w:spacing w:line="360" w:lineRule="auto"/>
        <w:ind w:firstLine="640" w:firstLineChars="200"/>
        <w:outlineLvl w:val="0"/>
        <w:rPr>
          <w:rFonts w:ascii="黑体" w:hAnsi="黑体" w:eastAsia="黑体" w:cs="黑体"/>
          <w:bCs/>
          <w:kern w:val="0"/>
          <w:sz w:val="32"/>
          <w:szCs w:val="32"/>
        </w:rPr>
      </w:pPr>
      <w:bookmarkStart w:id="11" w:name="_Toc1238"/>
      <w:r>
        <w:rPr>
          <w:rFonts w:hint="eastAsia" w:ascii="黑体" w:hAnsi="黑体" w:eastAsia="黑体" w:cs="黑体"/>
          <w:bCs/>
          <w:kern w:val="0"/>
          <w:sz w:val="32"/>
          <w:szCs w:val="32"/>
        </w:rPr>
        <w:t>三、综合评价情况及评价结论</w:t>
      </w:r>
      <w:bookmarkEnd w:id="11"/>
    </w:p>
    <w:p w14:paraId="36C09A5F">
      <w:pPr>
        <w:pStyle w:val="7"/>
        <w:adjustRightInd w:val="0"/>
        <w:snapToGrid w:val="0"/>
        <w:spacing w:after="0" w:line="360" w:lineRule="auto"/>
        <w:ind w:left="0" w:leftChars="0"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经综合评价，该项目评价得分85.10分，</w:t>
      </w:r>
      <w:r>
        <w:rPr>
          <w:rFonts w:hint="default" w:ascii="CESI仿宋-GB2312" w:hAnsi="CESI仿宋-GB2312" w:eastAsia="CESI仿宋-GB2312" w:cs="CESI仿宋-GB2312"/>
          <w:color w:val="000000"/>
          <w:kern w:val="0"/>
          <w:sz w:val="32"/>
          <w:szCs w:val="32"/>
          <w:highlight w:val="none"/>
          <w:lang w:eastAsia="zh-CN"/>
        </w:rPr>
        <w:t>绩效级别评定为“良”</w:t>
      </w:r>
      <w:r>
        <w:rPr>
          <w:rFonts w:hint="eastAsia" w:ascii="CESI仿宋-GB2312" w:hAnsi="CESI仿宋-GB2312" w:eastAsia="CESI仿宋-GB2312" w:cs="CESI仿宋-GB2312"/>
          <w:color w:val="000000"/>
          <w:kern w:val="0"/>
          <w:sz w:val="32"/>
          <w:szCs w:val="32"/>
          <w:highlight w:val="none"/>
          <w:lang w:eastAsia="zh-CN"/>
        </w:rPr>
        <w:t>。</w:t>
      </w:r>
      <w:r>
        <w:rPr>
          <w:rFonts w:hint="eastAsia" w:ascii="CESI仿宋-GB2312" w:hAnsi="CESI仿宋-GB2312" w:eastAsia="CESI仿宋-GB2312" w:cs="CESI仿宋-GB2312"/>
          <w:color w:val="000000"/>
          <w:kern w:val="0"/>
          <w:sz w:val="32"/>
          <w:szCs w:val="32"/>
          <w:highlight w:val="none"/>
          <w:lang w:val="en-US" w:eastAsia="zh-CN"/>
        </w:rPr>
        <w:t>该</w:t>
      </w:r>
      <w:r>
        <w:rPr>
          <w:rFonts w:hint="eastAsia" w:ascii="仿宋_GB2312" w:hAnsi="仿宋_GB2312" w:eastAsia="仿宋_GB2312" w:cs="仿宋_GB2312"/>
          <w:sz w:val="32"/>
          <w:szCs w:val="32"/>
        </w:rPr>
        <w:t>项目的决策依据充分</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资金管理较规范</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较好的</w:t>
      </w:r>
      <w:r>
        <w:rPr>
          <w:rFonts w:hint="eastAsia" w:ascii="仿宋_GB2312" w:hAnsi="仿宋_GB2312" w:eastAsia="仿宋_GB2312" w:cs="仿宋_GB2312"/>
          <w:sz w:val="32"/>
          <w:szCs w:val="32"/>
        </w:rPr>
        <w:t>按照年初指标值完成任务，取得</w:t>
      </w:r>
      <w:r>
        <w:rPr>
          <w:rFonts w:hint="eastAsia" w:ascii="仿宋_GB2312" w:hAnsi="仿宋_GB2312" w:eastAsia="仿宋_GB2312" w:cs="仿宋_GB2312"/>
          <w:sz w:val="32"/>
          <w:szCs w:val="32"/>
          <w:lang w:val="en-US" w:eastAsia="zh-CN"/>
        </w:rPr>
        <w:t>了良好的</w:t>
      </w:r>
      <w:r>
        <w:rPr>
          <w:rFonts w:hint="eastAsia" w:ascii="仿宋_GB2312" w:hAnsi="仿宋_GB2312" w:eastAsia="仿宋_GB2312" w:cs="仿宋_GB2312"/>
          <w:sz w:val="32"/>
          <w:szCs w:val="32"/>
        </w:rPr>
        <w:t>绩效成果，但</w:t>
      </w:r>
      <w:r>
        <w:rPr>
          <w:rFonts w:hint="eastAsia" w:ascii="仿宋_GB2312" w:hAnsi="仿宋_GB2312" w:eastAsia="仿宋_GB2312" w:cs="仿宋_GB2312"/>
          <w:sz w:val="32"/>
          <w:szCs w:val="32"/>
          <w:lang w:val="en-US" w:eastAsia="zh-CN"/>
        </w:rPr>
        <w:t>仍有进一步加强的空间</w:t>
      </w:r>
      <w:r>
        <w:rPr>
          <w:rFonts w:hint="eastAsia" w:ascii="仿宋_GB2312" w:hAnsi="仿宋_GB2312" w:eastAsia="仿宋_GB2312" w:cs="仿宋_GB2312"/>
          <w:sz w:val="32"/>
          <w:szCs w:val="32"/>
        </w:rPr>
        <w:t>。</w:t>
      </w:r>
    </w:p>
    <w:p w14:paraId="663F6C11">
      <w:pPr>
        <w:adjustRightInd w:val="0"/>
        <w:snapToGrid w:val="0"/>
        <w:spacing w:before="156" w:beforeLines="50" w:line="360" w:lineRule="auto"/>
        <w:ind w:firstLine="640" w:firstLineChars="200"/>
        <w:outlineLvl w:val="0"/>
        <w:rPr>
          <w:rFonts w:ascii="黑体" w:hAnsi="黑体" w:eastAsia="黑体" w:cs="黑体"/>
          <w:bCs/>
          <w:kern w:val="0"/>
          <w:sz w:val="32"/>
          <w:szCs w:val="32"/>
        </w:rPr>
      </w:pPr>
      <w:bookmarkStart w:id="12" w:name="_Toc22782"/>
      <w:r>
        <w:rPr>
          <w:rFonts w:hint="eastAsia" w:ascii="黑体" w:hAnsi="黑体" w:eastAsia="黑体" w:cs="黑体"/>
          <w:bCs/>
          <w:kern w:val="0"/>
          <w:sz w:val="32"/>
          <w:szCs w:val="32"/>
        </w:rPr>
        <w:t>四、绩效评价指标分析</w:t>
      </w:r>
      <w:bookmarkEnd w:id="12"/>
    </w:p>
    <w:p w14:paraId="18E7298F">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13" w:name="_Toc8324"/>
      <w:r>
        <w:rPr>
          <w:rFonts w:hint="eastAsia" w:ascii="仿宋_GB2312" w:hAnsi="仿宋_GB2312" w:eastAsia="仿宋_GB2312" w:cs="仿宋_GB2312"/>
          <w:b/>
          <w:bCs/>
          <w:kern w:val="0"/>
          <w:sz w:val="32"/>
          <w:szCs w:val="32"/>
        </w:rPr>
        <w:t>（一）项目决策情况</w:t>
      </w:r>
      <w:bookmarkEnd w:id="13"/>
    </w:p>
    <w:p w14:paraId="32C94619">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rPr>
        <w:t>1.</w:t>
      </w:r>
      <w:r>
        <w:rPr>
          <w:rFonts w:hint="eastAsia" w:ascii="仿宋_GB2312" w:hAnsi="仿宋_GB2312" w:eastAsia="仿宋_GB2312" w:cs="仿宋_GB2312"/>
          <w:kern w:val="0"/>
          <w:sz w:val="32"/>
          <w:szCs w:val="32"/>
          <w:lang w:eastAsia="zh-Hans"/>
        </w:rPr>
        <w:t>项目立项情况分析</w:t>
      </w:r>
    </w:p>
    <w:p w14:paraId="1BBCE6CC">
      <w:pPr>
        <w:adjustRightInd w:val="0"/>
        <w:snapToGrid w:val="0"/>
        <w:spacing w:line="360" w:lineRule="auto"/>
        <w:ind w:firstLine="640" w:firstLineChars="200"/>
        <w:rPr>
          <w:rFonts w:ascii="仿宋_GB2312" w:hAnsi="宋体" w:eastAsia="仿宋_GB2312"/>
          <w:bCs/>
          <w:sz w:val="32"/>
          <w:szCs w:val="32"/>
        </w:rPr>
      </w:pPr>
      <w:r>
        <w:rPr>
          <w:rFonts w:hint="eastAsia" w:ascii="仿宋_GB2312" w:hAnsi="宋体" w:eastAsia="仿宋_GB2312"/>
          <w:bCs/>
          <w:sz w:val="32"/>
          <w:szCs w:val="32"/>
        </w:rPr>
        <w:t>该项目在服务新时代首都发展和“四区”建设，落实北京全国文化中心、国际交往中心战略定位的政策支持下，深入贯彻落实习近平文化思想，助力北京市建设“演艺之都”的背景下，由市文联、中国杂技家协会主办，北京杂技家协会、朝阳区文联共同承办。2023年9月，市文联根据《关于编报2024年度部门预算的通知》要求，策划该项目并做好预算编制工作。</w:t>
      </w:r>
    </w:p>
    <w:p w14:paraId="4D667A02">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lang w:eastAsia="zh-Hans"/>
        </w:rPr>
        <w:t>2</w:t>
      </w:r>
      <w:r>
        <w:rPr>
          <w:rFonts w:hint="eastAsia" w:ascii="仿宋_GB2312" w:hAnsi="仿宋_GB2312" w:eastAsia="仿宋_GB2312" w:cs="仿宋_GB2312"/>
          <w:kern w:val="0"/>
          <w:sz w:val="32"/>
          <w:szCs w:val="32"/>
        </w:rPr>
        <w:t>.</w:t>
      </w:r>
      <w:r>
        <w:rPr>
          <w:rFonts w:hint="eastAsia" w:ascii="仿宋_GB2312" w:hAnsi="仿宋_GB2312" w:eastAsia="仿宋_GB2312" w:cs="仿宋_GB2312"/>
          <w:kern w:val="0"/>
          <w:sz w:val="32"/>
          <w:szCs w:val="32"/>
          <w:lang w:eastAsia="zh-Hans"/>
        </w:rPr>
        <w:t>绩效目标设定情况分析</w:t>
      </w:r>
    </w:p>
    <w:p w14:paraId="3925A7AA">
      <w:pPr>
        <w:adjustRightInd w:val="0"/>
        <w:snapToGrid w:val="0"/>
        <w:spacing w:line="360" w:lineRule="auto"/>
        <w:ind w:firstLine="640" w:firstLineChars="200"/>
        <w:rPr>
          <w:rFonts w:ascii="仿宋_GB2312" w:hAnsi="宋体" w:eastAsia="仿宋_GB2312"/>
          <w:bCs/>
          <w:sz w:val="32"/>
          <w:szCs w:val="32"/>
        </w:rPr>
      </w:pPr>
      <w:r>
        <w:rPr>
          <w:rFonts w:hint="eastAsia" w:ascii="仿宋_GB2312" w:hAnsi="宋体" w:eastAsia="仿宋_GB2312"/>
          <w:bCs/>
          <w:sz w:val="32"/>
          <w:szCs w:val="32"/>
          <w:lang w:eastAsia="zh-Hans"/>
        </w:rPr>
        <w:t>该项目围绕项目内容、项目</w:t>
      </w:r>
      <w:r>
        <w:rPr>
          <w:rFonts w:hint="eastAsia" w:ascii="仿宋_GB2312" w:hAnsi="宋体" w:eastAsia="仿宋_GB2312"/>
          <w:bCs/>
          <w:sz w:val="32"/>
          <w:szCs w:val="32"/>
        </w:rPr>
        <w:t>质量</w:t>
      </w:r>
      <w:r>
        <w:rPr>
          <w:rFonts w:hint="eastAsia" w:ascii="仿宋_GB2312" w:hAnsi="宋体" w:eastAsia="仿宋_GB2312"/>
          <w:bCs/>
          <w:sz w:val="32"/>
          <w:szCs w:val="32"/>
          <w:lang w:eastAsia="zh-Hans"/>
        </w:rPr>
        <w:t>、预期效益情况，设定了项目的绩效目标，并将绩效目标细化为具体的产出指标</w:t>
      </w:r>
      <w:r>
        <w:rPr>
          <w:rFonts w:hint="eastAsia" w:ascii="仿宋_GB2312" w:hAnsi="宋体" w:eastAsia="仿宋_GB2312"/>
          <w:bCs/>
          <w:sz w:val="32"/>
          <w:szCs w:val="32"/>
        </w:rPr>
        <w:t>和</w:t>
      </w:r>
      <w:r>
        <w:rPr>
          <w:rFonts w:hint="eastAsia" w:ascii="仿宋_GB2312" w:hAnsi="宋体" w:eastAsia="仿宋_GB2312"/>
          <w:bCs/>
          <w:sz w:val="32"/>
          <w:szCs w:val="32"/>
          <w:lang w:eastAsia="zh-Hans"/>
        </w:rPr>
        <w:t>效益指标，根据具体指标内容明确指标值。项目绩效目标的设定符合部门职能，与相应的预算支出内容、范围、效果等相关，绩效目标设定符合客观实际、</w:t>
      </w:r>
      <w:r>
        <w:rPr>
          <w:rFonts w:hint="eastAsia" w:ascii="仿宋_GB2312" w:hAnsi="宋体" w:eastAsia="仿宋_GB2312"/>
          <w:bCs/>
          <w:sz w:val="32"/>
          <w:szCs w:val="32"/>
        </w:rPr>
        <w:t>部分</w:t>
      </w:r>
      <w:r>
        <w:rPr>
          <w:rFonts w:hint="eastAsia" w:ascii="仿宋_GB2312" w:hAnsi="宋体" w:eastAsia="仿宋_GB2312"/>
          <w:bCs/>
          <w:sz w:val="32"/>
          <w:szCs w:val="32"/>
          <w:lang w:eastAsia="zh-Hans"/>
        </w:rPr>
        <w:t>明确</w:t>
      </w:r>
      <w:r>
        <w:rPr>
          <w:rFonts w:hint="eastAsia" w:ascii="仿宋_GB2312" w:hAnsi="宋体" w:eastAsia="仿宋_GB2312"/>
          <w:bCs/>
          <w:sz w:val="32"/>
          <w:szCs w:val="32"/>
        </w:rPr>
        <w:t>、</w:t>
      </w:r>
      <w:r>
        <w:rPr>
          <w:rFonts w:hint="eastAsia" w:ascii="仿宋_GB2312" w:hAnsi="宋体" w:eastAsia="仿宋_GB2312"/>
          <w:bCs/>
          <w:sz w:val="32"/>
          <w:szCs w:val="32"/>
          <w:lang w:eastAsia="zh-Hans"/>
        </w:rPr>
        <w:t>可衡量</w:t>
      </w:r>
      <w:r>
        <w:rPr>
          <w:rFonts w:hint="eastAsia" w:ascii="仿宋_GB2312" w:hAnsi="宋体" w:eastAsia="仿宋_GB2312"/>
          <w:bCs/>
          <w:sz w:val="32"/>
          <w:szCs w:val="32"/>
        </w:rPr>
        <w:t>。</w:t>
      </w:r>
      <w:r>
        <w:rPr>
          <w:rFonts w:hint="eastAsia" w:ascii="仿宋_GB2312" w:hAnsi="宋体" w:eastAsia="仿宋_GB2312"/>
          <w:bCs/>
          <w:sz w:val="32"/>
          <w:szCs w:val="32"/>
          <w:lang w:eastAsia="zh-Hans"/>
        </w:rPr>
        <w:t>但绩效目标设置规范性有待提高，一是</w:t>
      </w:r>
      <w:r>
        <w:rPr>
          <w:rFonts w:hint="eastAsia" w:ascii="仿宋_GB2312" w:hAnsi="宋体" w:eastAsia="仿宋_GB2312"/>
          <w:bCs/>
          <w:sz w:val="32"/>
          <w:szCs w:val="32"/>
        </w:rPr>
        <w:t>数量指标不够全面，如:聘请国际魔术师数量未体现；二是社会效益年初绩效目标指标值设置偏低；三是满意度</w:t>
      </w:r>
      <w:r>
        <w:rPr>
          <w:rFonts w:hint="eastAsia" w:ascii="仿宋_GB2312" w:hAnsi="宋体" w:eastAsia="仿宋_GB2312"/>
          <w:bCs/>
          <w:sz w:val="32"/>
          <w:szCs w:val="32"/>
          <w:lang w:eastAsia="zh-Hans"/>
        </w:rPr>
        <w:t>指标样本量偏低</w:t>
      </w:r>
      <w:r>
        <w:rPr>
          <w:rFonts w:hint="eastAsia" w:ascii="仿宋_GB2312" w:hAnsi="宋体" w:eastAsia="仿宋_GB2312"/>
          <w:bCs/>
          <w:sz w:val="32"/>
          <w:szCs w:val="32"/>
        </w:rPr>
        <w:t>。</w:t>
      </w:r>
    </w:p>
    <w:p w14:paraId="2B5C69B9">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3.资金投入情况分析</w:t>
      </w:r>
    </w:p>
    <w:p w14:paraId="373C17B6">
      <w:pPr>
        <w:adjustRightInd w:val="0"/>
        <w:snapToGrid w:val="0"/>
        <w:spacing w:line="360" w:lineRule="auto"/>
        <w:ind w:firstLine="640" w:firstLineChars="200"/>
        <w:rPr>
          <w:rFonts w:ascii="仿宋_GB2312" w:hAnsi="宋体" w:eastAsia="仿宋_GB2312"/>
          <w:bCs/>
          <w:sz w:val="32"/>
          <w:szCs w:val="32"/>
          <w:highlight w:val="yellow"/>
        </w:rPr>
      </w:pPr>
      <w:r>
        <w:rPr>
          <w:rFonts w:hint="eastAsia" w:ascii="仿宋_GB2312" w:hAnsi="宋体" w:eastAsia="仿宋_GB2312"/>
          <w:bCs/>
          <w:sz w:val="32"/>
          <w:szCs w:val="32"/>
        </w:rPr>
        <w:t>项目预算编制主要依据《北京市文学艺术界联合会经费支出管理办法》《北京市文学艺术界联合会财务审批规定》等各项经费管理制度，并认真执行预算计划。项目总投入</w:t>
      </w:r>
      <w:r>
        <w:rPr>
          <w:rFonts w:ascii="仿宋_GB2312" w:hAnsi="宋体" w:eastAsia="仿宋_GB2312"/>
          <w:bCs/>
          <w:sz w:val="32"/>
          <w:szCs w:val="32"/>
        </w:rPr>
        <w:t>141.824</w:t>
      </w:r>
      <w:r>
        <w:rPr>
          <w:rFonts w:hint="eastAsia" w:ascii="仿宋_GB2312" w:hAnsi="宋体" w:eastAsia="仿宋_GB2312"/>
          <w:bCs/>
          <w:sz w:val="32"/>
          <w:szCs w:val="32"/>
        </w:rPr>
        <w:t>万元，其中：</w:t>
      </w:r>
      <w:r>
        <w:rPr>
          <w:rFonts w:hint="eastAsia" w:ascii="仿宋_GB2312" w:hAnsi="宋体" w:eastAsia="仿宋_GB2312" w:cs="Times New Roman"/>
          <w:bCs/>
          <w:sz w:val="32"/>
          <w:szCs w:val="32"/>
        </w:rPr>
        <w:t>租赁费</w:t>
      </w:r>
      <w:r>
        <w:rPr>
          <w:rFonts w:ascii="仿宋_GB2312" w:hAnsi="宋体" w:eastAsia="仿宋_GB2312"/>
          <w:bCs/>
          <w:sz w:val="32"/>
          <w:szCs w:val="32"/>
        </w:rPr>
        <w:t>84.418</w:t>
      </w:r>
      <w:r>
        <w:rPr>
          <w:rFonts w:hint="eastAsia" w:ascii="仿宋_GB2312" w:hAnsi="宋体" w:eastAsia="仿宋_GB2312"/>
          <w:bCs/>
          <w:sz w:val="32"/>
          <w:szCs w:val="32"/>
        </w:rPr>
        <w:t>万元；</w:t>
      </w:r>
      <w:r>
        <w:rPr>
          <w:rFonts w:hint="eastAsia" w:ascii="仿宋_GB2312" w:eastAsia="仿宋_GB2312"/>
          <w:sz w:val="32"/>
          <w:szCs w:val="32"/>
        </w:rPr>
        <w:t>物料制作费</w:t>
      </w:r>
      <w:r>
        <w:rPr>
          <w:rFonts w:ascii="仿宋_GB2312" w:hAnsi="宋体" w:eastAsia="仿宋_GB2312"/>
          <w:bCs/>
          <w:sz w:val="32"/>
          <w:szCs w:val="32"/>
        </w:rPr>
        <w:t>11.016</w:t>
      </w:r>
      <w:r>
        <w:rPr>
          <w:rFonts w:hint="eastAsia" w:ascii="仿宋_GB2312" w:hAnsi="宋体" w:eastAsia="仿宋_GB2312"/>
          <w:bCs/>
          <w:sz w:val="32"/>
          <w:szCs w:val="32"/>
        </w:rPr>
        <w:t>万元；</w:t>
      </w:r>
      <w:r>
        <w:rPr>
          <w:rFonts w:hint="eastAsia" w:ascii="仿宋_GB2312" w:eastAsia="仿宋_GB2312"/>
          <w:sz w:val="32"/>
          <w:szCs w:val="32"/>
        </w:rPr>
        <w:t>其他费用</w:t>
      </w:r>
      <w:r>
        <w:rPr>
          <w:rFonts w:ascii="仿宋_GB2312" w:hAnsi="宋体" w:eastAsia="仿宋_GB2312"/>
          <w:bCs/>
          <w:sz w:val="32"/>
          <w:szCs w:val="32"/>
        </w:rPr>
        <w:t>46.39</w:t>
      </w:r>
      <w:r>
        <w:rPr>
          <w:rFonts w:hint="eastAsia" w:ascii="仿宋_GB2312" w:hAnsi="宋体" w:eastAsia="仿宋_GB2312"/>
          <w:bCs/>
          <w:sz w:val="32"/>
          <w:szCs w:val="32"/>
        </w:rPr>
        <w:t>万元，预算金额与预算内容匹配。</w:t>
      </w:r>
    </w:p>
    <w:p w14:paraId="086FC51C">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14" w:name="_Toc4245"/>
      <w:r>
        <w:rPr>
          <w:rFonts w:hint="eastAsia" w:ascii="仿宋_GB2312" w:hAnsi="仿宋_GB2312" w:eastAsia="仿宋_GB2312" w:cs="仿宋_GB2312"/>
          <w:b/>
          <w:bCs/>
          <w:kern w:val="0"/>
          <w:sz w:val="32"/>
          <w:szCs w:val="32"/>
        </w:rPr>
        <w:t>（二）项目管理情况</w:t>
      </w:r>
      <w:bookmarkEnd w:id="14"/>
    </w:p>
    <w:p w14:paraId="5EF7FD60">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rPr>
        <w:t>1.</w:t>
      </w:r>
      <w:r>
        <w:rPr>
          <w:rFonts w:hint="eastAsia" w:ascii="仿宋_GB2312" w:hAnsi="仿宋_GB2312" w:eastAsia="仿宋_GB2312" w:cs="仿宋_GB2312"/>
          <w:kern w:val="0"/>
          <w:sz w:val="32"/>
          <w:szCs w:val="32"/>
          <w:lang w:eastAsia="zh-Hans"/>
        </w:rPr>
        <w:t>资金管理情况分析</w:t>
      </w:r>
    </w:p>
    <w:p w14:paraId="4441A47B">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eastAsia="zh-Hans"/>
        </w:rPr>
        <w:t>该项目实际批复预算</w:t>
      </w:r>
      <w:r>
        <w:rPr>
          <w:rFonts w:hint="eastAsia" w:ascii="仿宋_GB2312" w:hAnsi="宋体" w:eastAsia="仿宋_GB2312"/>
          <w:bCs/>
          <w:sz w:val="32"/>
          <w:szCs w:val="32"/>
        </w:rPr>
        <w:t>141.824</w:t>
      </w:r>
      <w:r>
        <w:rPr>
          <w:rFonts w:hint="eastAsia" w:ascii="仿宋_GB2312" w:hAnsi="仿宋_GB2312" w:eastAsia="仿宋_GB2312" w:cs="仿宋_GB2312"/>
          <w:sz w:val="32"/>
          <w:szCs w:val="32"/>
          <w:lang w:eastAsia="zh-Hans"/>
        </w:rPr>
        <w:t>万元</w:t>
      </w:r>
      <w:r>
        <w:rPr>
          <w:rFonts w:hint="eastAsia" w:ascii="仿宋_GB2312" w:hAnsi="仿宋_GB2312" w:eastAsia="仿宋_GB2312" w:cs="仿宋_GB2312"/>
          <w:sz w:val="32"/>
          <w:szCs w:val="32"/>
        </w:rPr>
        <w:t>，实际到位资金</w:t>
      </w:r>
      <w:r>
        <w:rPr>
          <w:rFonts w:hint="eastAsia" w:ascii="仿宋_GB2312" w:hAnsi="宋体" w:eastAsia="仿宋_GB2312"/>
          <w:bCs/>
          <w:sz w:val="32"/>
          <w:szCs w:val="32"/>
        </w:rPr>
        <w:t>141.824</w:t>
      </w:r>
      <w:r>
        <w:rPr>
          <w:rFonts w:hint="eastAsia" w:ascii="仿宋_GB2312" w:hAnsi="仿宋_GB2312" w:eastAsia="仿宋_GB2312" w:cs="仿宋_GB2312"/>
          <w:sz w:val="32"/>
          <w:szCs w:val="32"/>
        </w:rPr>
        <w:t>万元，资金到位率100%。</w:t>
      </w:r>
      <w:r>
        <w:rPr>
          <w:rFonts w:hint="eastAsia" w:ascii="仿宋_GB2312" w:hAnsi="仿宋_GB2312" w:eastAsia="仿宋_GB2312" w:cs="仿宋_GB2312"/>
          <w:sz w:val="32"/>
          <w:szCs w:val="32"/>
          <w:lang w:eastAsia="zh-Hans"/>
        </w:rPr>
        <w:t>截至202</w:t>
      </w:r>
      <w:r>
        <w:rPr>
          <w:rFonts w:hint="eastAsia" w:ascii="仿宋_GB2312" w:hAnsi="仿宋_GB2312" w:eastAsia="仿宋_GB2312" w:cs="仿宋_GB2312"/>
          <w:sz w:val="32"/>
          <w:szCs w:val="32"/>
        </w:rPr>
        <w:t>4</w:t>
      </w:r>
      <w:r>
        <w:rPr>
          <w:rFonts w:hint="eastAsia" w:ascii="仿宋_GB2312" w:hAnsi="仿宋_GB2312" w:eastAsia="仿宋_GB2312" w:cs="仿宋_GB2312"/>
          <w:sz w:val="32"/>
          <w:szCs w:val="32"/>
          <w:lang w:eastAsia="zh-Hans"/>
        </w:rPr>
        <w:t>年12月31日，实际支出</w:t>
      </w:r>
      <w:r>
        <w:rPr>
          <w:rFonts w:ascii="仿宋_GB2312" w:hAnsi="宋体" w:eastAsia="仿宋_GB2312"/>
          <w:bCs/>
          <w:sz w:val="32"/>
          <w:szCs w:val="32"/>
        </w:rPr>
        <w:t>141.8121</w:t>
      </w:r>
      <w:r>
        <w:rPr>
          <w:rFonts w:hint="eastAsia" w:ascii="仿宋_GB2312" w:hAnsi="宋体" w:eastAsia="仿宋_GB2312"/>
          <w:bCs/>
          <w:sz w:val="32"/>
          <w:szCs w:val="32"/>
        </w:rPr>
        <w:t>万元，预算执行率</w:t>
      </w:r>
      <w:r>
        <w:rPr>
          <w:rFonts w:ascii="仿宋_GB2312" w:hAnsi="宋体" w:eastAsia="仿宋_GB2312"/>
          <w:bCs/>
          <w:sz w:val="32"/>
          <w:szCs w:val="32"/>
        </w:rPr>
        <w:t>99.</w:t>
      </w:r>
      <w:r>
        <w:rPr>
          <w:rFonts w:hint="eastAsia" w:ascii="仿宋_GB2312" w:hAnsi="宋体" w:eastAsia="仿宋_GB2312"/>
          <w:bCs/>
          <w:sz w:val="32"/>
          <w:szCs w:val="32"/>
        </w:rPr>
        <w:t>99%</w:t>
      </w:r>
      <w:r>
        <w:rPr>
          <w:rFonts w:hint="eastAsia" w:ascii="仿宋_GB2312" w:hAnsi="仿宋_GB2312" w:eastAsia="仿宋_GB2312" w:cs="仿宋_GB2312"/>
          <w:sz w:val="32"/>
          <w:szCs w:val="32"/>
        </w:rPr>
        <w:t>，招标结余资金0.0119</w:t>
      </w:r>
      <w:r>
        <w:rPr>
          <w:rFonts w:ascii="仿宋_GB2312" w:hAnsi="仿宋_GB2312" w:eastAsia="仿宋_GB2312" w:cs="仿宋_GB2312"/>
          <w:sz w:val="32"/>
          <w:szCs w:val="32"/>
        </w:rPr>
        <w:t>万元</w:t>
      </w:r>
      <w:r>
        <w:rPr>
          <w:rFonts w:hint="eastAsia" w:ascii="仿宋_GB2312" w:hAnsi="仿宋_GB2312" w:eastAsia="仿宋_GB2312" w:cs="仿宋_GB2312"/>
          <w:sz w:val="32"/>
          <w:szCs w:val="32"/>
        </w:rPr>
        <w:t>，</w:t>
      </w:r>
      <w:r>
        <w:rPr>
          <w:rFonts w:ascii="仿宋_GB2312" w:hAnsi="仿宋_GB2312" w:eastAsia="仿宋_GB2312" w:cs="仿宋_GB2312"/>
          <w:sz w:val="32"/>
          <w:szCs w:val="32"/>
        </w:rPr>
        <w:t>已于年底退回市财政</w:t>
      </w:r>
      <w:r>
        <w:rPr>
          <w:rFonts w:hint="eastAsia" w:ascii="仿宋_GB2312" w:hAnsi="仿宋_GB2312" w:eastAsia="仿宋_GB2312" w:cs="仿宋_GB2312"/>
          <w:sz w:val="32"/>
          <w:szCs w:val="32"/>
        </w:rPr>
        <w:t>。</w:t>
      </w:r>
    </w:p>
    <w:p w14:paraId="71903E3F">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lang w:eastAsia="zh-Hans"/>
        </w:rPr>
        <w:t>在资金管理方面，项目单位</w:t>
      </w:r>
      <w:r>
        <w:rPr>
          <w:rFonts w:hint="eastAsia" w:ascii="仿宋_GB2312" w:hAnsi="仿宋_GB2312" w:eastAsia="仿宋_GB2312" w:cs="仿宋_GB2312"/>
          <w:sz w:val="32"/>
          <w:szCs w:val="32"/>
          <w:lang w:eastAsia="zh-CN"/>
        </w:rPr>
        <w:t>按照</w:t>
      </w:r>
      <w:r>
        <w:rPr>
          <w:rFonts w:hint="eastAsia" w:ascii="仿宋_GB2312" w:hAnsi="仿宋_GB2312" w:eastAsia="仿宋_GB2312" w:cs="仿宋_GB2312"/>
          <w:sz w:val="32"/>
          <w:szCs w:val="32"/>
          <w:lang w:eastAsia="zh-Hans"/>
        </w:rPr>
        <w:t>《北京市文学艺术界联合会经费支出管理办法》</w:t>
      </w:r>
      <w:r>
        <w:rPr>
          <w:rFonts w:hint="eastAsia" w:ascii="仿宋_GB2312" w:hAnsi="宋体" w:eastAsia="仿宋_GB2312"/>
          <w:bCs/>
          <w:sz w:val="32"/>
          <w:szCs w:val="32"/>
        </w:rPr>
        <w:t>进行财务管理，对项目资金的支出履行了审批、拨付、报销等资金使用流程</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Hans"/>
        </w:rPr>
        <w:t>项目资金支出手续完善，不存在虚报、冒领、截留、挪用或变相使用等情况，一定程度上保证了项目资金使用的安全性</w:t>
      </w:r>
      <w:r>
        <w:rPr>
          <w:rFonts w:hint="eastAsia" w:ascii="仿宋_GB2312" w:hAnsi="仿宋_GB2312" w:eastAsia="仿宋_GB2312" w:cs="仿宋_GB2312"/>
          <w:sz w:val="32"/>
          <w:szCs w:val="32"/>
        </w:rPr>
        <w:t>。</w:t>
      </w:r>
    </w:p>
    <w:p w14:paraId="7A85D615">
      <w:pPr>
        <w:adjustRightInd w:val="0"/>
        <w:snapToGrid w:val="0"/>
        <w:spacing w:line="360" w:lineRule="auto"/>
        <w:ind w:firstLine="640" w:firstLineChars="200"/>
        <w:rPr>
          <w:rFonts w:ascii="仿宋_GB2312" w:hAnsi="仿宋_GB2312" w:eastAsia="仿宋_GB2312" w:cs="仿宋_GB2312"/>
          <w:sz w:val="32"/>
          <w:szCs w:val="32"/>
          <w:lang w:eastAsia="zh-Hans"/>
        </w:rPr>
      </w:pPr>
      <w:r>
        <w:rPr>
          <w:rFonts w:hint="eastAsia" w:ascii="仿宋_GB2312" w:hAnsi="仿宋_GB2312" w:eastAsia="仿宋_GB2312" w:cs="仿宋_GB2312"/>
          <w:sz w:val="32"/>
          <w:szCs w:val="32"/>
        </w:rPr>
        <w:t>综上所述，项目资金到位及时，内部控制制度执行有效，</w:t>
      </w:r>
      <w:r>
        <w:rPr>
          <w:rFonts w:hint="eastAsia" w:ascii="仿宋_GB2312" w:hAnsi="仿宋_GB2312" w:eastAsia="仿宋_GB2312" w:cs="仿宋_GB2312"/>
          <w:sz w:val="32"/>
          <w:szCs w:val="32"/>
          <w:lang w:eastAsia="zh-Hans"/>
        </w:rPr>
        <w:t>保障了资金</w:t>
      </w:r>
      <w:r>
        <w:rPr>
          <w:rFonts w:hint="eastAsia" w:ascii="仿宋_GB2312" w:hAnsi="仿宋_GB2312" w:eastAsia="仿宋_GB2312" w:cs="仿宋_GB2312"/>
          <w:sz w:val="32"/>
          <w:szCs w:val="32"/>
        </w:rPr>
        <w:t>使用合规</w:t>
      </w:r>
      <w:r>
        <w:rPr>
          <w:rFonts w:hint="eastAsia" w:ascii="仿宋_GB2312" w:hAnsi="仿宋_GB2312" w:eastAsia="仿宋_GB2312" w:cs="仿宋_GB2312"/>
          <w:sz w:val="32"/>
          <w:szCs w:val="32"/>
          <w:lang w:eastAsia="zh-Hans"/>
        </w:rPr>
        <w:t>。</w:t>
      </w:r>
    </w:p>
    <w:p w14:paraId="624E8CE5">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rPr>
        <w:t>2.</w:t>
      </w:r>
      <w:r>
        <w:rPr>
          <w:rFonts w:hint="eastAsia" w:ascii="仿宋_GB2312" w:hAnsi="仿宋_GB2312" w:eastAsia="仿宋_GB2312" w:cs="仿宋_GB2312"/>
          <w:kern w:val="0"/>
          <w:sz w:val="32"/>
          <w:szCs w:val="32"/>
          <w:lang w:eastAsia="zh-Hans"/>
        </w:rPr>
        <w:t>项目组织管理情况分析</w:t>
      </w:r>
    </w:p>
    <w:p w14:paraId="0732A567">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该项目制定了项目实施方案，项目方案中详细介绍了项目的实施内容以及应达到的目标，在项目执行过程中基本能够按照项目实施方案执行。但在过程管理方面，未见主办方监管过程性资料，监管过程性资料包括但不限于阶段性的汇报、沟通、反馈意见等。</w:t>
      </w:r>
    </w:p>
    <w:p w14:paraId="2F431564">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15" w:name="_Toc16486"/>
      <w:r>
        <w:rPr>
          <w:rFonts w:hint="eastAsia" w:ascii="仿宋_GB2312" w:hAnsi="仿宋_GB2312" w:eastAsia="仿宋_GB2312" w:cs="仿宋_GB2312"/>
          <w:b/>
          <w:bCs/>
          <w:kern w:val="0"/>
          <w:sz w:val="32"/>
          <w:szCs w:val="32"/>
        </w:rPr>
        <w:t>（三）项目产出情况</w:t>
      </w:r>
      <w:bookmarkEnd w:id="15"/>
    </w:p>
    <w:p w14:paraId="47D73B3C">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rPr>
        <w:t>1.产出数量</w:t>
      </w:r>
      <w:r>
        <w:rPr>
          <w:rFonts w:hint="eastAsia" w:ascii="仿宋_GB2312" w:hAnsi="仿宋_GB2312" w:eastAsia="仿宋_GB2312" w:cs="仿宋_GB2312"/>
          <w:kern w:val="0"/>
          <w:sz w:val="32"/>
          <w:szCs w:val="32"/>
          <w:lang w:eastAsia="zh-Hans"/>
        </w:rPr>
        <w:t>完成情况分析</w:t>
      </w:r>
    </w:p>
    <w:p w14:paraId="0BF14C99">
      <w:pPr>
        <w:adjustRightInd w:val="0"/>
        <w:snapToGrid w:val="0"/>
        <w:spacing w:line="360" w:lineRule="auto"/>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该项目较好的完成了年初设定的各项数量指标，但数量指标设置合理性不足，细化程度不够，不能充分体现项目实施内容。具体数量指标设定及完成情况如下：</w:t>
      </w:r>
    </w:p>
    <w:p w14:paraId="2D91C8F1">
      <w:pPr>
        <w:jc w:val="center"/>
        <w:rPr>
          <w:rFonts w:ascii="仿宋_GB2312" w:hAnsi="Times New Roman" w:eastAsia="仿宋_GB2312" w:cs="Times New Roman"/>
          <w:b/>
          <w:bCs/>
          <w:kern w:val="44"/>
          <w:sz w:val="28"/>
          <w:szCs w:val="28"/>
        </w:rPr>
      </w:pPr>
      <w:r>
        <w:rPr>
          <w:rFonts w:hint="eastAsia" w:ascii="仿宋_GB2312" w:hAnsi="Times New Roman" w:eastAsia="仿宋_GB2312" w:cs="Times New Roman"/>
          <w:b/>
          <w:bCs/>
          <w:kern w:val="44"/>
          <w:sz w:val="28"/>
          <w:szCs w:val="28"/>
        </w:rPr>
        <w:t>表</w:t>
      </w:r>
      <w:r>
        <w:rPr>
          <w:rFonts w:hint="eastAsia" w:ascii="仿宋_GB2312" w:hAnsi="Times New Roman" w:eastAsia="仿宋_GB2312" w:cs="Times New Roman"/>
          <w:b/>
          <w:bCs/>
          <w:kern w:val="44"/>
          <w:sz w:val="28"/>
          <w:szCs w:val="28"/>
          <w:lang w:val="en-US" w:eastAsia="zh-CN"/>
        </w:rPr>
        <w:t>2</w:t>
      </w:r>
      <w:r>
        <w:rPr>
          <w:rFonts w:hint="eastAsia" w:ascii="仿宋_GB2312" w:hAnsi="Times New Roman" w:eastAsia="仿宋_GB2312" w:cs="Times New Roman"/>
          <w:b/>
          <w:bCs/>
          <w:kern w:val="44"/>
          <w:sz w:val="28"/>
          <w:szCs w:val="28"/>
        </w:rPr>
        <w:t>：项目数量指标情况表</w:t>
      </w:r>
    </w:p>
    <w:tbl>
      <w:tblPr>
        <w:tblStyle w:val="11"/>
        <w:tblW w:w="7523" w:type="dxa"/>
        <w:jc w:val="center"/>
        <w:tblBorders>
          <w:top w:val="single" w:color="auto" w:sz="8" w:space="0"/>
          <w:left w:val="none" w:color="auto" w:sz="0" w:space="0"/>
          <w:bottom w:val="single" w:color="auto" w:sz="8" w:space="0"/>
          <w:right w:val="none" w:color="auto" w:sz="0" w:space="0"/>
          <w:insideH w:val="dotted" w:color="auto" w:sz="4" w:space="0"/>
          <w:insideV w:val="dotted" w:color="auto" w:sz="4" w:space="0"/>
        </w:tblBorders>
        <w:tblLayout w:type="fixed"/>
        <w:tblCellMar>
          <w:top w:w="0" w:type="dxa"/>
          <w:left w:w="108" w:type="dxa"/>
          <w:bottom w:w="0" w:type="dxa"/>
          <w:right w:w="108" w:type="dxa"/>
        </w:tblCellMar>
      </w:tblPr>
      <w:tblGrid>
        <w:gridCol w:w="3041"/>
        <w:gridCol w:w="2355"/>
        <w:gridCol w:w="2127"/>
      </w:tblGrid>
      <w:tr w14:paraId="5244FD6B">
        <w:tblPrEx>
          <w:tblBorders>
            <w:top w:val="single" w:color="auto" w:sz="8" w:space="0"/>
            <w:left w:val="none" w:color="auto" w:sz="0" w:space="0"/>
            <w:bottom w:val="single" w:color="auto" w:sz="8"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90" w:hRule="atLeast"/>
          <w:tblHeader/>
          <w:jc w:val="center"/>
        </w:trPr>
        <w:tc>
          <w:tcPr>
            <w:tcW w:w="3041" w:type="dxa"/>
            <w:shd w:val="clear" w:color="auto" w:fill="auto"/>
            <w:vAlign w:val="center"/>
          </w:tcPr>
          <w:p w14:paraId="7D677950">
            <w:pPr>
              <w:spacing w:line="360" w:lineRule="auto"/>
              <w:jc w:val="center"/>
              <w:rPr>
                <w:rFonts w:ascii="仿宋_GB2312" w:hAnsi="Times New Roman" w:eastAsia="仿宋_GB2312" w:cs="Times New Roman"/>
                <w:b/>
                <w:bCs/>
                <w:kern w:val="0"/>
                <w:sz w:val="24"/>
              </w:rPr>
            </w:pPr>
            <w:r>
              <w:rPr>
                <w:rFonts w:hint="eastAsia" w:ascii="仿宋_GB2312" w:hAnsi="Times New Roman" w:eastAsia="仿宋_GB2312" w:cs="Times New Roman"/>
                <w:b/>
                <w:bCs/>
                <w:kern w:val="0"/>
                <w:sz w:val="24"/>
              </w:rPr>
              <w:t>工作内容</w:t>
            </w:r>
          </w:p>
        </w:tc>
        <w:tc>
          <w:tcPr>
            <w:tcW w:w="2355" w:type="dxa"/>
            <w:shd w:val="clear" w:color="auto" w:fill="auto"/>
            <w:vAlign w:val="center"/>
          </w:tcPr>
          <w:p w14:paraId="5482B7FA">
            <w:pPr>
              <w:spacing w:line="360" w:lineRule="auto"/>
              <w:jc w:val="center"/>
              <w:rPr>
                <w:rFonts w:ascii="仿宋_GB2312" w:hAnsi="Times New Roman" w:eastAsia="仿宋_GB2312" w:cs="Times New Roman"/>
                <w:b/>
                <w:bCs/>
                <w:kern w:val="0"/>
                <w:sz w:val="24"/>
              </w:rPr>
            </w:pPr>
            <w:r>
              <w:rPr>
                <w:rFonts w:hint="eastAsia" w:ascii="仿宋_GB2312" w:hAnsi="Times New Roman" w:eastAsia="仿宋_GB2312" w:cs="Times New Roman"/>
                <w:b/>
                <w:bCs/>
                <w:kern w:val="0"/>
                <w:sz w:val="24"/>
              </w:rPr>
              <w:t>计划数量</w:t>
            </w:r>
          </w:p>
        </w:tc>
        <w:tc>
          <w:tcPr>
            <w:tcW w:w="2127" w:type="dxa"/>
            <w:shd w:val="clear" w:color="auto" w:fill="auto"/>
            <w:vAlign w:val="center"/>
          </w:tcPr>
          <w:p w14:paraId="497E3A10">
            <w:pPr>
              <w:spacing w:line="360" w:lineRule="auto"/>
              <w:jc w:val="center"/>
              <w:rPr>
                <w:rFonts w:ascii="仿宋_GB2312" w:hAnsi="Times New Roman" w:eastAsia="仿宋_GB2312" w:cs="Times New Roman"/>
                <w:b/>
                <w:bCs/>
                <w:kern w:val="0"/>
                <w:sz w:val="24"/>
              </w:rPr>
            </w:pPr>
            <w:r>
              <w:rPr>
                <w:rFonts w:hint="eastAsia" w:ascii="仿宋_GB2312" w:hAnsi="Times New Roman" w:eastAsia="仿宋_GB2312" w:cs="Times New Roman"/>
                <w:b/>
                <w:bCs/>
                <w:kern w:val="0"/>
                <w:sz w:val="24"/>
              </w:rPr>
              <w:t>实际完成</w:t>
            </w:r>
          </w:p>
        </w:tc>
      </w:tr>
      <w:tr w14:paraId="0ACEBF67">
        <w:tblPrEx>
          <w:tblBorders>
            <w:top w:val="single" w:color="auto" w:sz="8" w:space="0"/>
            <w:left w:val="none" w:color="auto" w:sz="0" w:space="0"/>
            <w:bottom w:val="single" w:color="auto" w:sz="8"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593" w:hRule="atLeast"/>
          <w:jc w:val="center"/>
        </w:trPr>
        <w:tc>
          <w:tcPr>
            <w:tcW w:w="3041" w:type="dxa"/>
            <w:shd w:val="clear" w:color="auto" w:fill="auto"/>
            <w:vAlign w:val="center"/>
          </w:tcPr>
          <w:p w14:paraId="158B020C">
            <w:pPr>
              <w:spacing w:line="360" w:lineRule="auto"/>
              <w:jc w:val="center"/>
              <w:rPr>
                <w:rFonts w:ascii="仿宋_GB2312" w:hAnsi="Times New Roman" w:eastAsia="仿宋_GB2312" w:cs="Times New Roman"/>
                <w:kern w:val="0"/>
                <w:szCs w:val="21"/>
              </w:rPr>
            </w:pPr>
            <w:r>
              <w:rPr>
                <w:rFonts w:hint="eastAsia" w:ascii="仿宋_GB2312" w:hAnsi="Times New Roman" w:eastAsia="仿宋_GB2312" w:cs="Times New Roman"/>
                <w:kern w:val="0"/>
                <w:szCs w:val="21"/>
              </w:rPr>
              <w:t>演出场次</w:t>
            </w:r>
          </w:p>
        </w:tc>
        <w:tc>
          <w:tcPr>
            <w:tcW w:w="2355" w:type="dxa"/>
            <w:shd w:val="clear" w:color="auto" w:fill="auto"/>
            <w:vAlign w:val="center"/>
          </w:tcPr>
          <w:p w14:paraId="6388DCEA">
            <w:pPr>
              <w:spacing w:line="360" w:lineRule="auto"/>
              <w:jc w:val="center"/>
              <w:rPr>
                <w:rFonts w:ascii="仿宋_GB2312" w:hAnsi="Times New Roman" w:eastAsia="仿宋_GB2312" w:cs="Times New Roman"/>
                <w:kern w:val="0"/>
                <w:szCs w:val="21"/>
              </w:rPr>
            </w:pPr>
            <w:r>
              <w:rPr>
                <w:rFonts w:hint="eastAsia" w:ascii="仿宋_GB2312" w:hAnsi="Times New Roman" w:eastAsia="仿宋_GB2312" w:cs="Times New Roman"/>
                <w:kern w:val="0"/>
                <w:szCs w:val="21"/>
              </w:rPr>
              <w:t>2场</w:t>
            </w:r>
          </w:p>
        </w:tc>
        <w:tc>
          <w:tcPr>
            <w:tcW w:w="2127" w:type="dxa"/>
            <w:shd w:val="clear" w:color="auto" w:fill="auto"/>
            <w:vAlign w:val="center"/>
          </w:tcPr>
          <w:p w14:paraId="6D9E71D0">
            <w:pPr>
              <w:spacing w:line="360" w:lineRule="auto"/>
              <w:jc w:val="center"/>
              <w:rPr>
                <w:rFonts w:ascii="仿宋_GB2312" w:hAnsi="Times New Roman" w:eastAsia="仿宋_GB2312" w:cs="Times New Roman"/>
                <w:kern w:val="0"/>
                <w:szCs w:val="21"/>
              </w:rPr>
            </w:pPr>
            <w:r>
              <w:rPr>
                <w:rFonts w:hint="eastAsia" w:ascii="仿宋_GB2312" w:hAnsi="Times New Roman" w:eastAsia="仿宋_GB2312" w:cs="Times New Roman"/>
                <w:kern w:val="0"/>
                <w:szCs w:val="21"/>
              </w:rPr>
              <w:t>2场</w:t>
            </w:r>
          </w:p>
        </w:tc>
      </w:tr>
      <w:tr w14:paraId="24276372">
        <w:tblPrEx>
          <w:tblBorders>
            <w:top w:val="single" w:color="auto" w:sz="8" w:space="0"/>
            <w:left w:val="none" w:color="auto" w:sz="0" w:space="0"/>
            <w:bottom w:val="single" w:color="auto" w:sz="8" w:space="0"/>
            <w:right w:val="none" w:color="auto" w:sz="0" w:space="0"/>
            <w:insideH w:val="dotted" w:color="auto" w:sz="4" w:space="0"/>
            <w:insideV w:val="dotted" w:color="auto" w:sz="4" w:space="0"/>
          </w:tblBorders>
          <w:tblCellMar>
            <w:top w:w="0" w:type="dxa"/>
            <w:left w:w="108" w:type="dxa"/>
            <w:bottom w:w="0" w:type="dxa"/>
            <w:right w:w="108" w:type="dxa"/>
          </w:tblCellMar>
        </w:tblPrEx>
        <w:trPr>
          <w:trHeight w:val="619" w:hRule="atLeast"/>
          <w:jc w:val="center"/>
        </w:trPr>
        <w:tc>
          <w:tcPr>
            <w:tcW w:w="3041" w:type="dxa"/>
            <w:shd w:val="clear" w:color="auto" w:fill="auto"/>
            <w:vAlign w:val="center"/>
          </w:tcPr>
          <w:p w14:paraId="35468FC9">
            <w:pPr>
              <w:spacing w:line="360" w:lineRule="auto"/>
              <w:jc w:val="center"/>
              <w:rPr>
                <w:rFonts w:ascii="仿宋_GB2312" w:hAnsi="Times New Roman" w:eastAsia="仿宋_GB2312" w:cs="Times New Roman"/>
                <w:kern w:val="0"/>
                <w:szCs w:val="21"/>
              </w:rPr>
            </w:pPr>
            <w:r>
              <w:rPr>
                <w:rFonts w:hint="eastAsia" w:ascii="仿宋_GB2312" w:hAnsi="Times New Roman" w:eastAsia="仿宋_GB2312" w:cs="Times New Roman"/>
                <w:kern w:val="0"/>
                <w:szCs w:val="21"/>
              </w:rPr>
              <w:t>邀请节目</w:t>
            </w:r>
          </w:p>
        </w:tc>
        <w:tc>
          <w:tcPr>
            <w:tcW w:w="2355" w:type="dxa"/>
            <w:shd w:val="clear" w:color="auto" w:fill="auto"/>
            <w:vAlign w:val="center"/>
          </w:tcPr>
          <w:p w14:paraId="31F51029">
            <w:pPr>
              <w:spacing w:line="360" w:lineRule="auto"/>
              <w:jc w:val="center"/>
              <w:rPr>
                <w:rFonts w:ascii="仿宋_GB2312" w:hAnsi="Times New Roman" w:eastAsia="仿宋_GB2312" w:cs="Times New Roman"/>
                <w:kern w:val="0"/>
                <w:szCs w:val="21"/>
              </w:rPr>
            </w:pPr>
            <w:r>
              <w:rPr>
                <w:rFonts w:hint="eastAsia" w:ascii="仿宋_GB2312" w:hAnsi="Times New Roman" w:eastAsia="仿宋_GB2312" w:cs="Times New Roman"/>
                <w:kern w:val="0"/>
                <w:szCs w:val="21"/>
              </w:rPr>
              <w:t>6个</w:t>
            </w:r>
          </w:p>
        </w:tc>
        <w:tc>
          <w:tcPr>
            <w:tcW w:w="2127" w:type="dxa"/>
            <w:shd w:val="clear" w:color="auto" w:fill="auto"/>
            <w:vAlign w:val="center"/>
          </w:tcPr>
          <w:p w14:paraId="794678E1">
            <w:pPr>
              <w:spacing w:line="360" w:lineRule="auto"/>
              <w:jc w:val="center"/>
              <w:rPr>
                <w:rFonts w:ascii="仿宋_GB2312" w:hAnsi="Times New Roman" w:eastAsia="仿宋_GB2312" w:cs="Times New Roman"/>
                <w:kern w:val="0"/>
                <w:szCs w:val="21"/>
              </w:rPr>
            </w:pPr>
            <w:r>
              <w:rPr>
                <w:rFonts w:hint="eastAsia" w:ascii="仿宋_GB2312" w:hAnsi="Times New Roman" w:eastAsia="仿宋_GB2312" w:cs="Times New Roman"/>
                <w:kern w:val="0"/>
                <w:szCs w:val="21"/>
              </w:rPr>
              <w:t>17个</w:t>
            </w:r>
          </w:p>
        </w:tc>
      </w:tr>
    </w:tbl>
    <w:p w14:paraId="4A14AF3B">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2.产出质量</w:t>
      </w:r>
      <w:r>
        <w:rPr>
          <w:rFonts w:hint="eastAsia" w:ascii="仿宋_GB2312" w:hAnsi="仿宋_GB2312" w:eastAsia="仿宋_GB2312" w:cs="仿宋_GB2312"/>
          <w:kern w:val="0"/>
          <w:sz w:val="32"/>
          <w:szCs w:val="32"/>
          <w:lang w:eastAsia="zh-Hans"/>
        </w:rPr>
        <w:t>完成情况分析</w:t>
      </w:r>
    </w:p>
    <w:p w14:paraId="5C35F79B">
      <w:pPr>
        <w:pStyle w:val="6"/>
        <w:adjustRightInd w:val="0"/>
        <w:snapToGrid w:val="0"/>
        <w:spacing w:line="360" w:lineRule="auto"/>
        <w:ind w:firstLine="640" w:firstLineChars="200"/>
        <w:rPr>
          <w:rFonts w:hint="eastAsia" w:ascii="仿宋_GB2312" w:hAnsi="仿宋_GB2312" w:eastAsia="仿宋_GB2312" w:cs="仿宋_GB2312"/>
          <w:sz w:val="32"/>
          <w:szCs w:val="32"/>
          <w:lang w:eastAsia="zh-CN"/>
        </w:rPr>
      </w:pPr>
      <w:bookmarkStart w:id="16" w:name="_Hlk171869405"/>
      <w:r>
        <w:rPr>
          <w:rFonts w:hint="eastAsia" w:ascii="仿宋_GB2312" w:hAnsi="仿宋_GB2312" w:eastAsia="仿宋_GB2312" w:cs="仿宋_GB2312"/>
          <w:sz w:val="32"/>
          <w:szCs w:val="32"/>
        </w:rPr>
        <w:t>该项目质量指标为：“安全事故发生次数</w:t>
      </w:r>
      <w:r>
        <w:rPr>
          <w:rFonts w:hint="eastAsia"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rPr>
        <w:t>1次”，实际完成未发生安全事故。但该项目内容设计围绕北京大学生魔术大会活动这一主题的针对性不强，设置不全面，未完整的体现与北京大学生这一主体的紧密性</w:t>
      </w:r>
      <w:r>
        <w:rPr>
          <w:rFonts w:hint="eastAsia" w:ascii="仿宋_GB2312" w:hAnsi="仿宋_GB2312" w:eastAsia="仿宋_GB2312" w:cs="仿宋_GB2312"/>
          <w:sz w:val="32"/>
          <w:szCs w:val="32"/>
          <w:lang w:eastAsia="zh-CN"/>
        </w:rPr>
        <w:t>。</w:t>
      </w:r>
    </w:p>
    <w:bookmarkEnd w:id="16"/>
    <w:p w14:paraId="1545FD11">
      <w:pPr>
        <w:adjustRightInd w:val="0"/>
        <w:snapToGrid w:val="0"/>
        <w:spacing w:line="360" w:lineRule="auto"/>
        <w:ind w:firstLine="640" w:firstLineChars="200"/>
        <w:outlineLvl w:val="2"/>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3.产出成本控制</w:t>
      </w:r>
      <w:r>
        <w:rPr>
          <w:rFonts w:hint="eastAsia" w:ascii="仿宋_GB2312" w:hAnsi="仿宋_GB2312" w:eastAsia="仿宋_GB2312" w:cs="仿宋_GB2312"/>
          <w:kern w:val="0"/>
          <w:sz w:val="32"/>
          <w:szCs w:val="32"/>
          <w:lang w:eastAsia="zh-Hans"/>
        </w:rPr>
        <w:t>情况分析</w:t>
      </w:r>
    </w:p>
    <w:p w14:paraId="4A0253F9">
      <w:pPr>
        <w:pStyle w:val="14"/>
        <w:adjustRightInd w:val="0"/>
        <w:snapToGrid w:val="0"/>
        <w:ind w:firstLine="640"/>
        <w:rPr>
          <w:rFonts w:ascii="仿宋_GB2312" w:hAnsi="仿宋_GB2312" w:cs="仿宋_GB2312"/>
          <w:sz w:val="32"/>
          <w:szCs w:val="32"/>
          <w:lang w:eastAsia="zh-Hans"/>
        </w:rPr>
      </w:pPr>
      <w:r>
        <w:rPr>
          <w:rFonts w:hint="eastAsia" w:ascii="仿宋_GB2312" w:hAnsi="仿宋_GB2312" w:cs="仿宋_GB2312"/>
          <w:sz w:val="32"/>
          <w:szCs w:val="32"/>
          <w:lang w:eastAsia="zh-Hans"/>
        </w:rPr>
        <w:t>在成本控制方面，通过聘请第三方机构开展预算评审</w:t>
      </w:r>
      <w:r>
        <w:rPr>
          <w:rFonts w:hint="eastAsia" w:ascii="仿宋_GB2312" w:hAnsi="仿宋_GB2312" w:cs="仿宋_GB2312"/>
          <w:sz w:val="32"/>
          <w:szCs w:val="32"/>
        </w:rPr>
        <w:t>的</w:t>
      </w:r>
      <w:r>
        <w:rPr>
          <w:rFonts w:hint="eastAsia" w:ascii="仿宋_GB2312" w:hAnsi="仿宋_GB2312" w:cs="仿宋_GB2312"/>
          <w:sz w:val="32"/>
          <w:szCs w:val="32"/>
          <w:lang w:eastAsia="zh-Hans"/>
        </w:rPr>
        <w:t>方式控制项目</w:t>
      </w:r>
      <w:r>
        <w:rPr>
          <w:rFonts w:hint="eastAsia" w:ascii="仿宋_GB2312" w:hAnsi="仿宋_GB2312" w:cs="仿宋_GB2312"/>
          <w:sz w:val="32"/>
          <w:szCs w:val="32"/>
        </w:rPr>
        <w:t>预算</w:t>
      </w:r>
      <w:r>
        <w:rPr>
          <w:rFonts w:hint="eastAsia" w:ascii="仿宋_GB2312" w:hAnsi="仿宋_GB2312" w:cs="仿宋_GB2312"/>
          <w:sz w:val="32"/>
          <w:szCs w:val="32"/>
          <w:lang w:eastAsia="zh-Hans"/>
        </w:rPr>
        <w:t>，</w:t>
      </w:r>
      <w:r>
        <w:rPr>
          <w:rFonts w:hint="eastAsia" w:ascii="仿宋_GB2312" w:hAnsi="仿宋_GB2312" w:cs="仿宋_GB2312"/>
          <w:sz w:val="32"/>
          <w:szCs w:val="32"/>
        </w:rPr>
        <w:t>保障预算编制的合理性，在项目执行阶段，采用竞争性磋商方式</w:t>
      </w:r>
      <w:r>
        <w:rPr>
          <w:rFonts w:hint="eastAsia" w:ascii="仿宋_GB2312" w:hAnsi="仿宋_GB2312" w:cs="仿宋_GB2312"/>
          <w:sz w:val="32"/>
          <w:szCs w:val="32"/>
          <w:lang w:eastAsia="zh-Hans"/>
        </w:rPr>
        <w:t>节约项目资金。</w:t>
      </w:r>
    </w:p>
    <w:p w14:paraId="29FB8533">
      <w:pPr>
        <w:pStyle w:val="14"/>
        <w:adjustRightInd w:val="0"/>
        <w:snapToGrid w:val="0"/>
        <w:ind w:firstLine="640"/>
        <w:rPr>
          <w:rFonts w:ascii="仿宋_GB2312" w:hAnsi="仿宋_GB2312" w:cs="仿宋_GB2312"/>
          <w:sz w:val="32"/>
          <w:szCs w:val="32"/>
        </w:rPr>
      </w:pPr>
      <w:r>
        <w:rPr>
          <w:rFonts w:hint="eastAsia" w:ascii="仿宋_GB2312" w:hAnsi="仿宋_GB2312" w:cs="仿宋_GB2312"/>
          <w:sz w:val="32"/>
          <w:szCs w:val="32"/>
        </w:rPr>
        <w:t>综上所述，该项目成本控制措施有效，项目总体成本控制情况较好。</w:t>
      </w:r>
    </w:p>
    <w:p w14:paraId="432DF3B3">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17" w:name="_Toc29976"/>
      <w:r>
        <w:rPr>
          <w:rFonts w:hint="eastAsia" w:ascii="仿宋_GB2312" w:hAnsi="仿宋_GB2312" w:eastAsia="仿宋_GB2312" w:cs="仿宋_GB2312"/>
          <w:b/>
          <w:bCs/>
          <w:kern w:val="0"/>
          <w:sz w:val="32"/>
          <w:szCs w:val="32"/>
        </w:rPr>
        <w:t>（四）项目效益情况</w:t>
      </w:r>
      <w:bookmarkEnd w:id="17"/>
    </w:p>
    <w:p w14:paraId="058AB217">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rPr>
        <w:t>1.</w:t>
      </w:r>
      <w:r>
        <w:rPr>
          <w:rFonts w:hint="eastAsia" w:ascii="仿宋_GB2312" w:hAnsi="仿宋_GB2312" w:eastAsia="仿宋_GB2312" w:cs="仿宋_GB2312"/>
          <w:kern w:val="0"/>
          <w:sz w:val="32"/>
          <w:szCs w:val="32"/>
          <w:lang w:eastAsia="zh-Hans"/>
        </w:rPr>
        <w:t>社会效益指标的实现情况</w:t>
      </w:r>
    </w:p>
    <w:p w14:paraId="3BC2929E">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该项目年初设定社会效益指标为：“受众人次≥500人次”、“媒体报道≥4家”，实际完成为：受众人次1.36万人次、媒体报道12家。</w:t>
      </w:r>
      <w:r>
        <w:rPr>
          <w:rFonts w:ascii="仿宋_GB2312" w:hAnsi="仿宋_GB2312" w:eastAsia="仿宋_GB2312" w:cs="仿宋_GB2312"/>
          <w:kern w:val="0"/>
          <w:sz w:val="32"/>
          <w:szCs w:val="32"/>
        </w:rPr>
        <w:t>活动期间围绕系列魔术大师课、专题研讨</w:t>
      </w:r>
      <w:r>
        <w:rPr>
          <w:rFonts w:hint="eastAsia" w:ascii="仿宋_GB2312" w:hAnsi="仿宋_GB2312" w:eastAsia="仿宋_GB2312" w:cs="仿宋_GB2312"/>
          <w:kern w:val="0"/>
          <w:sz w:val="32"/>
          <w:szCs w:val="32"/>
        </w:rPr>
        <w:t>会、首都魔术发展成果展等活动，为全国魔术爱好者、从业者提供展示和交流平台，提升青年群体的魔术表演、技巧、理论知识，综合培养大学生魔术人才，打造一场多元开放、文商旅融合的新业态魔术交流大会。</w:t>
      </w:r>
    </w:p>
    <w:p w14:paraId="15E18596">
      <w:pPr>
        <w:adjustRightInd w:val="0"/>
        <w:snapToGrid w:val="0"/>
        <w:spacing w:line="360" w:lineRule="auto"/>
        <w:ind w:firstLine="640" w:firstLineChars="200"/>
        <w:outlineLvl w:val="2"/>
        <w:rPr>
          <w:rFonts w:ascii="仿宋_GB2312" w:hAnsi="仿宋_GB2312" w:eastAsia="仿宋_GB2312" w:cs="仿宋_GB2312"/>
          <w:kern w:val="0"/>
          <w:sz w:val="32"/>
          <w:szCs w:val="32"/>
          <w:lang w:eastAsia="zh-Hans"/>
        </w:rPr>
      </w:pPr>
      <w:r>
        <w:rPr>
          <w:rFonts w:hint="eastAsia" w:ascii="仿宋_GB2312" w:hAnsi="仿宋_GB2312" w:eastAsia="仿宋_GB2312" w:cs="仿宋_GB2312"/>
          <w:kern w:val="0"/>
          <w:sz w:val="32"/>
          <w:szCs w:val="32"/>
        </w:rPr>
        <w:t>2.可持续影响指标</w:t>
      </w:r>
      <w:r>
        <w:rPr>
          <w:rFonts w:hint="eastAsia" w:ascii="仿宋_GB2312" w:hAnsi="仿宋_GB2312" w:eastAsia="仿宋_GB2312" w:cs="仿宋_GB2312"/>
          <w:kern w:val="0"/>
          <w:sz w:val="32"/>
          <w:szCs w:val="32"/>
          <w:lang w:eastAsia="zh-Hans"/>
        </w:rPr>
        <w:t>的实现情况</w:t>
      </w:r>
    </w:p>
    <w:p w14:paraId="43CAE66E">
      <w:pPr>
        <w:adjustRightInd w:val="0"/>
        <w:snapToGrid w:val="0"/>
        <w:spacing w:line="360" w:lineRule="auto"/>
        <w:ind w:firstLine="640" w:firstLineChars="200"/>
        <w:rPr>
          <w:rFonts w:ascii="仿宋_GB2312" w:hAnsi="仿宋_GB2312" w:eastAsia="仿宋_GB2312" w:cs="仿宋_GB2312"/>
          <w:kern w:val="0"/>
          <w:sz w:val="32"/>
          <w:szCs w:val="32"/>
        </w:rPr>
      </w:pPr>
      <w:r>
        <w:rPr>
          <w:rFonts w:hint="eastAsia" w:ascii="仿宋_GB2312" w:hAnsi="宋体" w:eastAsia="仿宋_GB2312" w:cs="Times New Roman"/>
          <w:bCs/>
          <w:sz w:val="32"/>
          <w:szCs w:val="32"/>
        </w:rPr>
        <w:t>该项目</w:t>
      </w:r>
      <w:r>
        <w:rPr>
          <w:rFonts w:ascii="仿宋_GB2312" w:hAnsi="宋体" w:eastAsia="仿宋_GB2312" w:cs="Times New Roman"/>
          <w:bCs/>
          <w:sz w:val="32"/>
          <w:szCs w:val="32"/>
        </w:rPr>
        <w:t>旨在进一步加强</w:t>
      </w:r>
      <w:r>
        <w:rPr>
          <w:rFonts w:hint="eastAsia" w:ascii="仿宋_GB2312" w:hAnsi="宋体" w:eastAsia="仿宋_GB2312" w:cs="Times New Roman"/>
          <w:bCs/>
          <w:sz w:val="32"/>
          <w:szCs w:val="32"/>
        </w:rPr>
        <w:t>魔术</w:t>
      </w:r>
      <w:r>
        <w:rPr>
          <w:rFonts w:ascii="仿宋_GB2312" w:hAnsi="宋体" w:eastAsia="仿宋_GB2312" w:cs="Times New Roman"/>
          <w:bCs/>
          <w:sz w:val="32"/>
          <w:szCs w:val="32"/>
        </w:rPr>
        <w:t>宣传力度，从多个角度持续发力。通过充分利用新媒体资源，拓展文艺作品的影响力，构建一个多维度的宣传内容生产、传播和推广链条，以更好地服务首都人民，促进首都文艺事业的繁荣发展</w:t>
      </w:r>
      <w:r>
        <w:rPr>
          <w:rFonts w:hint="eastAsia" w:ascii="仿宋_GB2312" w:hAnsi="仿宋_GB2312" w:eastAsia="仿宋_GB2312" w:cs="仿宋_GB2312"/>
          <w:kern w:val="0"/>
          <w:sz w:val="32"/>
          <w:szCs w:val="32"/>
        </w:rPr>
        <w:t>。</w:t>
      </w:r>
    </w:p>
    <w:p w14:paraId="1205662D">
      <w:pPr>
        <w:adjustRightInd w:val="0"/>
        <w:snapToGrid w:val="0"/>
        <w:spacing w:line="360" w:lineRule="auto"/>
        <w:ind w:firstLine="640" w:firstLineChars="200"/>
        <w:outlineLvl w:val="0"/>
        <w:rPr>
          <w:rFonts w:ascii="黑体" w:hAnsi="黑体" w:eastAsia="黑体" w:cs="黑体"/>
          <w:bCs/>
          <w:kern w:val="0"/>
          <w:sz w:val="32"/>
          <w:szCs w:val="32"/>
        </w:rPr>
      </w:pPr>
      <w:bookmarkStart w:id="18" w:name="_Toc32255"/>
      <w:r>
        <w:rPr>
          <w:rFonts w:hint="eastAsia" w:ascii="黑体" w:hAnsi="黑体" w:eastAsia="黑体" w:cs="黑体"/>
          <w:bCs/>
          <w:kern w:val="0"/>
          <w:sz w:val="32"/>
          <w:szCs w:val="32"/>
        </w:rPr>
        <w:t>五、主要经验及做法、存在的问题及原因分析</w:t>
      </w:r>
      <w:bookmarkEnd w:id="18"/>
    </w:p>
    <w:p w14:paraId="31A08065">
      <w:p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19" w:name="_Toc21507"/>
      <w:r>
        <w:rPr>
          <w:rFonts w:hint="eastAsia" w:ascii="仿宋_GB2312" w:hAnsi="仿宋_GB2312" w:eastAsia="仿宋_GB2312" w:cs="仿宋_GB2312"/>
          <w:b/>
          <w:bCs/>
          <w:kern w:val="0"/>
          <w:sz w:val="32"/>
          <w:szCs w:val="32"/>
        </w:rPr>
        <w:t>（一）主要经验及做法</w:t>
      </w:r>
      <w:bookmarkEnd w:id="19"/>
    </w:p>
    <w:p w14:paraId="2A07CA7E">
      <w:pPr>
        <w:adjustRightInd w:val="0"/>
        <w:snapToGrid w:val="0"/>
        <w:spacing w:line="360" w:lineRule="auto"/>
        <w:ind w:firstLine="640" w:firstLineChars="200"/>
        <w:rPr>
          <w:rFonts w:ascii="仿宋_GB2312" w:hAnsi="仿宋_GB2312" w:eastAsia="仿宋_GB2312" w:cs="仿宋_GB2312"/>
          <w:kern w:val="0"/>
          <w:sz w:val="32"/>
          <w:szCs w:val="32"/>
        </w:rPr>
      </w:pPr>
      <w:bookmarkStart w:id="20" w:name="_Toc74305490"/>
      <w:r>
        <w:rPr>
          <w:rFonts w:hint="eastAsia" w:ascii="仿宋_GB2312" w:hAnsi="仿宋_GB2312" w:eastAsia="仿宋_GB2312" w:cs="仿宋_GB2312"/>
          <w:kern w:val="0"/>
          <w:sz w:val="32"/>
          <w:szCs w:val="32"/>
        </w:rPr>
        <w:t>项目预算管理方面。项目立项后，委托第三方机构对项目预算进行评审，且采用竞争性磋商方式遴选服务商，一定程度上保障了资金投入的经济性。</w:t>
      </w:r>
      <w:bookmarkEnd w:id="20"/>
    </w:p>
    <w:p w14:paraId="2067A61F">
      <w:pPr>
        <w:numPr>
          <w:ilvl w:val="0"/>
          <w:numId w:val="3"/>
        </w:numPr>
        <w:adjustRightInd w:val="0"/>
        <w:snapToGrid w:val="0"/>
        <w:spacing w:line="360" w:lineRule="auto"/>
        <w:ind w:firstLine="643" w:firstLineChars="200"/>
        <w:outlineLvl w:val="1"/>
        <w:rPr>
          <w:rFonts w:ascii="仿宋_GB2312" w:hAnsi="仿宋_GB2312" w:eastAsia="仿宋_GB2312" w:cs="仿宋_GB2312"/>
          <w:b/>
          <w:bCs/>
          <w:kern w:val="0"/>
          <w:sz w:val="32"/>
          <w:szCs w:val="32"/>
        </w:rPr>
      </w:pPr>
      <w:bookmarkStart w:id="21" w:name="_Toc3778"/>
      <w:r>
        <w:rPr>
          <w:rFonts w:hint="eastAsia" w:ascii="仿宋_GB2312" w:hAnsi="仿宋_GB2312" w:eastAsia="仿宋_GB2312" w:cs="仿宋_GB2312"/>
          <w:b/>
          <w:bCs/>
          <w:kern w:val="0"/>
          <w:sz w:val="32"/>
          <w:szCs w:val="32"/>
        </w:rPr>
        <w:t>存在的问题及原因分析</w:t>
      </w:r>
      <w:bookmarkEnd w:id="21"/>
    </w:p>
    <w:p w14:paraId="05CCDA81">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640" w:firstLineChars="200"/>
        <w:textAlignment w:val="auto"/>
        <w:outlineLvl w:val="0"/>
        <w:rPr>
          <w:rFonts w:ascii="仿宋_GB2312" w:hAnsi="仿宋_GB2312" w:eastAsia="仿宋_GB2312" w:cs="仿宋_GB2312"/>
          <w:kern w:val="0"/>
          <w:sz w:val="32"/>
          <w:szCs w:val="32"/>
        </w:rPr>
      </w:pPr>
      <w:bookmarkStart w:id="22" w:name="_Toc15186"/>
      <w:r>
        <w:rPr>
          <w:rFonts w:hint="eastAsia" w:ascii="Times New Roman" w:hAnsi="Times New Roman" w:eastAsia="仿宋_GB2312" w:cs="Times New Roman"/>
          <w:color w:val="000000"/>
          <w:kern w:val="0"/>
          <w:sz w:val="32"/>
          <w:szCs w:val="32"/>
          <w:highlight w:val="none"/>
          <w:lang w:val="en-US" w:eastAsia="zh-CN"/>
        </w:rPr>
        <w:t>项</w:t>
      </w:r>
      <w:r>
        <w:rPr>
          <w:rFonts w:hint="default" w:ascii="Times New Roman" w:hAnsi="Times New Roman" w:eastAsia="仿宋_GB2312" w:cs="Times New Roman"/>
          <w:color w:val="000000"/>
          <w:kern w:val="0"/>
          <w:sz w:val="32"/>
          <w:szCs w:val="32"/>
          <w:highlight w:val="none"/>
          <w:lang w:val="en-US" w:eastAsia="zh-CN"/>
        </w:rPr>
        <w:t>目管理中，一些环节仍有进一步提升的空间。例如，</w:t>
      </w:r>
      <w:r>
        <w:rPr>
          <w:rFonts w:hint="eastAsia" w:ascii="Times New Roman" w:hAnsi="Times New Roman" w:eastAsia="仿宋_GB2312" w:cs="Times New Roman"/>
          <w:color w:val="000000"/>
          <w:kern w:val="0"/>
          <w:sz w:val="32"/>
          <w:szCs w:val="32"/>
          <w:highlight w:val="none"/>
          <w:lang w:val="en-US" w:eastAsia="zh-CN"/>
        </w:rPr>
        <w:t>项目实施方案略有不足，具体表现在项目长期规划可更明确，项目过程监管可更细致；</w:t>
      </w:r>
      <w:r>
        <w:rPr>
          <w:rFonts w:hint="default" w:ascii="Times New Roman" w:hAnsi="Times New Roman" w:eastAsia="仿宋_GB2312" w:cs="Times New Roman"/>
          <w:color w:val="000000"/>
          <w:kern w:val="0"/>
          <w:sz w:val="32"/>
          <w:szCs w:val="32"/>
          <w:highlight w:val="none"/>
          <w:lang w:val="en-US" w:eastAsia="zh-CN"/>
        </w:rPr>
        <w:t>项目绩效目标的设定</w:t>
      </w:r>
      <w:r>
        <w:rPr>
          <w:rFonts w:hint="eastAsia" w:ascii="Times New Roman" w:hAnsi="Times New Roman" w:eastAsia="仿宋_GB2312" w:cs="Times New Roman"/>
          <w:color w:val="000000"/>
          <w:kern w:val="0"/>
          <w:sz w:val="32"/>
          <w:szCs w:val="32"/>
          <w:highlight w:val="none"/>
          <w:lang w:val="en-US" w:eastAsia="zh-CN"/>
        </w:rPr>
        <w:t>存在</w:t>
      </w:r>
      <w:r>
        <w:rPr>
          <w:rFonts w:hint="default" w:ascii="Times New Roman" w:hAnsi="Times New Roman" w:eastAsia="仿宋_GB2312" w:cs="Times New Roman"/>
          <w:color w:val="000000"/>
          <w:kern w:val="0"/>
          <w:sz w:val="32"/>
          <w:szCs w:val="32"/>
          <w:highlight w:val="none"/>
          <w:lang w:val="en-US" w:eastAsia="zh-CN"/>
        </w:rPr>
        <w:t>细化空间，具体表现在</w:t>
      </w:r>
      <w:r>
        <w:rPr>
          <w:rFonts w:hint="eastAsia" w:ascii="Times New Roman" w:hAnsi="Times New Roman" w:eastAsia="仿宋_GB2312" w:cs="Times New Roman"/>
          <w:color w:val="000000"/>
          <w:kern w:val="0"/>
          <w:sz w:val="32"/>
          <w:szCs w:val="32"/>
          <w:highlight w:val="none"/>
          <w:lang w:val="en-US" w:eastAsia="zh-CN"/>
        </w:rPr>
        <w:t>数量</w:t>
      </w:r>
      <w:r>
        <w:rPr>
          <w:rFonts w:hint="default" w:ascii="Times New Roman" w:hAnsi="Times New Roman" w:eastAsia="仿宋_GB2312" w:cs="Times New Roman"/>
          <w:color w:val="000000"/>
          <w:kern w:val="0"/>
          <w:sz w:val="32"/>
          <w:szCs w:val="32"/>
          <w:highlight w:val="none"/>
          <w:lang w:val="en-US" w:eastAsia="zh-CN"/>
        </w:rPr>
        <w:t>指标可更</w:t>
      </w:r>
      <w:r>
        <w:rPr>
          <w:rFonts w:hint="eastAsia" w:ascii="Times New Roman" w:hAnsi="Times New Roman" w:eastAsia="仿宋_GB2312" w:cs="Times New Roman"/>
          <w:color w:val="000000"/>
          <w:kern w:val="0"/>
          <w:sz w:val="32"/>
          <w:szCs w:val="32"/>
          <w:highlight w:val="none"/>
          <w:lang w:val="en-US" w:eastAsia="zh-CN"/>
        </w:rPr>
        <w:t>具体、质量指标可更</w:t>
      </w:r>
      <w:r>
        <w:rPr>
          <w:rFonts w:hint="default" w:ascii="Times New Roman" w:hAnsi="Times New Roman" w:eastAsia="仿宋_GB2312" w:cs="Times New Roman"/>
          <w:color w:val="000000"/>
          <w:kern w:val="0"/>
          <w:sz w:val="32"/>
          <w:szCs w:val="32"/>
          <w:highlight w:val="none"/>
          <w:lang w:val="en-US" w:eastAsia="zh-CN"/>
        </w:rPr>
        <w:t>明确</w:t>
      </w:r>
      <w:r>
        <w:rPr>
          <w:rFonts w:hint="eastAsia" w:ascii="Times New Roman" w:hAnsi="Times New Roman" w:eastAsia="仿宋_GB2312" w:cs="Times New Roman"/>
          <w:color w:val="000000"/>
          <w:kern w:val="0"/>
          <w:sz w:val="32"/>
          <w:szCs w:val="32"/>
          <w:highlight w:val="none"/>
          <w:lang w:val="en-US" w:eastAsia="zh-CN"/>
        </w:rPr>
        <w:t>，</w:t>
      </w:r>
      <w:r>
        <w:rPr>
          <w:rFonts w:hint="default" w:ascii="Times New Roman" w:hAnsi="Times New Roman" w:eastAsia="仿宋_GB2312" w:cs="Times New Roman"/>
          <w:color w:val="000000"/>
          <w:kern w:val="0"/>
          <w:sz w:val="32"/>
          <w:szCs w:val="32"/>
          <w:highlight w:val="none"/>
          <w:lang w:val="en-US" w:eastAsia="zh-CN"/>
        </w:rPr>
        <w:t>可持续影响指标可更全面体现长期效果，服务对象可更精准定位，并可考虑引入公众满意度指标。</w:t>
      </w:r>
    </w:p>
    <w:p w14:paraId="06FE5653">
      <w:pPr>
        <w:adjustRightInd w:val="0"/>
        <w:snapToGrid w:val="0"/>
        <w:spacing w:line="360" w:lineRule="auto"/>
        <w:ind w:firstLine="640" w:firstLineChars="200"/>
        <w:outlineLvl w:val="0"/>
        <w:rPr>
          <w:rFonts w:ascii="黑体" w:hAnsi="黑体" w:eastAsia="黑体" w:cs="黑体"/>
          <w:bCs/>
          <w:kern w:val="0"/>
          <w:sz w:val="32"/>
          <w:szCs w:val="32"/>
        </w:rPr>
      </w:pPr>
      <w:r>
        <w:rPr>
          <w:rFonts w:hint="eastAsia" w:ascii="黑体" w:hAnsi="黑体" w:eastAsia="黑体" w:cs="黑体"/>
          <w:bCs/>
          <w:kern w:val="0"/>
          <w:sz w:val="32"/>
          <w:szCs w:val="32"/>
        </w:rPr>
        <w:t>六、有关建议</w:t>
      </w:r>
      <w:bookmarkEnd w:id="22"/>
    </w:p>
    <w:p w14:paraId="7BF35608">
      <w:pPr>
        <w:adjustRightInd w:val="0"/>
        <w:snapToGrid w:val="0"/>
        <w:spacing w:line="360" w:lineRule="auto"/>
        <w:ind w:firstLine="640" w:firstLineChars="200"/>
        <w:rPr>
          <w:rFonts w:hint="eastAsia"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为进一步提高项目管理质量，推动项目高质量发展，建议从以下几个方面予以改进：一是完善项目决策与预算机制，优化资金支付及绩效目标设定流程，提升预算科学性和目标合理性；二是强化过程管控，规范组织实施，确保各项职责落实到位；三是增强项目前瞻性评估机制，系统补充和完善项目中长期发展规划内容，确保项目在政策衔接、资源匹配和可持续发展方面具备更强的科学性和适应性。</w:t>
      </w:r>
      <w:r>
        <w:rPr>
          <w:rFonts w:hint="eastAsia" w:ascii="仿宋_GB2312" w:hAnsi="仿宋_GB2312" w:eastAsia="仿宋_GB2312" w:cs="仿宋_GB2312"/>
          <w:kern w:val="0"/>
          <w:sz w:val="32"/>
          <w:szCs w:val="32"/>
          <w:lang w:val="en-US" w:eastAsia="zh-CN"/>
        </w:rPr>
        <w:t>四是</w:t>
      </w:r>
      <w:r>
        <w:rPr>
          <w:rFonts w:hint="eastAsia" w:ascii="仿宋_GB2312" w:hAnsi="仿宋_GB2312" w:eastAsia="仿宋_GB2312" w:cs="仿宋_GB2312"/>
          <w:kern w:val="0"/>
          <w:sz w:val="32"/>
          <w:szCs w:val="32"/>
        </w:rPr>
        <w:t>健全项目管理制度及实施方案，推动项目管理向精细化、规范化方向发展。</w:t>
      </w:r>
    </w:p>
    <w:p w14:paraId="4DC3CC7B">
      <w:pPr>
        <w:adjustRightInd w:val="0"/>
        <w:snapToGrid w:val="0"/>
        <w:spacing w:line="360" w:lineRule="auto"/>
        <w:ind w:firstLine="640" w:firstLineChars="200"/>
        <w:outlineLvl w:val="0"/>
        <w:rPr>
          <w:rFonts w:ascii="黑体" w:hAnsi="黑体" w:eastAsia="黑体" w:cs="黑体"/>
          <w:bCs/>
          <w:kern w:val="0"/>
          <w:sz w:val="32"/>
          <w:szCs w:val="32"/>
        </w:rPr>
      </w:pPr>
      <w:bookmarkStart w:id="23" w:name="_Toc3673"/>
      <w:r>
        <w:rPr>
          <w:rFonts w:hint="eastAsia" w:ascii="黑体" w:hAnsi="黑体" w:eastAsia="黑体" w:cs="黑体"/>
          <w:bCs/>
          <w:kern w:val="0"/>
          <w:sz w:val="32"/>
          <w:szCs w:val="32"/>
        </w:rPr>
        <w:t>七、其他需要说明的问题</w:t>
      </w:r>
      <w:bookmarkEnd w:id="23"/>
    </w:p>
    <w:p w14:paraId="675F5C66">
      <w:pPr>
        <w:pStyle w:val="6"/>
        <w:ind w:firstLine="645"/>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无。</w:t>
      </w:r>
    </w:p>
    <w:p w14:paraId="21CDC97A">
      <w:pPr>
        <w:pStyle w:val="6"/>
        <w:ind w:firstLine="645"/>
        <w:rPr>
          <w:rFonts w:ascii="仿宋_GB2312" w:hAnsi="仿宋_GB2312" w:eastAsia="仿宋_GB2312" w:cs="仿宋_GB2312"/>
          <w:kern w:val="0"/>
          <w:sz w:val="32"/>
          <w:szCs w:val="32"/>
        </w:rPr>
      </w:pPr>
    </w:p>
    <w:p w14:paraId="42FF4D7A">
      <w:pPr>
        <w:pStyle w:val="6"/>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附件：</w:t>
      </w:r>
    </w:p>
    <w:p w14:paraId="0E911790">
      <w:pPr>
        <w:pStyle w:val="6"/>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lang w:val="en-US" w:eastAsia="zh-CN"/>
        </w:rPr>
        <w:t>1</w:t>
      </w:r>
      <w:r>
        <w:rPr>
          <w:rFonts w:hint="eastAsia" w:ascii="仿宋_GB2312" w:hAnsi="仿宋_GB2312" w:eastAsia="仿宋_GB2312" w:cs="仿宋_GB2312"/>
          <w:kern w:val="0"/>
          <w:sz w:val="32"/>
          <w:szCs w:val="32"/>
        </w:rPr>
        <w:t>.项目支出绩效评价专家评分表</w:t>
      </w:r>
    </w:p>
    <w:p w14:paraId="5754471E">
      <w:pPr>
        <w:pStyle w:val="6"/>
        <w:rPr>
          <w:rFonts w:ascii="仿宋_GB2312" w:hAnsi="仿宋_GB2312" w:eastAsia="仿宋_GB2312" w:cs="仿宋_GB2312"/>
          <w:kern w:val="0"/>
          <w:sz w:val="32"/>
          <w:szCs w:val="32"/>
        </w:rPr>
      </w:pPr>
    </w:p>
    <w:p w14:paraId="06DB2652">
      <w:pPr>
        <w:widowControl/>
        <w:ind w:firstLine="640" w:firstLineChars="200"/>
        <w:jc w:val="left"/>
        <w:rPr>
          <w:rFonts w:ascii="仿宋_GB2312" w:hAnsi="仿宋_GB2312" w:eastAsia="仿宋_GB2312" w:cs="仿宋_GB2312"/>
          <w:kern w:val="0"/>
          <w:sz w:val="32"/>
          <w:szCs w:val="32"/>
        </w:rPr>
      </w:pPr>
      <w:r>
        <w:rPr>
          <w:rFonts w:ascii="仿宋_GB2312" w:hAnsi="仿宋_GB2312" w:eastAsia="仿宋_GB2312" w:cs="仿宋_GB2312"/>
          <w:kern w:val="0"/>
          <w:sz w:val="32"/>
          <w:szCs w:val="32"/>
        </w:rPr>
        <w:br w:type="page"/>
      </w:r>
    </w:p>
    <w:p w14:paraId="6F5EF3B1">
      <w:pPr>
        <w:sectPr>
          <w:footerReference r:id="rId3" w:type="default"/>
          <w:pgSz w:w="11906" w:h="16838"/>
          <w:pgMar w:top="1440" w:right="1800" w:bottom="1440" w:left="1800" w:header="851" w:footer="992" w:gutter="0"/>
          <w:pgNumType w:start="1"/>
          <w:cols w:space="425" w:num="1"/>
          <w:docGrid w:type="lines" w:linePitch="312" w:charSpace="0"/>
        </w:sectPr>
      </w:pPr>
    </w:p>
    <w:p w14:paraId="6E7F5CE6">
      <w:pPr>
        <w:pStyle w:val="6"/>
        <w:rPr>
          <w:rFonts w:ascii="仿宋_GB2312" w:hAnsi="宋体" w:eastAsia="仿宋_GB2312"/>
          <w:bCs/>
          <w:sz w:val="32"/>
          <w:szCs w:val="32"/>
        </w:rPr>
      </w:pPr>
      <w:r>
        <w:rPr>
          <w:rFonts w:hint="eastAsia" w:ascii="仿宋_GB2312" w:hAnsi="宋体" w:eastAsia="仿宋_GB2312"/>
          <w:bCs/>
          <w:sz w:val="32"/>
          <w:szCs w:val="32"/>
        </w:rPr>
        <w:t>附件</w:t>
      </w:r>
      <w:r>
        <w:rPr>
          <w:rFonts w:hint="eastAsia" w:ascii="仿宋_GB2312" w:hAnsi="宋体" w:eastAsia="仿宋_GB2312"/>
          <w:bCs/>
          <w:sz w:val="32"/>
          <w:szCs w:val="32"/>
          <w:lang w:val="en-US" w:eastAsia="zh-CN"/>
        </w:rPr>
        <w:t>1</w:t>
      </w:r>
      <w:r>
        <w:rPr>
          <w:rFonts w:hint="eastAsia" w:ascii="仿宋_GB2312" w:hAnsi="宋体" w:eastAsia="仿宋_GB2312"/>
          <w:bCs/>
          <w:sz w:val="32"/>
          <w:szCs w:val="32"/>
        </w:rPr>
        <w:t>：项目支出绩效评价专家评分表</w:t>
      </w:r>
    </w:p>
    <w:p w14:paraId="27F97278">
      <w:pPr>
        <w:pStyle w:val="6"/>
        <w:jc w:val="center"/>
        <w:rPr>
          <w:rFonts w:ascii="仿宋_GB2312" w:hAnsi="宋体" w:eastAsia="仿宋_GB2312"/>
          <w:b/>
          <w:sz w:val="40"/>
          <w:szCs w:val="44"/>
        </w:rPr>
      </w:pPr>
      <w:r>
        <w:rPr>
          <w:rFonts w:ascii="仿宋_GB2312" w:hAnsi="宋体" w:eastAsia="仿宋_GB2312"/>
          <w:b/>
          <w:sz w:val="40"/>
          <w:szCs w:val="44"/>
        </w:rPr>
        <w:t>项目支出绩效评价专家评分表</w:t>
      </w:r>
    </w:p>
    <w:tbl>
      <w:tblPr>
        <w:tblStyle w:val="11"/>
        <w:tblW w:w="13805" w:type="dxa"/>
        <w:tblInd w:w="102" w:type="dxa"/>
        <w:tblLayout w:type="fixed"/>
        <w:tblCellMar>
          <w:top w:w="0" w:type="dxa"/>
          <w:left w:w="108" w:type="dxa"/>
          <w:bottom w:w="0" w:type="dxa"/>
          <w:right w:w="108" w:type="dxa"/>
        </w:tblCellMar>
      </w:tblPr>
      <w:tblGrid>
        <w:gridCol w:w="816"/>
        <w:gridCol w:w="771"/>
        <w:gridCol w:w="620"/>
        <w:gridCol w:w="826"/>
        <w:gridCol w:w="620"/>
        <w:gridCol w:w="1712"/>
        <w:gridCol w:w="3268"/>
        <w:gridCol w:w="4"/>
        <w:gridCol w:w="768"/>
        <w:gridCol w:w="1053"/>
        <w:gridCol w:w="3347"/>
      </w:tblGrid>
      <w:tr w14:paraId="79080020">
        <w:tblPrEx>
          <w:tblCellMar>
            <w:top w:w="0" w:type="dxa"/>
            <w:left w:w="108" w:type="dxa"/>
            <w:bottom w:w="0" w:type="dxa"/>
            <w:right w:w="108" w:type="dxa"/>
          </w:tblCellMar>
        </w:tblPrEx>
        <w:trPr>
          <w:trHeight w:val="748" w:hRule="atLeast"/>
          <w:tblHeader/>
        </w:trPr>
        <w:tc>
          <w:tcPr>
            <w:tcW w:w="8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DAC10C">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一级指标</w:t>
            </w:r>
          </w:p>
        </w:tc>
        <w:tc>
          <w:tcPr>
            <w:tcW w:w="7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015A0E">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二级指标</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1B3B8">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分值</w:t>
            </w:r>
          </w:p>
        </w:tc>
        <w:tc>
          <w:tcPr>
            <w:tcW w:w="8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E071D0">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三级指标</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06218">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分值</w:t>
            </w:r>
          </w:p>
        </w:tc>
        <w:tc>
          <w:tcPr>
            <w:tcW w:w="17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7B7D2">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指标解释</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3F051B">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指标说明</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0C38891">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分值</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74AE3">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得分</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C3F360">
            <w:pPr>
              <w:widowControl/>
              <w:jc w:val="center"/>
              <w:textAlignment w:val="center"/>
              <w:rPr>
                <w:rFonts w:ascii="宋体" w:hAnsi="宋体" w:eastAsia="宋体" w:cs="宋体"/>
                <w:b/>
                <w:bCs/>
                <w:color w:val="000000"/>
                <w:sz w:val="22"/>
                <w:szCs w:val="22"/>
              </w:rPr>
            </w:pPr>
            <w:r>
              <w:rPr>
                <w:rFonts w:hint="eastAsia" w:ascii="宋体" w:hAnsi="宋体" w:eastAsia="宋体" w:cs="宋体"/>
                <w:b/>
                <w:bCs/>
                <w:color w:val="000000"/>
                <w:kern w:val="0"/>
                <w:sz w:val="22"/>
                <w:szCs w:val="22"/>
                <w:lang w:bidi="ar"/>
              </w:rPr>
              <w:t>扣分理由</w:t>
            </w:r>
          </w:p>
        </w:tc>
      </w:tr>
      <w:tr w14:paraId="5D46D7EA">
        <w:tblPrEx>
          <w:tblCellMar>
            <w:top w:w="0" w:type="dxa"/>
            <w:left w:w="108" w:type="dxa"/>
            <w:bottom w:w="0" w:type="dxa"/>
            <w:right w:w="108" w:type="dxa"/>
          </w:tblCellMar>
        </w:tblPrEx>
        <w:trPr>
          <w:trHeight w:val="1092" w:hRule="atLeast"/>
        </w:trPr>
        <w:tc>
          <w:tcPr>
            <w:tcW w:w="8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5C706F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决策（15分）</w:t>
            </w:r>
          </w:p>
        </w:tc>
        <w:tc>
          <w:tcPr>
            <w:tcW w:w="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AC295F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项目立项　</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B7C240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6</w:t>
            </w: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0A04CC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立项依据充分性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A63FDF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E2808B4">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项目立项是否符合法律法规、相关政策、发展规划以及部门职责，用以反映和考核项目立项依据情况。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83BBB">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①项目立项是否符合国家法律法规、国民经济发展规划和相关政策；</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07E907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D081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B7CC6">
            <w:pPr>
              <w:rPr>
                <w:rFonts w:ascii="宋体" w:hAnsi="宋体" w:eastAsia="宋体" w:cs="宋体"/>
                <w:color w:val="000000"/>
                <w:sz w:val="20"/>
                <w:szCs w:val="20"/>
              </w:rPr>
            </w:pPr>
          </w:p>
        </w:tc>
      </w:tr>
      <w:tr w14:paraId="6E9AFA05">
        <w:tblPrEx>
          <w:tblCellMar>
            <w:top w:w="0" w:type="dxa"/>
            <w:left w:w="108" w:type="dxa"/>
            <w:bottom w:w="0" w:type="dxa"/>
            <w:right w:w="108" w:type="dxa"/>
          </w:tblCellMar>
        </w:tblPrEx>
        <w:trPr>
          <w:trHeight w:val="102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41FED0">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D8D55C">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9FB870">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F67DD5">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2A2FBF">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167743">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E9198D">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②项目立项是否符合行业发展规划和政策要求；</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DAE2C1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620C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4452B">
            <w:pPr>
              <w:rPr>
                <w:rFonts w:ascii="宋体" w:hAnsi="宋体" w:eastAsia="宋体" w:cs="宋体"/>
                <w:color w:val="000000"/>
                <w:sz w:val="20"/>
                <w:szCs w:val="20"/>
              </w:rPr>
            </w:pPr>
          </w:p>
        </w:tc>
      </w:tr>
      <w:tr w14:paraId="47AC0499">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19D383">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8CE162">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4ABB8F9">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657FF7">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C15423">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BA59B9">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7C5491">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③项目立项是否与部门职责范围相符，属于部门履职所需；</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286BFF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C952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F0AB2">
            <w:pPr>
              <w:rPr>
                <w:rFonts w:ascii="宋体" w:hAnsi="宋体" w:eastAsia="宋体" w:cs="宋体"/>
                <w:color w:val="000000"/>
                <w:sz w:val="20"/>
                <w:szCs w:val="20"/>
              </w:rPr>
            </w:pPr>
          </w:p>
        </w:tc>
      </w:tr>
      <w:tr w14:paraId="6D5C66B1">
        <w:tblPrEx>
          <w:tblCellMar>
            <w:top w:w="0" w:type="dxa"/>
            <w:left w:w="108" w:type="dxa"/>
            <w:bottom w:w="0" w:type="dxa"/>
            <w:right w:w="108" w:type="dxa"/>
          </w:tblCellMar>
        </w:tblPrEx>
        <w:trPr>
          <w:trHeight w:val="102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C8A82F">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02310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7859C2">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32C24F">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730C16">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6E1BE8">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474EC">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④项目是否属于公共财政支持范围，是否符合中央、地方事权支出责任划分原则；</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EAE988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529DD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DD82A">
            <w:pPr>
              <w:rPr>
                <w:rFonts w:ascii="宋体" w:hAnsi="宋体" w:eastAsia="宋体" w:cs="宋体"/>
                <w:color w:val="000000"/>
                <w:sz w:val="20"/>
                <w:szCs w:val="20"/>
              </w:rPr>
            </w:pPr>
          </w:p>
        </w:tc>
      </w:tr>
      <w:tr w14:paraId="1F774E3B">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7EB0DC">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CC035F">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AEEFA50">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A578E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C460D9">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655CC3">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ED1F9">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⑤项目是否与相关部门同类项目或部门内部相关项目重复。</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8CB501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4B79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0.42</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7A9FA9">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需求论</w:t>
            </w:r>
            <w:r>
              <w:rPr>
                <w:rFonts w:hint="eastAsia" w:ascii="宋体" w:hAnsi="宋体" w:eastAsia="宋体" w:cs="宋体"/>
                <w:color w:val="000000"/>
                <w:kern w:val="0"/>
                <w:sz w:val="20"/>
                <w:szCs w:val="20"/>
                <w:lang w:val="en-US" w:eastAsia="zh-CN" w:bidi="ar"/>
              </w:rPr>
              <w:t>充分性仍有提升空间</w:t>
            </w:r>
          </w:p>
        </w:tc>
      </w:tr>
      <w:tr w14:paraId="4101F4D4">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647999">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A2E91D">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711443">
            <w:pPr>
              <w:jc w:val="center"/>
              <w:rPr>
                <w:rFonts w:ascii="宋体" w:hAnsi="宋体" w:eastAsia="宋体" w:cs="宋体"/>
                <w:color w:val="000000"/>
                <w:sz w:val="20"/>
                <w:szCs w:val="20"/>
              </w:rPr>
            </w:pP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6EEB24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立项程序规范性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A98B76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8FE871E">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项目申请、设立过程是否符合相关要求，用以反映和考核项目立项的规范情况。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C43C7">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①项目是否按照规定的程序申请设立；</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822071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9E80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0.82</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421318">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风险评估</w:t>
            </w:r>
            <w:r>
              <w:rPr>
                <w:rFonts w:hint="eastAsia" w:ascii="宋体" w:hAnsi="宋体" w:eastAsia="宋体" w:cs="宋体"/>
                <w:color w:val="000000"/>
                <w:kern w:val="0"/>
                <w:sz w:val="20"/>
                <w:szCs w:val="20"/>
                <w:lang w:val="en-US" w:eastAsia="zh-CN" w:bidi="ar"/>
              </w:rPr>
              <w:t>充分性仍有提升空间</w:t>
            </w:r>
          </w:p>
        </w:tc>
      </w:tr>
      <w:tr w14:paraId="15DC227F">
        <w:tblPrEx>
          <w:tblCellMar>
            <w:top w:w="0" w:type="dxa"/>
            <w:left w:w="108" w:type="dxa"/>
            <w:bottom w:w="0" w:type="dxa"/>
            <w:right w:w="108" w:type="dxa"/>
          </w:tblCellMar>
        </w:tblPrEx>
        <w:trPr>
          <w:trHeight w:val="683"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2F88EA">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46BA37">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41EB24">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AE75D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A7B8A7">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0BC061">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66B4C">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②审批文件、材料是否符合相关要求；</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EF1CAE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72D9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CB57C">
            <w:pPr>
              <w:rPr>
                <w:rFonts w:ascii="宋体" w:hAnsi="宋体" w:eastAsia="宋体" w:cs="宋体"/>
                <w:color w:val="000000"/>
                <w:sz w:val="20"/>
                <w:szCs w:val="20"/>
              </w:rPr>
            </w:pPr>
          </w:p>
        </w:tc>
      </w:tr>
      <w:tr w14:paraId="295FCDAB">
        <w:tblPrEx>
          <w:tblCellMar>
            <w:top w:w="0" w:type="dxa"/>
            <w:left w:w="108" w:type="dxa"/>
            <w:bottom w:w="0" w:type="dxa"/>
            <w:right w:w="108" w:type="dxa"/>
          </w:tblCellMar>
        </w:tblPrEx>
        <w:trPr>
          <w:trHeight w:val="102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7B9E90">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453E7F">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331042">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310E45">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F84776">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8E3749">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1E6816">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③事前是否已经过必要的可行性研究、专家论证、风险评估、绩效评估、集体决策。</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8D616A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E8C7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0418C">
            <w:pPr>
              <w:rPr>
                <w:rFonts w:ascii="宋体" w:hAnsi="宋体" w:eastAsia="宋体" w:cs="宋体"/>
                <w:color w:val="000000"/>
                <w:sz w:val="20"/>
                <w:szCs w:val="20"/>
              </w:rPr>
            </w:pPr>
          </w:p>
        </w:tc>
      </w:tr>
      <w:tr w14:paraId="572A2928">
        <w:tblPrEx>
          <w:tblCellMar>
            <w:top w:w="0" w:type="dxa"/>
            <w:left w:w="108" w:type="dxa"/>
            <w:bottom w:w="0" w:type="dxa"/>
            <w:right w:w="108" w:type="dxa"/>
          </w:tblCellMar>
        </w:tblPrEx>
        <w:trPr>
          <w:trHeight w:val="51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27C064E">
            <w:pPr>
              <w:jc w:val="center"/>
              <w:rPr>
                <w:rFonts w:ascii="宋体" w:hAnsi="宋体" w:eastAsia="宋体" w:cs="宋体"/>
                <w:color w:val="000000"/>
                <w:sz w:val="20"/>
                <w:szCs w:val="20"/>
              </w:rPr>
            </w:pPr>
          </w:p>
        </w:tc>
        <w:tc>
          <w:tcPr>
            <w:tcW w:w="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0E12BB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绩效目标　</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BA52D1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4</w:t>
            </w: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71852B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绩效目标合理性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598552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D6CD1D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项目所设定的绩效目标是否依据充分，是否符合客观实际，用以反映和考核项目绩效目标与项目实施的相符情况。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28FB1">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①项目是否有绩效目标；</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7B670E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84B6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1D88E">
            <w:pPr>
              <w:rPr>
                <w:rFonts w:ascii="宋体" w:hAnsi="宋体" w:eastAsia="宋体" w:cs="宋体"/>
                <w:color w:val="000000"/>
                <w:sz w:val="20"/>
                <w:szCs w:val="20"/>
              </w:rPr>
            </w:pPr>
          </w:p>
        </w:tc>
      </w:tr>
      <w:tr w14:paraId="3775BE26">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FFEB64">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D191B">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38A88D">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4EEB4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1CFCCE">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E3F3D4">
            <w:pPr>
              <w:jc w:val="cente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30DD65">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②项目绩效目标与实际工作内容是否具有相关性；</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C66B39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DDAF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3EF41">
            <w:pPr>
              <w:rPr>
                <w:rFonts w:ascii="宋体" w:hAnsi="宋体" w:eastAsia="宋体" w:cs="宋体"/>
                <w:color w:val="000000"/>
                <w:sz w:val="20"/>
                <w:szCs w:val="20"/>
              </w:rPr>
            </w:pPr>
          </w:p>
        </w:tc>
      </w:tr>
      <w:tr w14:paraId="7AA1AA51">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66258D">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7E4324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38F278D">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CB216D">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8C3AA0">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D7396F">
            <w:pPr>
              <w:jc w:val="cente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ABE01C">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③项目预期产出效益和效果是否符合正常的业绩水平；</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8FDF7A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1370E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5EDC4">
            <w:pPr>
              <w:rPr>
                <w:rFonts w:ascii="宋体" w:hAnsi="宋体" w:eastAsia="宋体" w:cs="宋体"/>
                <w:color w:val="000000"/>
                <w:sz w:val="20"/>
                <w:szCs w:val="20"/>
              </w:rPr>
            </w:pPr>
          </w:p>
        </w:tc>
      </w:tr>
      <w:tr w14:paraId="094047E4">
        <w:tblPrEx>
          <w:tblCellMar>
            <w:top w:w="0" w:type="dxa"/>
            <w:left w:w="108" w:type="dxa"/>
            <w:bottom w:w="0" w:type="dxa"/>
            <w:right w:w="108" w:type="dxa"/>
          </w:tblCellMar>
        </w:tblPrEx>
        <w:trPr>
          <w:trHeight w:val="153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36A0B1">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70F9AC">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1A5765">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8E76D8">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46F34A">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366AF3">
            <w:pPr>
              <w:jc w:val="cente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5F8FEC">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④是否与预算确定的项目投资额或资金量相匹配。</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2ADDAB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18E3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0.2</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A8B61E">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匹配</w:t>
            </w:r>
            <w:r>
              <w:rPr>
                <w:rFonts w:hint="eastAsia" w:ascii="宋体" w:hAnsi="宋体" w:eastAsia="宋体" w:cs="宋体"/>
                <w:color w:val="000000"/>
                <w:kern w:val="0"/>
                <w:sz w:val="20"/>
                <w:szCs w:val="20"/>
                <w:lang w:val="en-US" w:eastAsia="zh-CN" w:bidi="ar"/>
              </w:rPr>
              <w:t>度仍有提升空间</w:t>
            </w:r>
          </w:p>
        </w:tc>
      </w:tr>
      <w:tr w14:paraId="01578C9E">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9E4B90">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3F2E3A">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01C3C9">
            <w:pPr>
              <w:jc w:val="center"/>
              <w:rPr>
                <w:rFonts w:ascii="宋体" w:hAnsi="宋体" w:eastAsia="宋体" w:cs="宋体"/>
                <w:color w:val="000000"/>
                <w:sz w:val="20"/>
                <w:szCs w:val="20"/>
              </w:rPr>
            </w:pP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7D3D22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绩效指标明确性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ECE1E9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CFC40AA">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依据绩效目标设定的绩效指标是否清晰、细化、可衡量等，用以反映和考核项目绩效目标的明细化情况。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6FD6F1">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①是否将项目绩效目标细化分解为具体的绩效指标；</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FB033D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B6F3D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0C784">
            <w:pPr>
              <w:rPr>
                <w:rFonts w:ascii="宋体" w:hAnsi="宋体" w:eastAsia="宋体" w:cs="宋体"/>
                <w:color w:val="000000"/>
                <w:sz w:val="20"/>
                <w:szCs w:val="20"/>
              </w:rPr>
            </w:pPr>
          </w:p>
        </w:tc>
      </w:tr>
      <w:tr w14:paraId="78824A2C">
        <w:tblPrEx>
          <w:tblCellMar>
            <w:top w:w="0" w:type="dxa"/>
            <w:left w:w="108" w:type="dxa"/>
            <w:bottom w:w="0" w:type="dxa"/>
            <w:right w:w="108" w:type="dxa"/>
          </w:tblCellMar>
        </w:tblPrEx>
        <w:trPr>
          <w:trHeight w:val="102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C03611">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CF48F8">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D27DB1">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98EF6F">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A7AAE2">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52A2E4">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CADF6B">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②是否通过清晰、可衡量的指标值予以体现；</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49059B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13E02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0.38</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3A7DB">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绩效目标</w:t>
            </w:r>
            <w:r>
              <w:rPr>
                <w:rFonts w:hint="eastAsia" w:ascii="宋体" w:hAnsi="宋体" w:eastAsia="宋体" w:cs="宋体"/>
                <w:color w:val="000000"/>
                <w:kern w:val="0"/>
                <w:sz w:val="20"/>
                <w:szCs w:val="20"/>
                <w:lang w:val="en-US" w:eastAsia="zh-CN" w:bidi="ar"/>
              </w:rPr>
              <w:t>明确性仍有提升空间</w:t>
            </w:r>
          </w:p>
        </w:tc>
      </w:tr>
      <w:tr w14:paraId="1DD2CA07">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CCCD57">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CAFE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9855324">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A92C3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546E58">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3728DA">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835AA">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③是否与项目目标任务数或计划数相对应。</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DEC5E7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95390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FF2E2">
            <w:pPr>
              <w:rPr>
                <w:rFonts w:ascii="宋体" w:hAnsi="宋体" w:eastAsia="宋体" w:cs="宋体"/>
                <w:color w:val="000000"/>
                <w:sz w:val="20"/>
                <w:szCs w:val="20"/>
              </w:rPr>
            </w:pPr>
          </w:p>
        </w:tc>
      </w:tr>
      <w:tr w14:paraId="28A53F33">
        <w:tblPrEx>
          <w:tblCellMar>
            <w:top w:w="0" w:type="dxa"/>
            <w:left w:w="108" w:type="dxa"/>
            <w:bottom w:w="0" w:type="dxa"/>
            <w:right w:w="108" w:type="dxa"/>
          </w:tblCellMar>
        </w:tblPrEx>
        <w:trPr>
          <w:trHeight w:val="90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3CBD91">
            <w:pPr>
              <w:jc w:val="center"/>
              <w:rPr>
                <w:rFonts w:ascii="宋体" w:hAnsi="宋体" w:eastAsia="宋体" w:cs="宋体"/>
                <w:color w:val="000000"/>
                <w:sz w:val="20"/>
                <w:szCs w:val="20"/>
              </w:rPr>
            </w:pPr>
          </w:p>
        </w:tc>
        <w:tc>
          <w:tcPr>
            <w:tcW w:w="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C060B8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资金投入</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8E0DA1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498D04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预算编制科学性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86EAC9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CE056A1">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项目预算编制是否经过科学论证、有明确标准，资金额度与年度目标是否相适应，用以反映和考核项目预算编制的科学性、合理性情况。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C7944">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①预算编制是否经过科学论证；</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54F107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E95D3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17F46">
            <w:pPr>
              <w:rPr>
                <w:rFonts w:ascii="宋体" w:hAnsi="宋体" w:eastAsia="宋体" w:cs="宋体"/>
                <w:color w:val="000000"/>
                <w:sz w:val="20"/>
                <w:szCs w:val="20"/>
              </w:rPr>
            </w:pPr>
          </w:p>
        </w:tc>
      </w:tr>
      <w:tr w14:paraId="366E9533">
        <w:tblPrEx>
          <w:tblCellMar>
            <w:top w:w="0" w:type="dxa"/>
            <w:left w:w="108" w:type="dxa"/>
            <w:bottom w:w="0" w:type="dxa"/>
            <w:right w:w="108" w:type="dxa"/>
          </w:tblCellMar>
        </w:tblPrEx>
        <w:trPr>
          <w:trHeight w:val="51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E328DF">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56F57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476A0F">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5DFEA03">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0F07303">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F3AAFA">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5D17E">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②预算内容与项目内容是否匹配；</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E000F9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5CDE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78A99">
            <w:pPr>
              <w:rPr>
                <w:rFonts w:ascii="宋体" w:hAnsi="宋体" w:eastAsia="宋体" w:cs="宋体"/>
                <w:color w:val="000000"/>
                <w:sz w:val="20"/>
                <w:szCs w:val="20"/>
              </w:rPr>
            </w:pPr>
          </w:p>
        </w:tc>
      </w:tr>
      <w:tr w14:paraId="0735F02F">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F2EC16">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D35AB5">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32A47F">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A06DED">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7BF338">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9926ADB">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417A9">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③预算额度测算依据是否充分，是否按照标准编制；</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29474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1C3B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0.38</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53C32E">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预算编制测算依据</w:t>
            </w:r>
            <w:r>
              <w:rPr>
                <w:rFonts w:hint="eastAsia" w:ascii="宋体" w:hAnsi="宋体" w:eastAsia="宋体" w:cs="宋体"/>
                <w:color w:val="000000"/>
                <w:kern w:val="0"/>
                <w:sz w:val="20"/>
                <w:szCs w:val="20"/>
                <w:lang w:val="en-US" w:eastAsia="zh-CN" w:bidi="ar"/>
              </w:rPr>
              <w:t>的充分性仍有提升空间</w:t>
            </w:r>
          </w:p>
        </w:tc>
      </w:tr>
      <w:tr w14:paraId="731A06C2">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49474A0">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D78F207">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7E48A52">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98538D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F58A9D">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BECB5B">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B826F">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④预算确定的项目投资额或资金量是否与工作任务相匹配。</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2BEBB6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DC8C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0.5</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2FF42">
            <w:pPr>
              <w:rPr>
                <w:rFonts w:ascii="宋体" w:hAnsi="宋体" w:eastAsia="宋体" w:cs="宋体"/>
                <w:color w:val="000000"/>
                <w:sz w:val="20"/>
                <w:szCs w:val="20"/>
              </w:rPr>
            </w:pPr>
          </w:p>
        </w:tc>
      </w:tr>
      <w:tr w14:paraId="5120A362">
        <w:tblPrEx>
          <w:tblCellMar>
            <w:top w:w="0" w:type="dxa"/>
            <w:left w:w="108" w:type="dxa"/>
            <w:bottom w:w="0" w:type="dxa"/>
            <w:right w:w="108" w:type="dxa"/>
          </w:tblCellMar>
        </w:tblPrEx>
        <w:trPr>
          <w:trHeight w:val="102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526B555">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8E87159">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AD1C14">
            <w:pPr>
              <w:jc w:val="center"/>
              <w:rPr>
                <w:rFonts w:ascii="宋体" w:hAnsi="宋体" w:eastAsia="宋体" w:cs="宋体"/>
                <w:color w:val="000000"/>
                <w:sz w:val="20"/>
                <w:szCs w:val="20"/>
              </w:rPr>
            </w:pP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656EF5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资金分配合理性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529D8A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034847E">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项目预算资金分配是否有测算依据，与补助单位或地方实际是否相适应，用以反映和考核项目预算资金分配的科学性、合理性情况。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77729">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①预算资金分配依据是否充分；</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B561A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2042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0.7</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C0DE9">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预算与执行的匹配</w:t>
            </w:r>
            <w:r>
              <w:rPr>
                <w:rFonts w:hint="eastAsia" w:ascii="宋体" w:hAnsi="宋体" w:eastAsia="宋体" w:cs="宋体"/>
                <w:color w:val="000000"/>
                <w:kern w:val="0"/>
                <w:sz w:val="20"/>
                <w:szCs w:val="20"/>
                <w:lang w:val="en-US" w:eastAsia="zh-CN" w:bidi="ar"/>
              </w:rPr>
              <w:t>度仍有提升空间</w:t>
            </w:r>
          </w:p>
        </w:tc>
      </w:tr>
      <w:tr w14:paraId="7815D1E0">
        <w:tblPrEx>
          <w:tblCellMar>
            <w:top w:w="0" w:type="dxa"/>
            <w:left w:w="108" w:type="dxa"/>
            <w:bottom w:w="0" w:type="dxa"/>
            <w:right w:w="108" w:type="dxa"/>
          </w:tblCellMar>
        </w:tblPrEx>
        <w:trPr>
          <w:trHeight w:val="153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842742">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652D7F">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9E9960">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9DA65A">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BF5B2E">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175C72A">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EE87BF">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②资金分配额度是否合理，与项目单位或地方实际是否相适应。</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2EC10A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7F62A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B8AC2">
            <w:pPr>
              <w:rPr>
                <w:rFonts w:ascii="宋体" w:hAnsi="宋体" w:eastAsia="宋体" w:cs="宋体"/>
                <w:color w:val="000000"/>
                <w:sz w:val="20"/>
                <w:szCs w:val="20"/>
              </w:rPr>
            </w:pPr>
          </w:p>
        </w:tc>
      </w:tr>
      <w:tr w14:paraId="6F0D96A6">
        <w:tblPrEx>
          <w:tblCellMar>
            <w:top w:w="0" w:type="dxa"/>
            <w:left w:w="108" w:type="dxa"/>
            <w:bottom w:w="0" w:type="dxa"/>
            <w:right w:w="108" w:type="dxa"/>
          </w:tblCellMar>
        </w:tblPrEx>
        <w:trPr>
          <w:trHeight w:val="510" w:hRule="atLeast"/>
        </w:trPr>
        <w:tc>
          <w:tcPr>
            <w:tcW w:w="8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B988EE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过程（25）</w:t>
            </w:r>
          </w:p>
        </w:tc>
        <w:tc>
          <w:tcPr>
            <w:tcW w:w="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8386BC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资金管理</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482224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2C6F7A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资金到位率</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35B710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83F7C32">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实际到位资金与预算资金的比率，用以反映和考核资金落实情况对项目实施的总体保障程度。</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D920AC">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①资金到位率=（实际到位资金/预算资金）×100%。</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87D4DB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5CCEA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48664">
            <w:pPr>
              <w:rPr>
                <w:rFonts w:ascii="宋体" w:hAnsi="宋体" w:eastAsia="宋体" w:cs="宋体"/>
                <w:color w:val="000000"/>
                <w:sz w:val="20"/>
                <w:szCs w:val="20"/>
              </w:rPr>
            </w:pPr>
          </w:p>
        </w:tc>
      </w:tr>
      <w:tr w14:paraId="21A99A37">
        <w:tblPrEx>
          <w:tblCellMar>
            <w:top w:w="0" w:type="dxa"/>
            <w:left w:w="108" w:type="dxa"/>
            <w:bottom w:w="0" w:type="dxa"/>
            <w:right w:w="108" w:type="dxa"/>
          </w:tblCellMar>
        </w:tblPrEx>
        <w:trPr>
          <w:trHeight w:val="51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BDF41EA">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06FE16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D1D333C">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7678B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1941B7">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DDA4BE">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4AFE5">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②资金支付的及时性</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5F175E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4DEC3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7FD49">
            <w:pPr>
              <w:rPr>
                <w:rFonts w:ascii="宋体" w:hAnsi="宋体" w:eastAsia="宋体" w:cs="宋体"/>
                <w:color w:val="000000"/>
                <w:sz w:val="20"/>
                <w:szCs w:val="20"/>
              </w:rPr>
            </w:pPr>
          </w:p>
        </w:tc>
      </w:tr>
      <w:tr w14:paraId="06E47317">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F05069">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5635EE3">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96BAB8">
            <w:pPr>
              <w:jc w:val="center"/>
              <w:rPr>
                <w:rFonts w:ascii="宋体" w:hAnsi="宋体" w:eastAsia="宋体" w:cs="宋体"/>
                <w:color w:val="000000"/>
                <w:sz w:val="20"/>
                <w:szCs w:val="20"/>
              </w:rPr>
            </w:pPr>
          </w:p>
        </w:tc>
        <w:tc>
          <w:tcPr>
            <w:tcW w:w="8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2074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预算执行率</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E9C4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17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21AE4">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项目预算资金是否按照计划执行，用以反映或考核项目预算执行情况。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9974F">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①预算执行率=（实际支出资金/实际到位资金）×100%。</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3DCBE6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3361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DE8344">
            <w:pPr>
              <w:rPr>
                <w:rFonts w:ascii="宋体" w:hAnsi="宋体" w:eastAsia="宋体" w:cs="宋体"/>
                <w:color w:val="000000"/>
                <w:sz w:val="20"/>
                <w:szCs w:val="20"/>
              </w:rPr>
            </w:pPr>
          </w:p>
        </w:tc>
      </w:tr>
      <w:tr w14:paraId="575B73BE">
        <w:tblPrEx>
          <w:tblCellMar>
            <w:top w:w="0" w:type="dxa"/>
            <w:left w:w="108" w:type="dxa"/>
            <w:bottom w:w="0" w:type="dxa"/>
            <w:right w:w="108" w:type="dxa"/>
          </w:tblCellMar>
        </w:tblPrEx>
        <w:trPr>
          <w:trHeight w:val="204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11A7CB">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53915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92E5C0">
            <w:pPr>
              <w:jc w:val="center"/>
              <w:rPr>
                <w:rFonts w:ascii="宋体" w:hAnsi="宋体" w:eastAsia="宋体" w:cs="宋体"/>
                <w:color w:val="000000"/>
                <w:sz w:val="20"/>
                <w:szCs w:val="20"/>
              </w:rPr>
            </w:pP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64DD8C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资金使用合规性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4E6494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F2BECBF">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项目资金使用是否符合相关的财务管理制度规定，用以反映和考核项目资金的规范运行情况。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1AA44">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①是否符合国家财经法规和财务管理制度以及有关专项资金管理办法的规定；</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3937EE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C2C0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7A36F">
            <w:pPr>
              <w:rPr>
                <w:rFonts w:ascii="宋体" w:hAnsi="宋体" w:eastAsia="宋体" w:cs="宋体"/>
                <w:color w:val="000000"/>
                <w:sz w:val="20"/>
                <w:szCs w:val="20"/>
              </w:rPr>
            </w:pPr>
          </w:p>
        </w:tc>
      </w:tr>
      <w:tr w14:paraId="13308C3B">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FC6B4F">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D77DE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682F1E">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AFE2A0D">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819669">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F398FF">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1AE06">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②资金的拨付是否有完整的审批程序和手续；</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FCCD8A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C047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FBA37">
            <w:pPr>
              <w:rPr>
                <w:rFonts w:ascii="宋体" w:hAnsi="宋体" w:eastAsia="宋体" w:cs="宋体"/>
                <w:color w:val="000000"/>
                <w:sz w:val="20"/>
                <w:szCs w:val="20"/>
              </w:rPr>
            </w:pPr>
          </w:p>
        </w:tc>
      </w:tr>
      <w:tr w14:paraId="7C97141F">
        <w:tblPrEx>
          <w:tblCellMar>
            <w:top w:w="0" w:type="dxa"/>
            <w:left w:w="108" w:type="dxa"/>
            <w:bottom w:w="0" w:type="dxa"/>
            <w:right w:w="108" w:type="dxa"/>
          </w:tblCellMar>
        </w:tblPrEx>
        <w:trPr>
          <w:trHeight w:val="102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945C62">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7323AC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CFD7ED3">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163AA14">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887F4C">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2D521B1">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2495E5">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③是否符合项目预算批复或合同规定的用途；</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4FBADA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BB3C0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3937E0">
            <w:pPr>
              <w:rPr>
                <w:rFonts w:ascii="宋体" w:hAnsi="宋体" w:eastAsia="宋体" w:cs="宋体"/>
                <w:color w:val="000000"/>
                <w:sz w:val="20"/>
                <w:szCs w:val="20"/>
              </w:rPr>
            </w:pPr>
          </w:p>
        </w:tc>
      </w:tr>
      <w:tr w14:paraId="29BE64A0">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897F7A">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937887">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7BC62A">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54FB08">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88A1D74">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10E95A">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760B13">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④是否存在截留、挤占、挪用、虚列支出等情况。</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CA8ABE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AD68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683F7F">
            <w:pPr>
              <w:rPr>
                <w:rFonts w:ascii="宋体" w:hAnsi="宋体" w:eastAsia="宋体" w:cs="宋体"/>
                <w:color w:val="000000"/>
                <w:sz w:val="20"/>
                <w:szCs w:val="20"/>
              </w:rPr>
            </w:pPr>
          </w:p>
        </w:tc>
      </w:tr>
      <w:tr w14:paraId="1357D164">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E58C6E">
            <w:pPr>
              <w:jc w:val="center"/>
              <w:rPr>
                <w:rFonts w:ascii="宋体" w:hAnsi="宋体" w:eastAsia="宋体" w:cs="宋体"/>
                <w:color w:val="000000"/>
                <w:sz w:val="20"/>
                <w:szCs w:val="20"/>
              </w:rPr>
            </w:pPr>
          </w:p>
        </w:tc>
        <w:tc>
          <w:tcPr>
            <w:tcW w:w="77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352861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组织实施</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AE2AF8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15</w:t>
            </w: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83D03C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管理制度健全性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DA9D90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7.5</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D147399">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项目实施单位的财务和业务管理制度是否健全，用以反映和考核财务和业务管理制度对项目顺利实施的保障情况。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96817">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①是否已制定或具有相应的财务和业务管理制度；</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303D92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4583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33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A2C9051">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实施方案指导性</w:t>
            </w:r>
            <w:r>
              <w:rPr>
                <w:rFonts w:hint="eastAsia" w:ascii="宋体" w:hAnsi="宋体" w:eastAsia="宋体" w:cs="宋体"/>
                <w:color w:val="000000"/>
                <w:kern w:val="0"/>
                <w:sz w:val="20"/>
                <w:szCs w:val="20"/>
                <w:lang w:val="en-US" w:eastAsia="zh-CN" w:bidi="ar"/>
              </w:rPr>
              <w:t>仍有提高空间</w:t>
            </w:r>
          </w:p>
        </w:tc>
      </w:tr>
      <w:tr w14:paraId="303958F8">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AC6939">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A995F7A">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652D115">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65D823">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390934B">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179A9FD">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CF852C">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②财务和业务管理制度是否合法、合规、完整。</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EDEC20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4.5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6199A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4.2</w:t>
            </w:r>
          </w:p>
        </w:tc>
        <w:tc>
          <w:tcPr>
            <w:tcW w:w="33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7FB71E">
            <w:pPr>
              <w:jc w:val="left"/>
              <w:rPr>
                <w:rFonts w:ascii="宋体" w:hAnsi="宋体" w:eastAsia="宋体" w:cs="宋体"/>
                <w:color w:val="000000"/>
                <w:sz w:val="20"/>
                <w:szCs w:val="20"/>
              </w:rPr>
            </w:pPr>
          </w:p>
        </w:tc>
      </w:tr>
      <w:tr w14:paraId="3A53F6FB">
        <w:tblPrEx>
          <w:tblCellMar>
            <w:top w:w="0" w:type="dxa"/>
            <w:left w:w="108" w:type="dxa"/>
            <w:bottom w:w="0" w:type="dxa"/>
            <w:right w:w="108" w:type="dxa"/>
          </w:tblCellMar>
        </w:tblPrEx>
        <w:trPr>
          <w:trHeight w:val="51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642A5D">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C723D6">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6ED6EC">
            <w:pPr>
              <w:jc w:val="center"/>
              <w:rPr>
                <w:rFonts w:ascii="宋体" w:hAnsi="宋体" w:eastAsia="宋体" w:cs="宋体"/>
                <w:color w:val="000000"/>
                <w:sz w:val="20"/>
                <w:szCs w:val="20"/>
              </w:rPr>
            </w:pPr>
          </w:p>
        </w:tc>
        <w:tc>
          <w:tcPr>
            <w:tcW w:w="82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9D2F98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制度执行有效性</w:t>
            </w:r>
          </w:p>
        </w:tc>
        <w:tc>
          <w:tcPr>
            <w:tcW w:w="62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756257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7.5</w:t>
            </w:r>
          </w:p>
        </w:tc>
        <w:tc>
          <w:tcPr>
            <w:tcW w:w="171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E4F7E2">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项目实施是否符合相关管理规定，用以反映和考核相关管理制度的有效执行情况。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5C116">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①是否遵守相关法律法规和相关管理规定；</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61C6F8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491C2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1.5</w:t>
            </w:r>
          </w:p>
        </w:tc>
        <w:tc>
          <w:tcPr>
            <w:tcW w:w="33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146C306">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bidi="ar"/>
              </w:rPr>
              <w:t>过程监管力度</w:t>
            </w:r>
            <w:r>
              <w:rPr>
                <w:rFonts w:hint="eastAsia" w:ascii="宋体" w:hAnsi="宋体" w:eastAsia="宋体" w:cs="宋体"/>
                <w:color w:val="000000"/>
                <w:kern w:val="0"/>
                <w:sz w:val="20"/>
                <w:szCs w:val="20"/>
                <w:lang w:val="en-US" w:eastAsia="zh-CN" w:bidi="ar"/>
              </w:rPr>
              <w:t>仍有提升空间</w:t>
            </w:r>
          </w:p>
        </w:tc>
      </w:tr>
      <w:tr w14:paraId="1E7AF2A3">
        <w:tblPrEx>
          <w:tblCellMar>
            <w:top w:w="0" w:type="dxa"/>
            <w:left w:w="108" w:type="dxa"/>
            <w:bottom w:w="0" w:type="dxa"/>
            <w:right w:w="108" w:type="dxa"/>
          </w:tblCellMar>
        </w:tblPrEx>
        <w:trPr>
          <w:trHeight w:val="51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E3E395A">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FAEBA09">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D06CC02">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95213E">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5E919E">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C674F5">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18EDF">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②项目调整及支出调整手续是否完备；</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88B49E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81826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1.5</w:t>
            </w:r>
          </w:p>
        </w:tc>
        <w:tc>
          <w:tcPr>
            <w:tcW w:w="33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A6CCFC1">
            <w:pPr>
              <w:jc w:val="left"/>
              <w:rPr>
                <w:rFonts w:ascii="宋体" w:hAnsi="宋体" w:eastAsia="宋体" w:cs="宋体"/>
                <w:color w:val="000000"/>
                <w:sz w:val="20"/>
                <w:szCs w:val="20"/>
              </w:rPr>
            </w:pPr>
          </w:p>
        </w:tc>
      </w:tr>
      <w:tr w14:paraId="454D7B7B">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3865E58">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EC8910">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9A706F1">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DDD5761">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BE11B9">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BE55DF">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B8DF8A">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③项目合同书、验收报告、技术鉴定等资料是否齐全并及时归档；</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34BAB0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F547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33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49DA9C">
            <w:pPr>
              <w:jc w:val="left"/>
              <w:rPr>
                <w:rFonts w:ascii="宋体" w:hAnsi="宋体" w:eastAsia="宋体" w:cs="宋体"/>
                <w:color w:val="000000"/>
                <w:sz w:val="20"/>
                <w:szCs w:val="20"/>
              </w:rPr>
            </w:pPr>
          </w:p>
        </w:tc>
      </w:tr>
      <w:tr w14:paraId="567DF534">
        <w:tblPrEx>
          <w:tblCellMar>
            <w:top w:w="0" w:type="dxa"/>
            <w:left w:w="108" w:type="dxa"/>
            <w:bottom w:w="0" w:type="dxa"/>
            <w:right w:w="108" w:type="dxa"/>
          </w:tblCellMar>
        </w:tblPrEx>
        <w:trPr>
          <w:trHeight w:val="765"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6C81E4">
            <w:pPr>
              <w:jc w:val="center"/>
              <w:rPr>
                <w:rFonts w:ascii="宋体" w:hAnsi="宋体" w:eastAsia="宋体" w:cs="宋体"/>
                <w:color w:val="000000"/>
                <w:sz w:val="20"/>
                <w:szCs w:val="20"/>
              </w:rPr>
            </w:pPr>
          </w:p>
        </w:tc>
        <w:tc>
          <w:tcPr>
            <w:tcW w:w="77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70D852">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A244F8">
            <w:pPr>
              <w:jc w:val="center"/>
              <w:rPr>
                <w:rFonts w:ascii="宋体" w:hAnsi="宋体" w:eastAsia="宋体" w:cs="宋体"/>
                <w:color w:val="000000"/>
                <w:sz w:val="20"/>
                <w:szCs w:val="20"/>
              </w:rPr>
            </w:pPr>
          </w:p>
        </w:tc>
        <w:tc>
          <w:tcPr>
            <w:tcW w:w="82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3D9FD2A">
            <w:pPr>
              <w:jc w:val="center"/>
              <w:rPr>
                <w:rFonts w:ascii="宋体" w:hAnsi="宋体" w:eastAsia="宋体" w:cs="宋体"/>
                <w:color w:val="000000"/>
                <w:sz w:val="20"/>
                <w:szCs w:val="20"/>
              </w:rPr>
            </w:pPr>
          </w:p>
        </w:tc>
        <w:tc>
          <w:tcPr>
            <w:tcW w:w="62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C313CA5">
            <w:pPr>
              <w:jc w:val="center"/>
              <w:rPr>
                <w:rFonts w:ascii="宋体" w:hAnsi="宋体" w:eastAsia="宋体" w:cs="宋体"/>
                <w:color w:val="000000"/>
                <w:sz w:val="20"/>
                <w:szCs w:val="20"/>
              </w:rPr>
            </w:pPr>
          </w:p>
        </w:tc>
        <w:tc>
          <w:tcPr>
            <w:tcW w:w="171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25AB0D">
            <w:pPr>
              <w:rPr>
                <w:rFonts w:ascii="宋体" w:hAnsi="宋体" w:eastAsia="宋体" w:cs="宋体"/>
                <w:color w:val="000000"/>
                <w:sz w:val="20"/>
                <w:szCs w:val="20"/>
              </w:rPr>
            </w:pP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C79A82">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④项目实施的人员条件、场地设备、信息支撑等是否落实到位。</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A47F1A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2</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7E42B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1.4</w:t>
            </w:r>
          </w:p>
        </w:tc>
        <w:tc>
          <w:tcPr>
            <w:tcW w:w="33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7084EA">
            <w:pPr>
              <w:jc w:val="left"/>
              <w:rPr>
                <w:rFonts w:ascii="宋体" w:hAnsi="宋体" w:eastAsia="宋体" w:cs="宋体"/>
                <w:color w:val="000000"/>
                <w:sz w:val="20"/>
                <w:szCs w:val="20"/>
              </w:rPr>
            </w:pPr>
          </w:p>
        </w:tc>
      </w:tr>
      <w:tr w14:paraId="2DC4875B">
        <w:tblPrEx>
          <w:tblCellMar>
            <w:top w:w="0" w:type="dxa"/>
            <w:left w:w="108" w:type="dxa"/>
            <w:bottom w:w="0" w:type="dxa"/>
            <w:right w:w="108" w:type="dxa"/>
          </w:tblCellMar>
        </w:tblPrEx>
        <w:trPr>
          <w:trHeight w:val="1058" w:hRule="atLeast"/>
        </w:trPr>
        <w:tc>
          <w:tcPr>
            <w:tcW w:w="8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F81AFB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产出（35）</w:t>
            </w:r>
          </w:p>
        </w:tc>
        <w:tc>
          <w:tcPr>
            <w:tcW w:w="7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8B6F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产出数量</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A5A5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8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3415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实际完成率</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C415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7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BE48B7">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项目实施的实际产出数与计划产出数的比率，用以反映和考核项目产出数量目标的实现程度。</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76C4C4">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项目各项产出数量指标的完成情况</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D0C39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0754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9.2</w:t>
            </w:r>
          </w:p>
        </w:tc>
        <w:tc>
          <w:tcPr>
            <w:tcW w:w="3347"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846DC20">
            <w:pPr>
              <w:widowControl/>
              <w:jc w:val="center"/>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val="en-US" w:eastAsia="zh-CN" w:bidi="ar"/>
              </w:rPr>
              <w:t>指标的完整性仍有进一步完善的空间</w:t>
            </w:r>
          </w:p>
        </w:tc>
      </w:tr>
      <w:tr w14:paraId="38E6F7B2">
        <w:tblPrEx>
          <w:tblCellMar>
            <w:top w:w="0" w:type="dxa"/>
            <w:left w:w="108" w:type="dxa"/>
            <w:bottom w:w="0" w:type="dxa"/>
            <w:right w:w="108" w:type="dxa"/>
          </w:tblCellMar>
        </w:tblPrEx>
        <w:trPr>
          <w:trHeight w:val="1223"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429C3B2">
            <w:pPr>
              <w:jc w:val="center"/>
              <w:rPr>
                <w:rFonts w:ascii="宋体" w:hAnsi="宋体" w:eastAsia="宋体" w:cs="宋体"/>
                <w:color w:val="000000"/>
                <w:sz w:val="20"/>
                <w:szCs w:val="20"/>
              </w:rPr>
            </w:pPr>
          </w:p>
        </w:tc>
        <w:tc>
          <w:tcPr>
            <w:tcW w:w="771" w:type="dxa"/>
            <w:tcBorders>
              <w:top w:val="single" w:color="000000" w:sz="4" w:space="0"/>
              <w:left w:val="single" w:color="000000" w:sz="4" w:space="0"/>
              <w:bottom w:val="nil"/>
              <w:right w:val="single" w:color="000000" w:sz="4" w:space="0"/>
            </w:tcBorders>
            <w:shd w:val="clear" w:color="auto" w:fill="auto"/>
            <w:vAlign w:val="center"/>
          </w:tcPr>
          <w:p w14:paraId="6470643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产出质量</w:t>
            </w:r>
          </w:p>
        </w:tc>
        <w:tc>
          <w:tcPr>
            <w:tcW w:w="620" w:type="dxa"/>
            <w:tcBorders>
              <w:top w:val="single" w:color="000000" w:sz="4" w:space="0"/>
              <w:left w:val="single" w:color="000000" w:sz="4" w:space="0"/>
              <w:bottom w:val="nil"/>
              <w:right w:val="single" w:color="000000" w:sz="4" w:space="0"/>
            </w:tcBorders>
            <w:shd w:val="clear" w:color="auto" w:fill="auto"/>
            <w:vAlign w:val="center"/>
          </w:tcPr>
          <w:p w14:paraId="1C0BEAB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826" w:type="dxa"/>
            <w:tcBorders>
              <w:top w:val="single" w:color="000000" w:sz="4" w:space="0"/>
              <w:left w:val="single" w:color="000000" w:sz="4" w:space="0"/>
              <w:bottom w:val="nil"/>
              <w:right w:val="single" w:color="000000" w:sz="4" w:space="0"/>
            </w:tcBorders>
            <w:shd w:val="clear" w:color="auto" w:fill="auto"/>
            <w:vAlign w:val="center"/>
          </w:tcPr>
          <w:p w14:paraId="5C7A2F2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质量达标率</w:t>
            </w:r>
          </w:p>
        </w:tc>
        <w:tc>
          <w:tcPr>
            <w:tcW w:w="620" w:type="dxa"/>
            <w:tcBorders>
              <w:top w:val="single" w:color="000000" w:sz="4" w:space="0"/>
              <w:left w:val="single" w:color="000000" w:sz="4" w:space="0"/>
              <w:bottom w:val="nil"/>
              <w:right w:val="single" w:color="000000" w:sz="4" w:space="0"/>
            </w:tcBorders>
            <w:shd w:val="clear" w:color="auto" w:fill="auto"/>
            <w:vAlign w:val="center"/>
          </w:tcPr>
          <w:p w14:paraId="4AD06DE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712" w:type="dxa"/>
            <w:tcBorders>
              <w:top w:val="single" w:color="000000" w:sz="4" w:space="0"/>
              <w:left w:val="single" w:color="000000" w:sz="4" w:space="0"/>
              <w:bottom w:val="nil"/>
              <w:right w:val="single" w:color="000000" w:sz="4" w:space="0"/>
            </w:tcBorders>
            <w:shd w:val="clear" w:color="auto" w:fill="auto"/>
            <w:vAlign w:val="center"/>
          </w:tcPr>
          <w:p w14:paraId="0C80276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项目完成的质量达标产出数与实际产出数的比率，用以反映和考核项目产出质量目标的实现程度。</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86D76">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活动顺利举办保障率</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611399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A6E53">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6.2</w:t>
            </w:r>
          </w:p>
        </w:tc>
        <w:tc>
          <w:tcPr>
            <w:tcW w:w="3347"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8A8D57">
            <w:pPr>
              <w:jc w:val="center"/>
              <w:rPr>
                <w:rFonts w:ascii="宋体" w:hAnsi="宋体" w:eastAsia="宋体" w:cs="宋体"/>
                <w:color w:val="000000"/>
                <w:sz w:val="20"/>
                <w:szCs w:val="20"/>
              </w:rPr>
            </w:pPr>
          </w:p>
        </w:tc>
      </w:tr>
      <w:tr w14:paraId="4F650C87">
        <w:tblPrEx>
          <w:tblCellMar>
            <w:top w:w="0" w:type="dxa"/>
            <w:left w:w="108" w:type="dxa"/>
            <w:bottom w:w="0" w:type="dxa"/>
            <w:right w:w="108" w:type="dxa"/>
          </w:tblCellMar>
        </w:tblPrEx>
        <w:trPr>
          <w:trHeight w:val="1260" w:hRule="atLeast"/>
        </w:trPr>
        <w:tc>
          <w:tcPr>
            <w:tcW w:w="8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C8D301">
            <w:pPr>
              <w:jc w:val="center"/>
              <w:rPr>
                <w:rFonts w:ascii="宋体" w:hAnsi="宋体" w:eastAsia="宋体" w:cs="宋体"/>
                <w:color w:val="000000"/>
                <w:sz w:val="20"/>
                <w:szCs w:val="20"/>
              </w:rPr>
            </w:pPr>
          </w:p>
        </w:tc>
        <w:tc>
          <w:tcPr>
            <w:tcW w:w="7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9FB2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产出时效</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1D46C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8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18B0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完成及时性</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C6A23F">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71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7155D">
            <w:pPr>
              <w:widowControl/>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项目实际完成时间与计划完成时间的比较，用以反映和考核项目产出时效目标的实现程度。</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0EF9B7">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方案实施、及资金支付完成的及时性</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55A210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45D954">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9</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68DE2">
            <w:pP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关键时间节点仍有细化空间</w:t>
            </w:r>
          </w:p>
        </w:tc>
      </w:tr>
      <w:tr w14:paraId="32D0ABFA">
        <w:tblPrEx>
          <w:tblCellMar>
            <w:top w:w="0" w:type="dxa"/>
            <w:left w:w="108" w:type="dxa"/>
            <w:bottom w:w="0" w:type="dxa"/>
            <w:right w:w="108" w:type="dxa"/>
          </w:tblCellMar>
        </w:tblPrEx>
        <w:trPr>
          <w:trHeight w:val="1275" w:hRule="atLeast"/>
        </w:trPr>
        <w:tc>
          <w:tcPr>
            <w:tcW w:w="816" w:type="dxa"/>
            <w:vMerge w:val="continue"/>
            <w:tcBorders>
              <w:top w:val="single" w:color="000000" w:sz="4" w:space="0"/>
              <w:left w:val="single" w:color="000000" w:sz="4" w:space="0"/>
              <w:bottom w:val="single" w:color="auto" w:sz="4" w:space="0"/>
              <w:right w:val="single" w:color="000000" w:sz="4" w:space="0"/>
            </w:tcBorders>
            <w:shd w:val="clear" w:color="auto" w:fill="auto"/>
            <w:vAlign w:val="center"/>
          </w:tcPr>
          <w:p w14:paraId="4C669837">
            <w:pPr>
              <w:jc w:val="center"/>
              <w:rPr>
                <w:rFonts w:ascii="宋体" w:hAnsi="宋体" w:eastAsia="宋体" w:cs="宋体"/>
                <w:color w:val="000000"/>
                <w:sz w:val="20"/>
                <w:szCs w:val="20"/>
              </w:rPr>
            </w:pPr>
          </w:p>
        </w:tc>
        <w:tc>
          <w:tcPr>
            <w:tcW w:w="771" w:type="dxa"/>
            <w:tcBorders>
              <w:top w:val="single" w:color="000000" w:sz="4" w:space="0"/>
              <w:left w:val="single" w:color="000000" w:sz="4" w:space="0"/>
              <w:bottom w:val="single" w:color="auto" w:sz="4" w:space="0"/>
              <w:right w:val="single" w:color="000000" w:sz="4" w:space="0"/>
            </w:tcBorders>
            <w:shd w:val="clear" w:color="auto" w:fill="auto"/>
            <w:vAlign w:val="center"/>
          </w:tcPr>
          <w:p w14:paraId="56B6F64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产出成本</w:t>
            </w:r>
          </w:p>
        </w:tc>
        <w:tc>
          <w:tcPr>
            <w:tcW w:w="620" w:type="dxa"/>
            <w:tcBorders>
              <w:top w:val="single" w:color="000000" w:sz="4" w:space="0"/>
              <w:left w:val="single" w:color="000000" w:sz="4" w:space="0"/>
              <w:bottom w:val="single" w:color="auto" w:sz="4" w:space="0"/>
              <w:right w:val="single" w:color="000000" w:sz="4" w:space="0"/>
            </w:tcBorders>
            <w:shd w:val="clear" w:color="auto" w:fill="auto"/>
            <w:vAlign w:val="center"/>
          </w:tcPr>
          <w:p w14:paraId="5545A1A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826" w:type="dxa"/>
            <w:tcBorders>
              <w:top w:val="single" w:color="000000" w:sz="4" w:space="0"/>
              <w:left w:val="single" w:color="000000" w:sz="4" w:space="0"/>
              <w:bottom w:val="single" w:color="auto" w:sz="4" w:space="0"/>
              <w:right w:val="single" w:color="000000" w:sz="4" w:space="0"/>
            </w:tcBorders>
            <w:shd w:val="clear" w:color="auto" w:fill="auto"/>
            <w:vAlign w:val="center"/>
          </w:tcPr>
          <w:p w14:paraId="50FD287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成本节约率</w:t>
            </w:r>
          </w:p>
        </w:tc>
        <w:tc>
          <w:tcPr>
            <w:tcW w:w="620" w:type="dxa"/>
            <w:tcBorders>
              <w:top w:val="single" w:color="000000" w:sz="4" w:space="0"/>
              <w:left w:val="single" w:color="000000" w:sz="4" w:space="0"/>
              <w:bottom w:val="single" w:color="auto" w:sz="4" w:space="0"/>
              <w:right w:val="single" w:color="000000" w:sz="4" w:space="0"/>
            </w:tcBorders>
            <w:shd w:val="clear" w:color="auto" w:fill="auto"/>
            <w:vAlign w:val="center"/>
          </w:tcPr>
          <w:p w14:paraId="52583CEA">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1712" w:type="dxa"/>
            <w:tcBorders>
              <w:top w:val="single" w:color="000000" w:sz="4" w:space="0"/>
              <w:left w:val="single" w:color="000000" w:sz="4" w:space="0"/>
              <w:bottom w:val="single" w:color="auto" w:sz="4" w:space="0"/>
              <w:right w:val="single" w:color="000000" w:sz="4" w:space="0"/>
            </w:tcBorders>
            <w:shd w:val="clear" w:color="auto" w:fill="auto"/>
            <w:vAlign w:val="center"/>
          </w:tcPr>
          <w:p w14:paraId="0B83BCF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完成项目计划工作目标的实际节约成本与计划成本的比率，用以反映和考核项目的成本节约程度。</w:t>
            </w:r>
          </w:p>
        </w:tc>
        <w:tc>
          <w:tcPr>
            <w:tcW w:w="3268" w:type="dxa"/>
            <w:tcBorders>
              <w:top w:val="single" w:color="000000" w:sz="4" w:space="0"/>
              <w:left w:val="single" w:color="000000" w:sz="4" w:space="0"/>
              <w:bottom w:val="single" w:color="auto" w:sz="4" w:space="0"/>
              <w:right w:val="single" w:color="000000" w:sz="4" w:space="0"/>
            </w:tcBorders>
            <w:shd w:val="clear" w:color="auto" w:fill="auto"/>
            <w:vAlign w:val="center"/>
          </w:tcPr>
          <w:p w14:paraId="62AA50EC">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成本节约率</w:t>
            </w:r>
          </w:p>
        </w:tc>
        <w:tc>
          <w:tcPr>
            <w:tcW w:w="772"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14:paraId="4D7EC71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1053" w:type="dxa"/>
            <w:tcBorders>
              <w:top w:val="single" w:color="000000" w:sz="4" w:space="0"/>
              <w:left w:val="single" w:color="000000" w:sz="4" w:space="0"/>
              <w:bottom w:val="single" w:color="auto" w:sz="4" w:space="0"/>
              <w:right w:val="single" w:color="000000" w:sz="4" w:space="0"/>
            </w:tcBorders>
            <w:shd w:val="clear" w:color="auto" w:fill="auto"/>
            <w:vAlign w:val="center"/>
          </w:tcPr>
          <w:p w14:paraId="0A46F9C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4.6</w:t>
            </w:r>
          </w:p>
        </w:tc>
        <w:tc>
          <w:tcPr>
            <w:tcW w:w="3347" w:type="dxa"/>
            <w:tcBorders>
              <w:top w:val="single" w:color="000000" w:sz="4" w:space="0"/>
              <w:left w:val="single" w:color="000000" w:sz="4" w:space="0"/>
              <w:bottom w:val="single" w:color="auto" w:sz="4" w:space="0"/>
              <w:right w:val="single" w:color="000000" w:sz="4" w:space="0"/>
            </w:tcBorders>
            <w:shd w:val="clear" w:color="auto" w:fill="auto"/>
            <w:vAlign w:val="center"/>
          </w:tcPr>
          <w:p w14:paraId="3D61ABFC">
            <w:pPr>
              <w:rPr>
                <w:rFonts w:hint="default" w:ascii="宋体" w:hAnsi="宋体" w:eastAsia="宋体" w:cs="宋体"/>
                <w:color w:val="000000"/>
                <w:sz w:val="20"/>
                <w:szCs w:val="20"/>
                <w:lang w:val="en-US" w:eastAsia="zh-CN"/>
              </w:rPr>
            </w:pPr>
            <w:r>
              <w:rPr>
                <w:rFonts w:hint="eastAsia" w:ascii="宋体" w:hAnsi="宋体" w:eastAsia="宋体" w:cs="宋体"/>
                <w:color w:val="000000"/>
                <w:sz w:val="20"/>
                <w:szCs w:val="20"/>
                <w:lang w:val="en-US" w:eastAsia="zh-CN"/>
              </w:rPr>
              <w:t>成本节约仍需进一步提高</w:t>
            </w:r>
          </w:p>
        </w:tc>
      </w:tr>
      <w:tr w14:paraId="77E803D2">
        <w:tblPrEx>
          <w:tblCellMar>
            <w:top w:w="0" w:type="dxa"/>
            <w:left w:w="108" w:type="dxa"/>
            <w:bottom w:w="0" w:type="dxa"/>
            <w:right w:w="108" w:type="dxa"/>
          </w:tblCellMar>
        </w:tblPrEx>
        <w:trPr>
          <w:trHeight w:val="1275" w:hRule="atLeast"/>
        </w:trPr>
        <w:tc>
          <w:tcPr>
            <w:tcW w:w="81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C55868C">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效益（25）　</w:t>
            </w:r>
          </w:p>
        </w:tc>
        <w:tc>
          <w:tcPr>
            <w:tcW w:w="77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504234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项目效益　</w:t>
            </w:r>
          </w:p>
        </w:tc>
        <w:tc>
          <w:tcPr>
            <w:tcW w:w="62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C21BB6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15</w:t>
            </w:r>
          </w:p>
        </w:tc>
        <w:tc>
          <w:tcPr>
            <w:tcW w:w="8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509A77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实施效益</w:t>
            </w:r>
          </w:p>
        </w:tc>
        <w:tc>
          <w:tcPr>
            <w:tcW w:w="62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BB201E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15</w:t>
            </w:r>
          </w:p>
        </w:tc>
        <w:tc>
          <w:tcPr>
            <w:tcW w:w="171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090067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社会效益的实现情况</w:t>
            </w:r>
          </w:p>
        </w:tc>
        <w:tc>
          <w:tcPr>
            <w:tcW w:w="3268" w:type="dxa"/>
            <w:tcBorders>
              <w:top w:val="single" w:color="auto" w:sz="4" w:space="0"/>
              <w:left w:val="single" w:color="auto" w:sz="4" w:space="0"/>
              <w:bottom w:val="single" w:color="auto" w:sz="4" w:space="0"/>
              <w:right w:val="single" w:color="auto" w:sz="4" w:space="0"/>
            </w:tcBorders>
            <w:shd w:val="clear" w:color="auto" w:fill="auto"/>
            <w:vAlign w:val="center"/>
          </w:tcPr>
          <w:p w14:paraId="24BF9B67">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受众人次≥500人次</w:t>
            </w:r>
          </w:p>
        </w:tc>
        <w:tc>
          <w:tcPr>
            <w:tcW w:w="77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A9CABD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1053" w:type="dxa"/>
            <w:tcBorders>
              <w:top w:val="single" w:color="auto" w:sz="4" w:space="0"/>
              <w:left w:val="single" w:color="auto" w:sz="4" w:space="0"/>
              <w:bottom w:val="single" w:color="auto" w:sz="4" w:space="0"/>
              <w:right w:val="single" w:color="auto" w:sz="4" w:space="0"/>
            </w:tcBorders>
            <w:shd w:val="clear" w:color="auto" w:fill="auto"/>
            <w:vAlign w:val="center"/>
          </w:tcPr>
          <w:p w14:paraId="2E7C17CB">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3.6</w:t>
            </w:r>
          </w:p>
        </w:tc>
        <w:tc>
          <w:tcPr>
            <w:tcW w:w="334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8E74F3C">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val="en-US" w:eastAsia="zh-CN" w:bidi="ar"/>
              </w:rPr>
              <w:t>社会效益仍有进一步提升的空间</w:t>
            </w:r>
          </w:p>
        </w:tc>
      </w:tr>
      <w:tr w14:paraId="22A93EBD">
        <w:tblPrEx>
          <w:tblCellMar>
            <w:top w:w="0" w:type="dxa"/>
            <w:left w:w="108" w:type="dxa"/>
            <w:bottom w:w="0" w:type="dxa"/>
            <w:right w:w="108" w:type="dxa"/>
          </w:tblCellMar>
        </w:tblPrEx>
        <w:trPr>
          <w:trHeight w:val="1275" w:hRule="atLeast"/>
        </w:trPr>
        <w:tc>
          <w:tcPr>
            <w:tcW w:w="816" w:type="dxa"/>
            <w:vMerge w:val="continue"/>
            <w:tcBorders>
              <w:top w:val="single" w:color="auto" w:sz="4" w:space="0"/>
              <w:left w:val="single" w:color="auto" w:sz="4" w:space="0"/>
              <w:bottom w:val="single" w:color="auto" w:sz="4" w:space="0"/>
              <w:right w:val="single" w:color="000000" w:sz="4" w:space="0"/>
            </w:tcBorders>
            <w:shd w:val="clear" w:color="auto" w:fill="auto"/>
            <w:vAlign w:val="center"/>
          </w:tcPr>
          <w:p w14:paraId="66308151">
            <w:pPr>
              <w:jc w:val="center"/>
              <w:rPr>
                <w:rFonts w:ascii="宋体" w:hAnsi="宋体" w:eastAsia="宋体" w:cs="宋体"/>
                <w:color w:val="000000"/>
                <w:sz w:val="20"/>
                <w:szCs w:val="20"/>
              </w:rPr>
            </w:pPr>
          </w:p>
        </w:tc>
        <w:tc>
          <w:tcPr>
            <w:tcW w:w="771" w:type="dxa"/>
            <w:vMerge w:val="continue"/>
            <w:tcBorders>
              <w:top w:val="single" w:color="auto" w:sz="4" w:space="0"/>
              <w:left w:val="single" w:color="000000" w:sz="4" w:space="0"/>
              <w:bottom w:val="single" w:color="auto" w:sz="4" w:space="0"/>
              <w:right w:val="single" w:color="auto" w:sz="4" w:space="0"/>
            </w:tcBorders>
            <w:shd w:val="clear" w:color="auto" w:fill="auto"/>
            <w:vAlign w:val="center"/>
          </w:tcPr>
          <w:p w14:paraId="6C026E8F">
            <w:pPr>
              <w:jc w:val="center"/>
              <w:rPr>
                <w:rFonts w:ascii="宋体" w:hAnsi="宋体" w:eastAsia="宋体" w:cs="宋体"/>
                <w:color w:val="000000"/>
                <w:sz w:val="20"/>
                <w:szCs w:val="20"/>
              </w:rPr>
            </w:pPr>
          </w:p>
        </w:tc>
        <w:tc>
          <w:tcPr>
            <w:tcW w:w="620" w:type="dxa"/>
            <w:vMerge w:val="continue"/>
            <w:tcBorders>
              <w:top w:val="single" w:color="auto" w:sz="4" w:space="0"/>
              <w:left w:val="single" w:color="auto" w:sz="4" w:space="0"/>
              <w:bottom w:val="single" w:color="000000" w:sz="4" w:space="0"/>
              <w:right w:val="single" w:color="auto" w:sz="4" w:space="0"/>
            </w:tcBorders>
            <w:shd w:val="clear" w:color="auto" w:fill="auto"/>
            <w:vAlign w:val="center"/>
          </w:tcPr>
          <w:p w14:paraId="5AB9CA6E">
            <w:pPr>
              <w:jc w:val="center"/>
              <w:rPr>
                <w:rFonts w:ascii="宋体" w:hAnsi="宋体" w:eastAsia="宋体" w:cs="宋体"/>
                <w:color w:val="000000"/>
                <w:sz w:val="20"/>
                <w:szCs w:val="20"/>
              </w:rPr>
            </w:pPr>
          </w:p>
        </w:tc>
        <w:tc>
          <w:tcPr>
            <w:tcW w:w="826" w:type="dxa"/>
            <w:vMerge w:val="continue"/>
            <w:tcBorders>
              <w:top w:val="single" w:color="auto" w:sz="4" w:space="0"/>
              <w:left w:val="single" w:color="auto" w:sz="4" w:space="0"/>
              <w:bottom w:val="single" w:color="auto" w:sz="4" w:space="0"/>
              <w:right w:val="single" w:color="000000" w:sz="4" w:space="0"/>
            </w:tcBorders>
            <w:shd w:val="clear" w:color="auto" w:fill="auto"/>
            <w:vAlign w:val="center"/>
          </w:tcPr>
          <w:p w14:paraId="72976C60">
            <w:pPr>
              <w:jc w:val="center"/>
              <w:rPr>
                <w:rFonts w:ascii="宋体" w:hAnsi="宋体" w:eastAsia="宋体" w:cs="宋体"/>
                <w:color w:val="000000"/>
                <w:sz w:val="20"/>
                <w:szCs w:val="20"/>
              </w:rPr>
            </w:pPr>
          </w:p>
        </w:tc>
        <w:tc>
          <w:tcPr>
            <w:tcW w:w="620" w:type="dxa"/>
            <w:vMerge w:val="continue"/>
            <w:tcBorders>
              <w:top w:val="single" w:color="auto" w:sz="4" w:space="0"/>
              <w:left w:val="single" w:color="000000" w:sz="4" w:space="0"/>
              <w:bottom w:val="single" w:color="auto" w:sz="4" w:space="0"/>
              <w:right w:val="single" w:color="000000" w:sz="4" w:space="0"/>
            </w:tcBorders>
            <w:shd w:val="clear" w:color="auto" w:fill="auto"/>
            <w:vAlign w:val="center"/>
          </w:tcPr>
          <w:p w14:paraId="54626DD1">
            <w:pPr>
              <w:jc w:val="center"/>
              <w:rPr>
                <w:rFonts w:ascii="宋体" w:hAnsi="宋体" w:eastAsia="宋体" w:cs="宋体"/>
                <w:color w:val="000000"/>
                <w:sz w:val="20"/>
                <w:szCs w:val="20"/>
              </w:rPr>
            </w:pPr>
          </w:p>
        </w:tc>
        <w:tc>
          <w:tcPr>
            <w:tcW w:w="1712" w:type="dxa"/>
            <w:vMerge w:val="continue"/>
            <w:tcBorders>
              <w:top w:val="single" w:color="auto" w:sz="4" w:space="0"/>
              <w:left w:val="single" w:color="000000" w:sz="4" w:space="0"/>
              <w:bottom w:val="single" w:color="auto" w:sz="4" w:space="0"/>
              <w:right w:val="single" w:color="auto" w:sz="4" w:space="0"/>
            </w:tcBorders>
            <w:shd w:val="clear" w:color="auto" w:fill="auto"/>
            <w:vAlign w:val="center"/>
          </w:tcPr>
          <w:p w14:paraId="190A1828">
            <w:pPr>
              <w:jc w:val="center"/>
              <w:rPr>
                <w:rFonts w:ascii="宋体" w:hAnsi="宋体" w:eastAsia="宋体" w:cs="宋体"/>
                <w:color w:val="000000"/>
                <w:sz w:val="20"/>
                <w:szCs w:val="20"/>
              </w:rPr>
            </w:pPr>
          </w:p>
        </w:tc>
        <w:tc>
          <w:tcPr>
            <w:tcW w:w="3268" w:type="dxa"/>
            <w:tcBorders>
              <w:top w:val="single" w:color="auto" w:sz="4" w:space="0"/>
              <w:left w:val="single" w:color="auto" w:sz="4" w:space="0"/>
              <w:bottom w:val="single" w:color="000000" w:sz="4" w:space="0"/>
              <w:right w:val="single" w:color="000000" w:sz="4" w:space="0"/>
            </w:tcBorders>
            <w:shd w:val="clear" w:color="auto" w:fill="auto"/>
            <w:vAlign w:val="center"/>
          </w:tcPr>
          <w:p w14:paraId="535887FF">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媒体报道≥4家</w:t>
            </w:r>
          </w:p>
        </w:tc>
        <w:tc>
          <w:tcPr>
            <w:tcW w:w="772"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14:paraId="38EBE3C1">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1053" w:type="dxa"/>
            <w:tcBorders>
              <w:top w:val="single" w:color="auto" w:sz="4" w:space="0"/>
              <w:left w:val="single" w:color="000000" w:sz="4" w:space="0"/>
              <w:bottom w:val="single" w:color="000000" w:sz="4" w:space="0"/>
              <w:right w:val="single" w:color="000000" w:sz="4" w:space="0"/>
            </w:tcBorders>
            <w:shd w:val="clear" w:color="auto" w:fill="auto"/>
            <w:vAlign w:val="center"/>
          </w:tcPr>
          <w:p w14:paraId="1B3DCC6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4</w:t>
            </w:r>
          </w:p>
        </w:tc>
        <w:tc>
          <w:tcPr>
            <w:tcW w:w="3347" w:type="dxa"/>
            <w:vMerge w:val="continue"/>
            <w:tcBorders>
              <w:top w:val="single" w:color="auto" w:sz="4" w:space="0"/>
              <w:left w:val="single" w:color="000000" w:sz="4" w:space="0"/>
              <w:bottom w:val="single" w:color="000000" w:sz="4" w:space="0"/>
              <w:right w:val="single" w:color="auto" w:sz="4" w:space="0"/>
            </w:tcBorders>
            <w:shd w:val="clear" w:color="auto" w:fill="auto"/>
            <w:vAlign w:val="center"/>
          </w:tcPr>
          <w:p w14:paraId="4F68BA50">
            <w:pPr>
              <w:jc w:val="left"/>
              <w:rPr>
                <w:rFonts w:ascii="宋体" w:hAnsi="宋体" w:eastAsia="宋体" w:cs="宋体"/>
                <w:color w:val="000000"/>
                <w:sz w:val="20"/>
                <w:szCs w:val="20"/>
              </w:rPr>
            </w:pPr>
          </w:p>
        </w:tc>
      </w:tr>
      <w:tr w14:paraId="5D7A5877">
        <w:tblPrEx>
          <w:tblCellMar>
            <w:top w:w="0" w:type="dxa"/>
            <w:left w:w="108" w:type="dxa"/>
            <w:bottom w:w="0" w:type="dxa"/>
            <w:right w:w="108" w:type="dxa"/>
          </w:tblCellMar>
        </w:tblPrEx>
        <w:trPr>
          <w:trHeight w:val="765" w:hRule="atLeast"/>
        </w:trPr>
        <w:tc>
          <w:tcPr>
            <w:tcW w:w="816" w:type="dxa"/>
            <w:vMerge w:val="continue"/>
            <w:tcBorders>
              <w:top w:val="single" w:color="auto" w:sz="4" w:space="0"/>
              <w:left w:val="single" w:color="auto" w:sz="4" w:space="0"/>
              <w:bottom w:val="single" w:color="auto" w:sz="4" w:space="0"/>
              <w:right w:val="single" w:color="000000" w:sz="4" w:space="0"/>
            </w:tcBorders>
            <w:shd w:val="clear" w:color="auto" w:fill="auto"/>
            <w:vAlign w:val="center"/>
          </w:tcPr>
          <w:p w14:paraId="54D2F333">
            <w:pPr>
              <w:jc w:val="center"/>
              <w:rPr>
                <w:rFonts w:ascii="宋体" w:hAnsi="宋体" w:eastAsia="宋体" w:cs="宋体"/>
                <w:color w:val="000000"/>
                <w:sz w:val="20"/>
                <w:szCs w:val="20"/>
              </w:rPr>
            </w:pPr>
          </w:p>
        </w:tc>
        <w:tc>
          <w:tcPr>
            <w:tcW w:w="771" w:type="dxa"/>
            <w:vMerge w:val="continue"/>
            <w:tcBorders>
              <w:top w:val="single" w:color="auto" w:sz="4" w:space="0"/>
              <w:left w:val="single" w:color="000000" w:sz="4" w:space="0"/>
              <w:bottom w:val="single" w:color="auto" w:sz="4" w:space="0"/>
              <w:right w:val="single" w:color="auto" w:sz="4" w:space="0"/>
            </w:tcBorders>
            <w:shd w:val="clear" w:color="auto" w:fill="auto"/>
            <w:vAlign w:val="center"/>
          </w:tcPr>
          <w:p w14:paraId="26C4B401">
            <w:pPr>
              <w:jc w:val="center"/>
              <w:rPr>
                <w:rFonts w:ascii="宋体" w:hAnsi="宋体" w:eastAsia="宋体" w:cs="宋体"/>
                <w:color w:val="000000"/>
                <w:sz w:val="20"/>
                <w:szCs w:val="20"/>
              </w:rPr>
            </w:pPr>
          </w:p>
        </w:tc>
        <w:tc>
          <w:tcPr>
            <w:tcW w:w="620" w:type="dxa"/>
            <w:vMerge w:val="continue"/>
            <w:tcBorders>
              <w:top w:val="single" w:color="000000" w:sz="4" w:space="0"/>
              <w:left w:val="single" w:color="auto" w:sz="4" w:space="0"/>
              <w:bottom w:val="single" w:color="000000" w:sz="4" w:space="0"/>
              <w:right w:val="single" w:color="auto" w:sz="4" w:space="0"/>
            </w:tcBorders>
            <w:shd w:val="clear" w:color="auto" w:fill="auto"/>
            <w:vAlign w:val="center"/>
          </w:tcPr>
          <w:p w14:paraId="32FA193A">
            <w:pPr>
              <w:jc w:val="center"/>
              <w:rPr>
                <w:rFonts w:ascii="宋体" w:hAnsi="宋体" w:eastAsia="宋体" w:cs="宋体"/>
                <w:color w:val="000000"/>
                <w:sz w:val="20"/>
                <w:szCs w:val="20"/>
              </w:rPr>
            </w:pPr>
          </w:p>
        </w:tc>
        <w:tc>
          <w:tcPr>
            <w:tcW w:w="826" w:type="dxa"/>
            <w:vMerge w:val="continue"/>
            <w:tcBorders>
              <w:top w:val="single" w:color="auto" w:sz="4" w:space="0"/>
              <w:left w:val="single" w:color="auto" w:sz="4" w:space="0"/>
              <w:bottom w:val="nil"/>
              <w:right w:val="single" w:color="000000" w:sz="4" w:space="0"/>
            </w:tcBorders>
            <w:shd w:val="clear" w:color="auto" w:fill="auto"/>
            <w:vAlign w:val="center"/>
          </w:tcPr>
          <w:p w14:paraId="6ECD48C5">
            <w:pPr>
              <w:jc w:val="center"/>
              <w:rPr>
                <w:rFonts w:ascii="宋体" w:hAnsi="宋体" w:eastAsia="宋体" w:cs="宋体"/>
                <w:color w:val="000000"/>
                <w:sz w:val="20"/>
                <w:szCs w:val="20"/>
              </w:rPr>
            </w:pPr>
          </w:p>
        </w:tc>
        <w:tc>
          <w:tcPr>
            <w:tcW w:w="620" w:type="dxa"/>
            <w:vMerge w:val="continue"/>
            <w:tcBorders>
              <w:top w:val="single" w:color="auto" w:sz="4" w:space="0"/>
              <w:left w:val="single" w:color="000000" w:sz="4" w:space="0"/>
              <w:bottom w:val="nil"/>
              <w:right w:val="single" w:color="000000" w:sz="4" w:space="0"/>
            </w:tcBorders>
            <w:shd w:val="clear" w:color="auto" w:fill="auto"/>
            <w:vAlign w:val="center"/>
          </w:tcPr>
          <w:p w14:paraId="5F7CCC81">
            <w:pPr>
              <w:jc w:val="center"/>
              <w:rPr>
                <w:rFonts w:ascii="宋体" w:hAnsi="宋体" w:eastAsia="宋体" w:cs="宋体"/>
                <w:color w:val="000000"/>
                <w:sz w:val="20"/>
                <w:szCs w:val="20"/>
              </w:rPr>
            </w:pPr>
          </w:p>
        </w:tc>
        <w:tc>
          <w:tcPr>
            <w:tcW w:w="1712" w:type="dxa"/>
            <w:tcBorders>
              <w:top w:val="single" w:color="auto" w:sz="4" w:space="0"/>
              <w:left w:val="single" w:color="000000" w:sz="4" w:space="0"/>
              <w:bottom w:val="nil"/>
              <w:right w:val="single" w:color="000000" w:sz="4" w:space="0"/>
            </w:tcBorders>
            <w:shd w:val="clear" w:color="auto" w:fill="auto"/>
            <w:vAlign w:val="center"/>
          </w:tcPr>
          <w:p w14:paraId="17930386">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可持续影响指标的实现情况</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B0155">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推动魔术艺术发展</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0BF1D60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5</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4B889">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4</w:t>
            </w:r>
          </w:p>
        </w:tc>
        <w:tc>
          <w:tcPr>
            <w:tcW w:w="3347" w:type="dxa"/>
            <w:vMerge w:val="continue"/>
            <w:tcBorders>
              <w:top w:val="single" w:color="000000" w:sz="4" w:space="0"/>
              <w:left w:val="single" w:color="000000" w:sz="4" w:space="0"/>
              <w:bottom w:val="single" w:color="000000" w:sz="4" w:space="0"/>
              <w:right w:val="single" w:color="auto" w:sz="4" w:space="0"/>
            </w:tcBorders>
            <w:shd w:val="clear" w:color="auto" w:fill="auto"/>
            <w:vAlign w:val="center"/>
          </w:tcPr>
          <w:p w14:paraId="6FEADEC4">
            <w:pPr>
              <w:jc w:val="left"/>
              <w:rPr>
                <w:rFonts w:ascii="宋体" w:hAnsi="宋体" w:eastAsia="宋体" w:cs="宋体"/>
                <w:color w:val="000000"/>
                <w:sz w:val="20"/>
                <w:szCs w:val="20"/>
              </w:rPr>
            </w:pPr>
          </w:p>
        </w:tc>
      </w:tr>
      <w:tr w14:paraId="5D1D9C58">
        <w:tblPrEx>
          <w:tblCellMar>
            <w:top w:w="0" w:type="dxa"/>
            <w:left w:w="108" w:type="dxa"/>
            <w:bottom w:w="0" w:type="dxa"/>
            <w:right w:w="108" w:type="dxa"/>
          </w:tblCellMar>
        </w:tblPrEx>
        <w:trPr>
          <w:trHeight w:val="680" w:hRule="atLeast"/>
        </w:trPr>
        <w:tc>
          <w:tcPr>
            <w:tcW w:w="816" w:type="dxa"/>
            <w:vMerge w:val="continue"/>
            <w:tcBorders>
              <w:top w:val="single" w:color="auto" w:sz="4" w:space="0"/>
              <w:left w:val="single" w:color="auto" w:sz="4" w:space="0"/>
              <w:bottom w:val="nil"/>
              <w:right w:val="single" w:color="000000" w:sz="4" w:space="0"/>
            </w:tcBorders>
            <w:shd w:val="clear" w:color="auto" w:fill="auto"/>
            <w:vAlign w:val="center"/>
          </w:tcPr>
          <w:p w14:paraId="440F8BD3">
            <w:pPr>
              <w:jc w:val="center"/>
              <w:rPr>
                <w:rFonts w:ascii="宋体" w:hAnsi="宋体" w:eastAsia="宋体" w:cs="宋体"/>
                <w:color w:val="000000"/>
                <w:sz w:val="20"/>
                <w:szCs w:val="20"/>
              </w:rPr>
            </w:pPr>
          </w:p>
        </w:tc>
        <w:tc>
          <w:tcPr>
            <w:tcW w:w="771" w:type="dxa"/>
            <w:tcBorders>
              <w:top w:val="single" w:color="auto" w:sz="4" w:space="0"/>
              <w:left w:val="single" w:color="000000" w:sz="4" w:space="0"/>
              <w:bottom w:val="nil"/>
              <w:right w:val="single" w:color="000000" w:sz="4" w:space="0"/>
            </w:tcBorders>
            <w:shd w:val="clear" w:color="auto" w:fill="auto"/>
            <w:vAlign w:val="center"/>
          </w:tcPr>
          <w:p w14:paraId="368D28C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满意度</w:t>
            </w:r>
          </w:p>
        </w:tc>
        <w:tc>
          <w:tcPr>
            <w:tcW w:w="62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5AFD52">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826" w:type="dxa"/>
            <w:tcBorders>
              <w:top w:val="single" w:color="000000" w:sz="4" w:space="0"/>
              <w:left w:val="single" w:color="000000" w:sz="4" w:space="0"/>
              <w:bottom w:val="nil"/>
              <w:right w:val="single" w:color="000000" w:sz="4" w:space="0"/>
            </w:tcBorders>
            <w:shd w:val="clear" w:color="auto" w:fill="auto"/>
            <w:vAlign w:val="center"/>
          </w:tcPr>
          <w:p w14:paraId="0E849AD8">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满意度</w:t>
            </w:r>
          </w:p>
        </w:tc>
        <w:tc>
          <w:tcPr>
            <w:tcW w:w="620" w:type="dxa"/>
            <w:tcBorders>
              <w:top w:val="single" w:color="000000" w:sz="4" w:space="0"/>
              <w:left w:val="single" w:color="000000" w:sz="4" w:space="0"/>
              <w:bottom w:val="nil"/>
              <w:right w:val="single" w:color="000000" w:sz="4" w:space="0"/>
            </w:tcBorders>
            <w:shd w:val="clear" w:color="auto" w:fill="auto"/>
            <w:vAlign w:val="center"/>
          </w:tcPr>
          <w:p w14:paraId="4790F3D5">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712" w:type="dxa"/>
            <w:tcBorders>
              <w:top w:val="single" w:color="000000" w:sz="4" w:space="0"/>
              <w:left w:val="single" w:color="000000" w:sz="4" w:space="0"/>
              <w:bottom w:val="nil"/>
              <w:right w:val="single" w:color="000000" w:sz="4" w:space="0"/>
            </w:tcBorders>
            <w:shd w:val="clear" w:color="auto" w:fill="auto"/>
            <w:vAlign w:val="center"/>
          </w:tcPr>
          <w:p w14:paraId="4787C5E0">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满意度</w:t>
            </w:r>
          </w:p>
        </w:tc>
        <w:tc>
          <w:tcPr>
            <w:tcW w:w="326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3DA43">
            <w:pPr>
              <w:widowControl/>
              <w:jc w:val="left"/>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受众满意度≥90%</w:t>
            </w:r>
          </w:p>
        </w:tc>
        <w:tc>
          <w:tcPr>
            <w:tcW w:w="7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B62DEA7">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10</w:t>
            </w:r>
          </w:p>
        </w:tc>
        <w:tc>
          <w:tcPr>
            <w:tcW w:w="10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5E1DE">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9</w:t>
            </w:r>
          </w:p>
        </w:tc>
        <w:tc>
          <w:tcPr>
            <w:tcW w:w="334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6E934">
            <w:pPr>
              <w:widowControl/>
              <w:jc w:val="left"/>
              <w:textAlignment w:val="center"/>
              <w:rPr>
                <w:rFonts w:hint="default" w:ascii="宋体" w:hAnsi="宋体" w:eastAsia="宋体" w:cs="宋体"/>
                <w:color w:val="000000"/>
                <w:sz w:val="20"/>
                <w:szCs w:val="20"/>
                <w:lang w:val="en-US" w:eastAsia="zh-CN"/>
              </w:rPr>
            </w:pPr>
            <w:r>
              <w:rPr>
                <w:rFonts w:hint="eastAsia" w:ascii="宋体" w:hAnsi="宋体" w:eastAsia="宋体" w:cs="宋体"/>
                <w:color w:val="000000"/>
                <w:kern w:val="0"/>
                <w:sz w:val="20"/>
                <w:szCs w:val="20"/>
                <w:lang w:val="en-US" w:eastAsia="zh-CN" w:bidi="ar"/>
              </w:rPr>
              <w:t>满意度调查工作可进一步完善</w:t>
            </w:r>
          </w:p>
        </w:tc>
      </w:tr>
      <w:tr w14:paraId="5308B999">
        <w:tblPrEx>
          <w:tblCellMar>
            <w:top w:w="0" w:type="dxa"/>
            <w:left w:w="108" w:type="dxa"/>
            <w:bottom w:w="0" w:type="dxa"/>
            <w:right w:w="108" w:type="dxa"/>
          </w:tblCellMar>
        </w:tblPrEx>
        <w:trPr>
          <w:trHeight w:val="462" w:hRule="atLeast"/>
        </w:trPr>
        <w:tc>
          <w:tcPr>
            <w:tcW w:w="158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95A83BD">
            <w:pPr>
              <w:widowControl/>
              <w:jc w:val="center"/>
              <w:textAlignment w:val="center"/>
              <w:rPr>
                <w:rFonts w:ascii="宋体" w:hAnsi="宋体" w:eastAsia="宋体" w:cs="宋体"/>
                <w:color w:val="000000"/>
                <w:sz w:val="20"/>
                <w:szCs w:val="20"/>
              </w:rPr>
            </w:pPr>
            <w:r>
              <w:rPr>
                <w:rFonts w:hint="eastAsia" w:ascii="宋体" w:hAnsi="宋体" w:eastAsia="宋体" w:cs="宋体"/>
                <w:color w:val="000000"/>
                <w:kern w:val="0"/>
                <w:sz w:val="20"/>
                <w:szCs w:val="20"/>
                <w:lang w:bidi="ar"/>
              </w:rPr>
              <w:t>合计</w:t>
            </w:r>
          </w:p>
        </w:tc>
        <w:tc>
          <w:tcPr>
            <w:tcW w:w="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2B76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100</w:t>
            </w:r>
          </w:p>
        </w:tc>
        <w:tc>
          <w:tcPr>
            <w:tcW w:w="82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90604">
            <w:pPr>
              <w:jc w:val="left"/>
              <w:rPr>
                <w:rFonts w:ascii="等线" w:hAnsi="等线" w:eastAsia="等线" w:cs="等线"/>
                <w:color w:val="000000"/>
                <w:sz w:val="20"/>
                <w:szCs w:val="20"/>
              </w:rPr>
            </w:pPr>
          </w:p>
        </w:tc>
        <w:tc>
          <w:tcPr>
            <w:tcW w:w="62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9F4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100</w:t>
            </w:r>
          </w:p>
        </w:tc>
        <w:tc>
          <w:tcPr>
            <w:tcW w:w="4984" w:type="dxa"/>
            <w:gridSpan w:val="3"/>
            <w:tcBorders>
              <w:top w:val="single" w:color="000000" w:sz="4" w:space="0"/>
              <w:left w:val="single" w:color="000000" w:sz="4" w:space="0"/>
              <w:bottom w:val="single" w:color="000000" w:sz="4" w:space="0"/>
              <w:right w:val="single" w:color="auto" w:sz="4" w:space="0"/>
            </w:tcBorders>
            <w:shd w:val="clear" w:color="auto" w:fill="auto"/>
            <w:noWrap/>
            <w:vAlign w:val="center"/>
          </w:tcPr>
          <w:p w14:paraId="00DCA995">
            <w:pPr>
              <w:widowControl/>
              <w:jc w:val="center"/>
              <w:textAlignment w:val="center"/>
              <w:rPr>
                <w:rFonts w:ascii="等线" w:hAnsi="等线" w:eastAsia="等线" w:cs="等线"/>
                <w:color w:val="000000"/>
                <w:sz w:val="20"/>
                <w:szCs w:val="20"/>
              </w:rPr>
            </w:pPr>
          </w:p>
        </w:tc>
        <w:tc>
          <w:tcPr>
            <w:tcW w:w="768" w:type="dxa"/>
            <w:tcBorders>
              <w:top w:val="single" w:color="000000" w:sz="4" w:space="0"/>
              <w:left w:val="single" w:color="auto" w:sz="4" w:space="0"/>
              <w:bottom w:val="single" w:color="000000" w:sz="4" w:space="0"/>
              <w:right w:val="single" w:color="auto" w:sz="4" w:space="0"/>
            </w:tcBorders>
            <w:shd w:val="clear" w:color="auto" w:fill="auto"/>
            <w:noWrap/>
            <w:vAlign w:val="center"/>
          </w:tcPr>
          <w:p w14:paraId="77DA4603">
            <w:pPr>
              <w:widowControl/>
              <w:jc w:val="center"/>
              <w:textAlignment w:val="center"/>
              <w:rPr>
                <w:rFonts w:hint="default" w:ascii="等线" w:hAnsi="等线" w:eastAsia="等线" w:cs="等线"/>
                <w:color w:val="000000"/>
                <w:kern w:val="0"/>
                <w:sz w:val="20"/>
                <w:szCs w:val="20"/>
                <w:lang w:val="en-US" w:eastAsia="zh-CN" w:bidi="ar"/>
              </w:rPr>
            </w:pPr>
            <w:r>
              <w:rPr>
                <w:rFonts w:hint="eastAsia" w:ascii="等线" w:hAnsi="等线" w:eastAsia="等线" w:cs="等线"/>
                <w:color w:val="000000"/>
                <w:kern w:val="0"/>
                <w:sz w:val="20"/>
                <w:szCs w:val="20"/>
                <w:lang w:val="en-US" w:eastAsia="zh-CN" w:bidi="ar"/>
              </w:rPr>
              <w:t>100</w:t>
            </w:r>
          </w:p>
        </w:tc>
        <w:tc>
          <w:tcPr>
            <w:tcW w:w="1053" w:type="dxa"/>
            <w:tcBorders>
              <w:top w:val="single" w:color="000000" w:sz="4" w:space="0"/>
              <w:left w:val="single" w:color="auto" w:sz="4" w:space="0"/>
              <w:bottom w:val="single" w:color="000000" w:sz="4" w:space="0"/>
              <w:right w:val="single" w:color="000000" w:sz="4" w:space="0"/>
            </w:tcBorders>
            <w:shd w:val="clear" w:color="auto" w:fill="auto"/>
            <w:noWrap/>
            <w:vAlign w:val="center"/>
          </w:tcPr>
          <w:p w14:paraId="2C96BA2D">
            <w:pPr>
              <w:widowControl/>
              <w:jc w:val="center"/>
              <w:textAlignment w:val="center"/>
              <w:rPr>
                <w:rFonts w:hint="eastAsia" w:ascii="等线" w:hAnsi="等线" w:eastAsia="等线" w:cs="等线"/>
                <w:color w:val="000000"/>
                <w:kern w:val="0"/>
                <w:sz w:val="20"/>
                <w:szCs w:val="20"/>
                <w:lang w:bidi="ar"/>
              </w:rPr>
            </w:pPr>
            <w:r>
              <w:rPr>
                <w:rFonts w:hint="eastAsia" w:ascii="等线" w:hAnsi="等线" w:eastAsia="等线" w:cs="等线"/>
                <w:color w:val="000000"/>
                <w:kern w:val="0"/>
                <w:sz w:val="20"/>
                <w:szCs w:val="20"/>
                <w:lang w:bidi="ar"/>
              </w:rPr>
              <w:t>85.10</w:t>
            </w:r>
          </w:p>
        </w:tc>
        <w:tc>
          <w:tcPr>
            <w:tcW w:w="334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19696">
            <w:pPr>
              <w:jc w:val="left"/>
              <w:rPr>
                <w:rFonts w:ascii="等线" w:hAnsi="等线" w:eastAsia="等线" w:cs="等线"/>
                <w:color w:val="000000"/>
                <w:sz w:val="20"/>
                <w:szCs w:val="20"/>
              </w:rPr>
            </w:pPr>
          </w:p>
        </w:tc>
      </w:tr>
    </w:tbl>
    <w:p w14:paraId="63587F00">
      <w:pPr>
        <w:adjustRightInd w:val="0"/>
        <w:snapToGrid w:val="0"/>
        <w:spacing w:line="360" w:lineRule="auto"/>
        <w:ind w:firstLine="420" w:firstLineChars="200"/>
        <w:sectPr>
          <w:pgSz w:w="16838" w:h="11906" w:orient="landscape"/>
          <w:pgMar w:top="1800" w:right="1440" w:bottom="1800" w:left="1440" w:header="851" w:footer="992" w:gutter="0"/>
          <w:cols w:space="425" w:num="1"/>
          <w:docGrid w:type="lines" w:linePitch="312" w:charSpace="0"/>
        </w:sectPr>
      </w:pPr>
    </w:p>
    <w:p w14:paraId="6AF39741">
      <w:pPr>
        <w:pStyle w:val="6"/>
      </w:pPr>
      <w:bookmarkStart w:id="24" w:name="_GoBack"/>
      <w:bookmarkEnd w:id="24"/>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ESI仿宋-GB2312">
    <w:altName w:val="仿宋"/>
    <w:panose1 w:val="02000500000000000000"/>
    <w:charset w:val="86"/>
    <w:family w:val="auto"/>
    <w:pitch w:val="default"/>
    <w:sig w:usb0="00000000" w:usb1="00000000" w:usb2="00000010" w:usb3="00000000" w:csb0="0004000F"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D5E486">
    <w:pPr>
      <w:pStyle w:val="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FF770AC">
                          <w:pPr>
                            <w:pStyle w:val="2"/>
                          </w:pPr>
                          <w:r>
                            <w:fldChar w:fldCharType="begin"/>
                          </w:r>
                          <w:r>
                            <w:instrText xml:space="preserve"> PAGE  \* MERGEFORMAT </w:instrText>
                          </w:r>
                          <w:r>
                            <w:fldChar w:fldCharType="separate"/>
                          </w:r>
                          <w:r>
                            <w:t>33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1FF770AC">
                    <w:pPr>
                      <w:pStyle w:val="2"/>
                    </w:pPr>
                    <w:r>
                      <w:fldChar w:fldCharType="begin"/>
                    </w:r>
                    <w:r>
                      <w:instrText xml:space="preserve"> PAGE  \* MERGEFORMAT </w:instrText>
                    </w:r>
                    <w:r>
                      <w:fldChar w:fldCharType="separate"/>
                    </w:r>
                    <w:r>
                      <w:t>33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FDA9EED"/>
    <w:multiLevelType w:val="singleLevel"/>
    <w:tmpl w:val="BFDA9EED"/>
    <w:lvl w:ilvl="0" w:tentative="0">
      <w:start w:val="2"/>
      <w:numFmt w:val="decimal"/>
      <w:suff w:val="nothing"/>
      <w:lvlText w:val="（%1）"/>
      <w:lvlJc w:val="left"/>
    </w:lvl>
  </w:abstractNum>
  <w:abstractNum w:abstractNumId="1">
    <w:nsid w:val="D21F60C7"/>
    <w:multiLevelType w:val="singleLevel"/>
    <w:tmpl w:val="D21F60C7"/>
    <w:lvl w:ilvl="0" w:tentative="0">
      <w:start w:val="2"/>
      <w:numFmt w:val="chineseCounting"/>
      <w:suff w:val="nothing"/>
      <w:lvlText w:val="（%1）"/>
      <w:lvlJc w:val="left"/>
      <w:rPr>
        <w:rFonts w:hint="eastAsia"/>
      </w:rPr>
    </w:lvl>
  </w:abstractNum>
  <w:abstractNum w:abstractNumId="2">
    <w:nsid w:val="EA5A421F"/>
    <w:multiLevelType w:val="singleLevel"/>
    <w:tmpl w:val="EA5A421F"/>
    <w:lvl w:ilvl="0" w:tentative="0">
      <w:start w:val="2"/>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g2OTViMDc0OGI4NGFhOWViOTYzYmViNmVlNmZjNDMifQ=="/>
  </w:docVars>
  <w:rsids>
    <w:rsidRoot w:val="FF1658F7"/>
    <w:rsid w:val="0001395F"/>
    <w:rsid w:val="00030D27"/>
    <w:rsid w:val="00041BE7"/>
    <w:rsid w:val="00062D5B"/>
    <w:rsid w:val="00071994"/>
    <w:rsid w:val="00072A91"/>
    <w:rsid w:val="00072C29"/>
    <w:rsid w:val="00097A15"/>
    <w:rsid w:val="000B08C7"/>
    <w:rsid w:val="000B4F31"/>
    <w:rsid w:val="000B7E2E"/>
    <w:rsid w:val="000E03A5"/>
    <w:rsid w:val="000E6F21"/>
    <w:rsid w:val="00103A06"/>
    <w:rsid w:val="00113C67"/>
    <w:rsid w:val="001207A7"/>
    <w:rsid w:val="001222B3"/>
    <w:rsid w:val="001278A0"/>
    <w:rsid w:val="00134DC1"/>
    <w:rsid w:val="00150327"/>
    <w:rsid w:val="00152BCB"/>
    <w:rsid w:val="00157E67"/>
    <w:rsid w:val="001725E1"/>
    <w:rsid w:val="00195B6B"/>
    <w:rsid w:val="001A0057"/>
    <w:rsid w:val="001B5C86"/>
    <w:rsid w:val="001D1EA3"/>
    <w:rsid w:val="001D4F1A"/>
    <w:rsid w:val="001E4B79"/>
    <w:rsid w:val="001E54F7"/>
    <w:rsid w:val="001E7016"/>
    <w:rsid w:val="001F0FBA"/>
    <w:rsid w:val="001F5585"/>
    <w:rsid w:val="001F7E05"/>
    <w:rsid w:val="00203D9D"/>
    <w:rsid w:val="00210560"/>
    <w:rsid w:val="0021246E"/>
    <w:rsid w:val="0022043C"/>
    <w:rsid w:val="00221D87"/>
    <w:rsid w:val="0022474F"/>
    <w:rsid w:val="00230B50"/>
    <w:rsid w:val="002463BF"/>
    <w:rsid w:val="00251349"/>
    <w:rsid w:val="00254968"/>
    <w:rsid w:val="002602FD"/>
    <w:rsid w:val="00272AE7"/>
    <w:rsid w:val="00277433"/>
    <w:rsid w:val="00280420"/>
    <w:rsid w:val="002854CD"/>
    <w:rsid w:val="002864EF"/>
    <w:rsid w:val="002C60F5"/>
    <w:rsid w:val="002D2F27"/>
    <w:rsid w:val="002E7A49"/>
    <w:rsid w:val="002F2345"/>
    <w:rsid w:val="003360DD"/>
    <w:rsid w:val="003736FF"/>
    <w:rsid w:val="00376E27"/>
    <w:rsid w:val="00395294"/>
    <w:rsid w:val="003A0FC7"/>
    <w:rsid w:val="003B4D4D"/>
    <w:rsid w:val="003C7407"/>
    <w:rsid w:val="003F30B9"/>
    <w:rsid w:val="003F61A5"/>
    <w:rsid w:val="004106ED"/>
    <w:rsid w:val="00420666"/>
    <w:rsid w:val="004314C2"/>
    <w:rsid w:val="00435A2B"/>
    <w:rsid w:val="00454DF9"/>
    <w:rsid w:val="00455151"/>
    <w:rsid w:val="00477040"/>
    <w:rsid w:val="0048106C"/>
    <w:rsid w:val="004849E6"/>
    <w:rsid w:val="004878F3"/>
    <w:rsid w:val="004946E6"/>
    <w:rsid w:val="00495390"/>
    <w:rsid w:val="004A17ED"/>
    <w:rsid w:val="004A4A80"/>
    <w:rsid w:val="004A7D25"/>
    <w:rsid w:val="004B04AC"/>
    <w:rsid w:val="004C4F21"/>
    <w:rsid w:val="004C506E"/>
    <w:rsid w:val="004D3740"/>
    <w:rsid w:val="00515B0B"/>
    <w:rsid w:val="00542FA2"/>
    <w:rsid w:val="00553C2F"/>
    <w:rsid w:val="00560A7D"/>
    <w:rsid w:val="0058678A"/>
    <w:rsid w:val="005867D5"/>
    <w:rsid w:val="005B11AA"/>
    <w:rsid w:val="005B75F2"/>
    <w:rsid w:val="005C2A0A"/>
    <w:rsid w:val="005D1F8E"/>
    <w:rsid w:val="005D3BF6"/>
    <w:rsid w:val="005F3074"/>
    <w:rsid w:val="005F30E8"/>
    <w:rsid w:val="00602CCA"/>
    <w:rsid w:val="0060493B"/>
    <w:rsid w:val="00613A29"/>
    <w:rsid w:val="006229D7"/>
    <w:rsid w:val="00662801"/>
    <w:rsid w:val="00675D5E"/>
    <w:rsid w:val="00697C72"/>
    <w:rsid w:val="006C0723"/>
    <w:rsid w:val="006C439B"/>
    <w:rsid w:val="006D63D9"/>
    <w:rsid w:val="00730FD2"/>
    <w:rsid w:val="0073424F"/>
    <w:rsid w:val="00741727"/>
    <w:rsid w:val="00747875"/>
    <w:rsid w:val="00752330"/>
    <w:rsid w:val="007566EC"/>
    <w:rsid w:val="007602EA"/>
    <w:rsid w:val="00766807"/>
    <w:rsid w:val="00773767"/>
    <w:rsid w:val="0078568D"/>
    <w:rsid w:val="00797CD8"/>
    <w:rsid w:val="007A3A9B"/>
    <w:rsid w:val="007B3F14"/>
    <w:rsid w:val="007C476B"/>
    <w:rsid w:val="007D5728"/>
    <w:rsid w:val="007E1759"/>
    <w:rsid w:val="007F3AD5"/>
    <w:rsid w:val="007F4AC5"/>
    <w:rsid w:val="0080405E"/>
    <w:rsid w:val="0081256F"/>
    <w:rsid w:val="00837B69"/>
    <w:rsid w:val="00855F18"/>
    <w:rsid w:val="00861F7A"/>
    <w:rsid w:val="008715A4"/>
    <w:rsid w:val="00875EF7"/>
    <w:rsid w:val="008776E6"/>
    <w:rsid w:val="00893863"/>
    <w:rsid w:val="008A33C4"/>
    <w:rsid w:val="008A620C"/>
    <w:rsid w:val="008A7A88"/>
    <w:rsid w:val="008E1514"/>
    <w:rsid w:val="008F681E"/>
    <w:rsid w:val="00901D5B"/>
    <w:rsid w:val="00906F2B"/>
    <w:rsid w:val="009221FC"/>
    <w:rsid w:val="00924983"/>
    <w:rsid w:val="00942599"/>
    <w:rsid w:val="00945909"/>
    <w:rsid w:val="009515BD"/>
    <w:rsid w:val="00954413"/>
    <w:rsid w:val="00977051"/>
    <w:rsid w:val="00983268"/>
    <w:rsid w:val="009A0B9B"/>
    <w:rsid w:val="009A6C5C"/>
    <w:rsid w:val="009B1FFE"/>
    <w:rsid w:val="009C6B26"/>
    <w:rsid w:val="009E5A60"/>
    <w:rsid w:val="009F2549"/>
    <w:rsid w:val="00A01B3F"/>
    <w:rsid w:val="00A23796"/>
    <w:rsid w:val="00A3172F"/>
    <w:rsid w:val="00A51A63"/>
    <w:rsid w:val="00A62880"/>
    <w:rsid w:val="00A64E09"/>
    <w:rsid w:val="00A814E9"/>
    <w:rsid w:val="00A97A42"/>
    <w:rsid w:val="00AA12B5"/>
    <w:rsid w:val="00AD0ADB"/>
    <w:rsid w:val="00AE0316"/>
    <w:rsid w:val="00AF3C7E"/>
    <w:rsid w:val="00B021A4"/>
    <w:rsid w:val="00B139BF"/>
    <w:rsid w:val="00B30D30"/>
    <w:rsid w:val="00B454E2"/>
    <w:rsid w:val="00B5198E"/>
    <w:rsid w:val="00B819FB"/>
    <w:rsid w:val="00B84CF6"/>
    <w:rsid w:val="00B90457"/>
    <w:rsid w:val="00B91D18"/>
    <w:rsid w:val="00BA378A"/>
    <w:rsid w:val="00BC3C01"/>
    <w:rsid w:val="00BE0B85"/>
    <w:rsid w:val="00BE5DB3"/>
    <w:rsid w:val="00C33F01"/>
    <w:rsid w:val="00C522B0"/>
    <w:rsid w:val="00C56CB0"/>
    <w:rsid w:val="00C57144"/>
    <w:rsid w:val="00C81E0F"/>
    <w:rsid w:val="00CB475C"/>
    <w:rsid w:val="00CD554C"/>
    <w:rsid w:val="00CE7AEA"/>
    <w:rsid w:val="00CF056D"/>
    <w:rsid w:val="00D171E2"/>
    <w:rsid w:val="00D2083A"/>
    <w:rsid w:val="00D3497E"/>
    <w:rsid w:val="00D36E8C"/>
    <w:rsid w:val="00D442DB"/>
    <w:rsid w:val="00D60347"/>
    <w:rsid w:val="00D71B71"/>
    <w:rsid w:val="00D72BF7"/>
    <w:rsid w:val="00D73BBA"/>
    <w:rsid w:val="00D87EBE"/>
    <w:rsid w:val="00DD7D41"/>
    <w:rsid w:val="00DE0418"/>
    <w:rsid w:val="00DF3F31"/>
    <w:rsid w:val="00E210F8"/>
    <w:rsid w:val="00E2603D"/>
    <w:rsid w:val="00E36B2D"/>
    <w:rsid w:val="00E36C58"/>
    <w:rsid w:val="00E766CF"/>
    <w:rsid w:val="00E831C9"/>
    <w:rsid w:val="00E9064B"/>
    <w:rsid w:val="00E97AAF"/>
    <w:rsid w:val="00EC1264"/>
    <w:rsid w:val="00EE2082"/>
    <w:rsid w:val="00F04B61"/>
    <w:rsid w:val="00F140FC"/>
    <w:rsid w:val="00F40B36"/>
    <w:rsid w:val="00F511E5"/>
    <w:rsid w:val="00F70D18"/>
    <w:rsid w:val="00F816E5"/>
    <w:rsid w:val="00F90D8B"/>
    <w:rsid w:val="00F92DAC"/>
    <w:rsid w:val="00FC0123"/>
    <w:rsid w:val="00FC049F"/>
    <w:rsid w:val="00FD42D7"/>
    <w:rsid w:val="00FE30D1"/>
    <w:rsid w:val="00FE5229"/>
    <w:rsid w:val="00FF12E3"/>
    <w:rsid w:val="016519C1"/>
    <w:rsid w:val="01E3363E"/>
    <w:rsid w:val="02001D33"/>
    <w:rsid w:val="024912E2"/>
    <w:rsid w:val="02AB37DE"/>
    <w:rsid w:val="02C80BC3"/>
    <w:rsid w:val="03DB41BC"/>
    <w:rsid w:val="0414147C"/>
    <w:rsid w:val="04730898"/>
    <w:rsid w:val="04B43DEE"/>
    <w:rsid w:val="04E900BE"/>
    <w:rsid w:val="05B42F17"/>
    <w:rsid w:val="05E57574"/>
    <w:rsid w:val="05E97064"/>
    <w:rsid w:val="06436049"/>
    <w:rsid w:val="06530982"/>
    <w:rsid w:val="06695AAF"/>
    <w:rsid w:val="066C37F1"/>
    <w:rsid w:val="06785C5B"/>
    <w:rsid w:val="06C76160"/>
    <w:rsid w:val="06D66EBD"/>
    <w:rsid w:val="06D7680F"/>
    <w:rsid w:val="06E94E42"/>
    <w:rsid w:val="074B78AB"/>
    <w:rsid w:val="07634BF4"/>
    <w:rsid w:val="07D653C6"/>
    <w:rsid w:val="087D3A94"/>
    <w:rsid w:val="08A90D2D"/>
    <w:rsid w:val="08B60D54"/>
    <w:rsid w:val="08CE609D"/>
    <w:rsid w:val="08D12032"/>
    <w:rsid w:val="0983332C"/>
    <w:rsid w:val="098F7F23"/>
    <w:rsid w:val="09D726B7"/>
    <w:rsid w:val="09FC30DE"/>
    <w:rsid w:val="0A136FDD"/>
    <w:rsid w:val="0AD36129"/>
    <w:rsid w:val="0AD656DD"/>
    <w:rsid w:val="0B5B4F02"/>
    <w:rsid w:val="0B5D195B"/>
    <w:rsid w:val="0BAC5E29"/>
    <w:rsid w:val="0BDE6F3F"/>
    <w:rsid w:val="0BE04A65"/>
    <w:rsid w:val="0BFE6C9A"/>
    <w:rsid w:val="0C395F24"/>
    <w:rsid w:val="0CF64E24"/>
    <w:rsid w:val="0D2A1D10"/>
    <w:rsid w:val="0D4032E2"/>
    <w:rsid w:val="0D437156"/>
    <w:rsid w:val="0DCC2F98"/>
    <w:rsid w:val="0DCD5AA9"/>
    <w:rsid w:val="0DFA2555"/>
    <w:rsid w:val="0E176739"/>
    <w:rsid w:val="0E197B63"/>
    <w:rsid w:val="0EDE685F"/>
    <w:rsid w:val="0F212E80"/>
    <w:rsid w:val="0F8F60C3"/>
    <w:rsid w:val="0FA15118"/>
    <w:rsid w:val="0FDF2880"/>
    <w:rsid w:val="1097590F"/>
    <w:rsid w:val="10DF3491"/>
    <w:rsid w:val="10E548CC"/>
    <w:rsid w:val="11360C84"/>
    <w:rsid w:val="11D72467"/>
    <w:rsid w:val="11E42DD6"/>
    <w:rsid w:val="11F528ED"/>
    <w:rsid w:val="12ED31C6"/>
    <w:rsid w:val="13370CE3"/>
    <w:rsid w:val="135853E1"/>
    <w:rsid w:val="135F0966"/>
    <w:rsid w:val="13672ACC"/>
    <w:rsid w:val="13960383"/>
    <w:rsid w:val="14983A03"/>
    <w:rsid w:val="14CB202B"/>
    <w:rsid w:val="151C63E2"/>
    <w:rsid w:val="15201E69"/>
    <w:rsid w:val="15477903"/>
    <w:rsid w:val="15F35800"/>
    <w:rsid w:val="15FB249C"/>
    <w:rsid w:val="16B40FC8"/>
    <w:rsid w:val="16C17241"/>
    <w:rsid w:val="16E71C90"/>
    <w:rsid w:val="1719707D"/>
    <w:rsid w:val="173619DD"/>
    <w:rsid w:val="17375756"/>
    <w:rsid w:val="17514A69"/>
    <w:rsid w:val="17602EFE"/>
    <w:rsid w:val="17B60D70"/>
    <w:rsid w:val="17E72CD8"/>
    <w:rsid w:val="18241ACE"/>
    <w:rsid w:val="18795590"/>
    <w:rsid w:val="18C47DC9"/>
    <w:rsid w:val="18ED44F8"/>
    <w:rsid w:val="18F02230"/>
    <w:rsid w:val="18F558C8"/>
    <w:rsid w:val="191E6BCD"/>
    <w:rsid w:val="191F5F30"/>
    <w:rsid w:val="19B04509"/>
    <w:rsid w:val="19F57A56"/>
    <w:rsid w:val="1A002777"/>
    <w:rsid w:val="1AD433EB"/>
    <w:rsid w:val="1B334486"/>
    <w:rsid w:val="1B666609"/>
    <w:rsid w:val="1BC51582"/>
    <w:rsid w:val="1BDA7304"/>
    <w:rsid w:val="1C185B56"/>
    <w:rsid w:val="1CB52DC3"/>
    <w:rsid w:val="1CFE005F"/>
    <w:rsid w:val="1D3D0F5F"/>
    <w:rsid w:val="1DB418AE"/>
    <w:rsid w:val="1E3D5D47"/>
    <w:rsid w:val="1E9B0CC0"/>
    <w:rsid w:val="1EE15A6C"/>
    <w:rsid w:val="1F4235EE"/>
    <w:rsid w:val="1F5A6485"/>
    <w:rsid w:val="1F8D685B"/>
    <w:rsid w:val="205E422A"/>
    <w:rsid w:val="210A7A37"/>
    <w:rsid w:val="216B7A9C"/>
    <w:rsid w:val="217F6677"/>
    <w:rsid w:val="218E2416"/>
    <w:rsid w:val="220666F6"/>
    <w:rsid w:val="226C4E74"/>
    <w:rsid w:val="22D8603F"/>
    <w:rsid w:val="232703F4"/>
    <w:rsid w:val="23641680"/>
    <w:rsid w:val="23906919"/>
    <w:rsid w:val="23953F30"/>
    <w:rsid w:val="23A243DF"/>
    <w:rsid w:val="24107A5A"/>
    <w:rsid w:val="24134E54"/>
    <w:rsid w:val="24150BCD"/>
    <w:rsid w:val="242179CE"/>
    <w:rsid w:val="24E94533"/>
    <w:rsid w:val="25137802"/>
    <w:rsid w:val="256D06CC"/>
    <w:rsid w:val="25DD571A"/>
    <w:rsid w:val="26562947"/>
    <w:rsid w:val="266D6A9E"/>
    <w:rsid w:val="26A5448A"/>
    <w:rsid w:val="275D7940"/>
    <w:rsid w:val="279E3A83"/>
    <w:rsid w:val="281178FD"/>
    <w:rsid w:val="281D62A2"/>
    <w:rsid w:val="286933CD"/>
    <w:rsid w:val="28D50537"/>
    <w:rsid w:val="29A30A29"/>
    <w:rsid w:val="29B175E9"/>
    <w:rsid w:val="29CC6E69"/>
    <w:rsid w:val="2A4D3EB1"/>
    <w:rsid w:val="2B133327"/>
    <w:rsid w:val="2B770F5A"/>
    <w:rsid w:val="2B7B1C0B"/>
    <w:rsid w:val="2C271DE5"/>
    <w:rsid w:val="2C8763E0"/>
    <w:rsid w:val="2C9F5E1F"/>
    <w:rsid w:val="2CF717B7"/>
    <w:rsid w:val="2D1A4EC9"/>
    <w:rsid w:val="2D6824BE"/>
    <w:rsid w:val="2D825525"/>
    <w:rsid w:val="2DA14A7D"/>
    <w:rsid w:val="2DB24D4A"/>
    <w:rsid w:val="2E625356"/>
    <w:rsid w:val="2E8928E3"/>
    <w:rsid w:val="2ED653F0"/>
    <w:rsid w:val="2EDD1A68"/>
    <w:rsid w:val="2F61391C"/>
    <w:rsid w:val="2F923A19"/>
    <w:rsid w:val="2F94667D"/>
    <w:rsid w:val="2FB15C4D"/>
    <w:rsid w:val="2FD81674"/>
    <w:rsid w:val="2FEF6776"/>
    <w:rsid w:val="300F506A"/>
    <w:rsid w:val="305823F6"/>
    <w:rsid w:val="30A1145E"/>
    <w:rsid w:val="30CE282F"/>
    <w:rsid w:val="3106646D"/>
    <w:rsid w:val="311E37B6"/>
    <w:rsid w:val="312923BE"/>
    <w:rsid w:val="318F1EBC"/>
    <w:rsid w:val="31AA0FA5"/>
    <w:rsid w:val="31E6097E"/>
    <w:rsid w:val="32676E8E"/>
    <w:rsid w:val="32B52740"/>
    <w:rsid w:val="32D3412D"/>
    <w:rsid w:val="331309CD"/>
    <w:rsid w:val="33492641"/>
    <w:rsid w:val="348222AE"/>
    <w:rsid w:val="34905869"/>
    <w:rsid w:val="34B04126"/>
    <w:rsid w:val="34BB21B8"/>
    <w:rsid w:val="354C01C6"/>
    <w:rsid w:val="35CF1523"/>
    <w:rsid w:val="360D30A4"/>
    <w:rsid w:val="36413AA3"/>
    <w:rsid w:val="36545584"/>
    <w:rsid w:val="36864425"/>
    <w:rsid w:val="36A91D74"/>
    <w:rsid w:val="36F9612C"/>
    <w:rsid w:val="3768578B"/>
    <w:rsid w:val="37D44BCF"/>
    <w:rsid w:val="37FA13BA"/>
    <w:rsid w:val="38804D57"/>
    <w:rsid w:val="39184F8F"/>
    <w:rsid w:val="397B0DBD"/>
    <w:rsid w:val="397F500E"/>
    <w:rsid w:val="398475C6"/>
    <w:rsid w:val="39876BC4"/>
    <w:rsid w:val="39A16D33"/>
    <w:rsid w:val="39BE5B37"/>
    <w:rsid w:val="39C71647"/>
    <w:rsid w:val="3A06303A"/>
    <w:rsid w:val="3A3F654C"/>
    <w:rsid w:val="3A577A60"/>
    <w:rsid w:val="3A654204"/>
    <w:rsid w:val="3AA765CB"/>
    <w:rsid w:val="3AB605BC"/>
    <w:rsid w:val="3B1B7E94"/>
    <w:rsid w:val="3B3B55CD"/>
    <w:rsid w:val="3BA64AD4"/>
    <w:rsid w:val="3BAB0482"/>
    <w:rsid w:val="3C4D4F50"/>
    <w:rsid w:val="3CB11EC5"/>
    <w:rsid w:val="3CD52880"/>
    <w:rsid w:val="3D271C45"/>
    <w:rsid w:val="3D606F05"/>
    <w:rsid w:val="3D687B67"/>
    <w:rsid w:val="3D6C76C2"/>
    <w:rsid w:val="3D9D6C11"/>
    <w:rsid w:val="3DC017FB"/>
    <w:rsid w:val="3DE47B36"/>
    <w:rsid w:val="3E295549"/>
    <w:rsid w:val="3E412892"/>
    <w:rsid w:val="3E601660"/>
    <w:rsid w:val="3EBC264F"/>
    <w:rsid w:val="3F0A16D6"/>
    <w:rsid w:val="3F3A1267"/>
    <w:rsid w:val="3F4563B2"/>
    <w:rsid w:val="3F744EE9"/>
    <w:rsid w:val="3FA330D9"/>
    <w:rsid w:val="3FCA4B09"/>
    <w:rsid w:val="3FE66614"/>
    <w:rsid w:val="3FF37BBC"/>
    <w:rsid w:val="40471332"/>
    <w:rsid w:val="40EF2A79"/>
    <w:rsid w:val="413B5CBF"/>
    <w:rsid w:val="41784401"/>
    <w:rsid w:val="420525DB"/>
    <w:rsid w:val="42B0448A"/>
    <w:rsid w:val="42CD6DEA"/>
    <w:rsid w:val="42F97BDF"/>
    <w:rsid w:val="431247FD"/>
    <w:rsid w:val="43410773"/>
    <w:rsid w:val="435968D0"/>
    <w:rsid w:val="438C45B0"/>
    <w:rsid w:val="43A86F10"/>
    <w:rsid w:val="43CA157C"/>
    <w:rsid w:val="44760DBC"/>
    <w:rsid w:val="44C6550B"/>
    <w:rsid w:val="44E421C9"/>
    <w:rsid w:val="46C2619D"/>
    <w:rsid w:val="46EF4D27"/>
    <w:rsid w:val="47A143A2"/>
    <w:rsid w:val="47A73B06"/>
    <w:rsid w:val="47B73BC5"/>
    <w:rsid w:val="47BC5E84"/>
    <w:rsid w:val="47CF53B3"/>
    <w:rsid w:val="485C3E89"/>
    <w:rsid w:val="48641F10"/>
    <w:rsid w:val="489619E1"/>
    <w:rsid w:val="493E135E"/>
    <w:rsid w:val="49D767A1"/>
    <w:rsid w:val="4A39294E"/>
    <w:rsid w:val="4A6873F9"/>
    <w:rsid w:val="4A9D52F4"/>
    <w:rsid w:val="4ABD789E"/>
    <w:rsid w:val="4AC97E97"/>
    <w:rsid w:val="4B350315"/>
    <w:rsid w:val="4B46773A"/>
    <w:rsid w:val="4C261319"/>
    <w:rsid w:val="4C2E3432"/>
    <w:rsid w:val="4C3B34F2"/>
    <w:rsid w:val="4C416153"/>
    <w:rsid w:val="4D0A4797"/>
    <w:rsid w:val="4D5C1A47"/>
    <w:rsid w:val="4E0A18DF"/>
    <w:rsid w:val="4E3D6E69"/>
    <w:rsid w:val="4F473A81"/>
    <w:rsid w:val="4FA90297"/>
    <w:rsid w:val="4FF21C3E"/>
    <w:rsid w:val="50125E3D"/>
    <w:rsid w:val="5023629C"/>
    <w:rsid w:val="505428F9"/>
    <w:rsid w:val="50D852D8"/>
    <w:rsid w:val="50F43794"/>
    <w:rsid w:val="50FB0FC7"/>
    <w:rsid w:val="5175011E"/>
    <w:rsid w:val="51894824"/>
    <w:rsid w:val="51A37951"/>
    <w:rsid w:val="51C74156"/>
    <w:rsid w:val="51DC4954"/>
    <w:rsid w:val="521D4F6D"/>
    <w:rsid w:val="52754DA9"/>
    <w:rsid w:val="53373E0C"/>
    <w:rsid w:val="534F55EA"/>
    <w:rsid w:val="535E75EB"/>
    <w:rsid w:val="538A03E0"/>
    <w:rsid w:val="53AB6CD4"/>
    <w:rsid w:val="53F561A1"/>
    <w:rsid w:val="53FC752F"/>
    <w:rsid w:val="54322F51"/>
    <w:rsid w:val="55740D24"/>
    <w:rsid w:val="55F96BE5"/>
    <w:rsid w:val="56206DD9"/>
    <w:rsid w:val="56927CD7"/>
    <w:rsid w:val="56BB4D84"/>
    <w:rsid w:val="57562BA3"/>
    <w:rsid w:val="576D604E"/>
    <w:rsid w:val="57B343A9"/>
    <w:rsid w:val="57CE1082"/>
    <w:rsid w:val="58105328"/>
    <w:rsid w:val="58122B02"/>
    <w:rsid w:val="582726A1"/>
    <w:rsid w:val="58433EDA"/>
    <w:rsid w:val="58604AB4"/>
    <w:rsid w:val="59305585"/>
    <w:rsid w:val="59C77C98"/>
    <w:rsid w:val="59DD570D"/>
    <w:rsid w:val="59E720E8"/>
    <w:rsid w:val="5A3F5339"/>
    <w:rsid w:val="5A9E32A7"/>
    <w:rsid w:val="5AB065B6"/>
    <w:rsid w:val="5AE03EF3"/>
    <w:rsid w:val="5B8A0A45"/>
    <w:rsid w:val="5BC468F0"/>
    <w:rsid w:val="5BEC60DC"/>
    <w:rsid w:val="5C0A0310"/>
    <w:rsid w:val="5C182738"/>
    <w:rsid w:val="5C98591B"/>
    <w:rsid w:val="5D4810F0"/>
    <w:rsid w:val="5D4F6922"/>
    <w:rsid w:val="5DB449D7"/>
    <w:rsid w:val="5DB72040"/>
    <w:rsid w:val="5DFE20F6"/>
    <w:rsid w:val="5E2659E4"/>
    <w:rsid w:val="5E552CC3"/>
    <w:rsid w:val="5E826883"/>
    <w:rsid w:val="5EAE7678"/>
    <w:rsid w:val="5EB427B5"/>
    <w:rsid w:val="5EBD5B0D"/>
    <w:rsid w:val="5ECF617B"/>
    <w:rsid w:val="5ED03A93"/>
    <w:rsid w:val="5F221E14"/>
    <w:rsid w:val="5FA90336"/>
    <w:rsid w:val="5FAB005C"/>
    <w:rsid w:val="5FE349C2"/>
    <w:rsid w:val="60695F4D"/>
    <w:rsid w:val="606A3A73"/>
    <w:rsid w:val="606E1DA0"/>
    <w:rsid w:val="60805044"/>
    <w:rsid w:val="60917251"/>
    <w:rsid w:val="60D64C64"/>
    <w:rsid w:val="61001CE1"/>
    <w:rsid w:val="61153358"/>
    <w:rsid w:val="61204131"/>
    <w:rsid w:val="61241E74"/>
    <w:rsid w:val="6142054C"/>
    <w:rsid w:val="615D0EE2"/>
    <w:rsid w:val="61871B88"/>
    <w:rsid w:val="619C5EAE"/>
    <w:rsid w:val="63251ED3"/>
    <w:rsid w:val="636B3D8A"/>
    <w:rsid w:val="63956215"/>
    <w:rsid w:val="63B05C41"/>
    <w:rsid w:val="64056162"/>
    <w:rsid w:val="6470717E"/>
    <w:rsid w:val="647E189B"/>
    <w:rsid w:val="6486074F"/>
    <w:rsid w:val="64A86918"/>
    <w:rsid w:val="64F97173"/>
    <w:rsid w:val="65185280"/>
    <w:rsid w:val="653E102A"/>
    <w:rsid w:val="655D7702"/>
    <w:rsid w:val="656E2699"/>
    <w:rsid w:val="65B512EC"/>
    <w:rsid w:val="65D43F9E"/>
    <w:rsid w:val="661F70AE"/>
    <w:rsid w:val="66311BBE"/>
    <w:rsid w:val="665705F5"/>
    <w:rsid w:val="667740E8"/>
    <w:rsid w:val="66AE6D55"/>
    <w:rsid w:val="66E225B5"/>
    <w:rsid w:val="67283D40"/>
    <w:rsid w:val="681A5BB4"/>
    <w:rsid w:val="68294213"/>
    <w:rsid w:val="683C3F47"/>
    <w:rsid w:val="68A65B2E"/>
    <w:rsid w:val="68CA04BB"/>
    <w:rsid w:val="68CA2B97"/>
    <w:rsid w:val="68E5013A"/>
    <w:rsid w:val="69123344"/>
    <w:rsid w:val="69482477"/>
    <w:rsid w:val="69CA7330"/>
    <w:rsid w:val="69CC12FA"/>
    <w:rsid w:val="6A297B56"/>
    <w:rsid w:val="6A4315BC"/>
    <w:rsid w:val="6B3E3B32"/>
    <w:rsid w:val="6B62482E"/>
    <w:rsid w:val="6B87197D"/>
    <w:rsid w:val="6B9827FD"/>
    <w:rsid w:val="6BF15048"/>
    <w:rsid w:val="6C0C1E82"/>
    <w:rsid w:val="6CA35367"/>
    <w:rsid w:val="6CF546C4"/>
    <w:rsid w:val="6DF901E4"/>
    <w:rsid w:val="6E0E1EE1"/>
    <w:rsid w:val="6E4E22DE"/>
    <w:rsid w:val="6EA36ACE"/>
    <w:rsid w:val="6F0B285F"/>
    <w:rsid w:val="6F96218E"/>
    <w:rsid w:val="6F9957DB"/>
    <w:rsid w:val="6FDB51AE"/>
    <w:rsid w:val="70001E21"/>
    <w:rsid w:val="71AF12E6"/>
    <w:rsid w:val="72077373"/>
    <w:rsid w:val="72190E55"/>
    <w:rsid w:val="72247F25"/>
    <w:rsid w:val="726F4F19"/>
    <w:rsid w:val="72987FCC"/>
    <w:rsid w:val="72D0088C"/>
    <w:rsid w:val="72D8187A"/>
    <w:rsid w:val="72F43335"/>
    <w:rsid w:val="73090EC9"/>
    <w:rsid w:val="734142A1"/>
    <w:rsid w:val="73593BFF"/>
    <w:rsid w:val="739509AF"/>
    <w:rsid w:val="73B726D3"/>
    <w:rsid w:val="73FC629C"/>
    <w:rsid w:val="74DA48CB"/>
    <w:rsid w:val="74EB4D2A"/>
    <w:rsid w:val="74FF4332"/>
    <w:rsid w:val="750556C0"/>
    <w:rsid w:val="754D2596"/>
    <w:rsid w:val="757139A8"/>
    <w:rsid w:val="75937726"/>
    <w:rsid w:val="75956A44"/>
    <w:rsid w:val="764C7A4B"/>
    <w:rsid w:val="76B30C12"/>
    <w:rsid w:val="76F470DA"/>
    <w:rsid w:val="77F663FB"/>
    <w:rsid w:val="78563B6F"/>
    <w:rsid w:val="78A440A9"/>
    <w:rsid w:val="78B2790D"/>
    <w:rsid w:val="78FE532A"/>
    <w:rsid w:val="79EC1524"/>
    <w:rsid w:val="7A1C7E11"/>
    <w:rsid w:val="7A2C7245"/>
    <w:rsid w:val="7A4C1580"/>
    <w:rsid w:val="7A9B68AB"/>
    <w:rsid w:val="7ABD3DF9"/>
    <w:rsid w:val="7B1565B0"/>
    <w:rsid w:val="7B867F1E"/>
    <w:rsid w:val="7BC938EC"/>
    <w:rsid w:val="7BCE6D01"/>
    <w:rsid w:val="7BCF674F"/>
    <w:rsid w:val="7C1D1542"/>
    <w:rsid w:val="7C635AEE"/>
    <w:rsid w:val="7C701FB9"/>
    <w:rsid w:val="7C961A20"/>
    <w:rsid w:val="7CF25303"/>
    <w:rsid w:val="7D6F554F"/>
    <w:rsid w:val="7E015288"/>
    <w:rsid w:val="7E734D90"/>
    <w:rsid w:val="7EA576D1"/>
    <w:rsid w:val="7EBC7738"/>
    <w:rsid w:val="7EC16AFC"/>
    <w:rsid w:val="7F533896"/>
    <w:rsid w:val="7F5B0CFF"/>
    <w:rsid w:val="7FAF4BA7"/>
    <w:rsid w:val="FF1658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2"/>
    <w:basedOn w:val="1"/>
    <w:next w:val="1"/>
    <w:unhideWhenUsed/>
    <w:qFormat/>
    <w:uiPriority w:val="0"/>
    <w:pPr>
      <w:keepNext/>
      <w:keepLines/>
      <w:outlineLvl w:val="1"/>
    </w:pPr>
    <w:rPr>
      <w:rFonts w:ascii="Arial" w:hAnsi="Arial" w:eastAsia="楷体"/>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2">
    <w:name w:val="footer"/>
    <w:basedOn w:val="1"/>
    <w:next w:val="1"/>
    <w:qFormat/>
    <w:uiPriority w:val="99"/>
    <w:pPr>
      <w:tabs>
        <w:tab w:val="center" w:pos="4153"/>
        <w:tab w:val="right" w:pos="8306"/>
      </w:tabs>
      <w:snapToGrid w:val="0"/>
      <w:jc w:val="left"/>
    </w:pPr>
    <w:rPr>
      <w:kern w:val="0"/>
      <w:sz w:val="18"/>
      <w:szCs w:val="18"/>
    </w:rPr>
  </w:style>
  <w:style w:type="paragraph" w:styleId="4">
    <w:name w:val="Normal Indent"/>
    <w:basedOn w:val="1"/>
    <w:qFormat/>
    <w:uiPriority w:val="0"/>
    <w:pPr>
      <w:ind w:firstLine="420"/>
    </w:pPr>
    <w:rPr>
      <w:szCs w:val="20"/>
    </w:rPr>
  </w:style>
  <w:style w:type="paragraph" w:styleId="5">
    <w:name w:val="annotation text"/>
    <w:basedOn w:val="1"/>
    <w:qFormat/>
    <w:uiPriority w:val="0"/>
    <w:pPr>
      <w:jc w:val="left"/>
    </w:pPr>
  </w:style>
  <w:style w:type="paragraph" w:styleId="6">
    <w:name w:val="Plain Text"/>
    <w:basedOn w:val="1"/>
    <w:qFormat/>
    <w:uiPriority w:val="0"/>
    <w:rPr>
      <w:rFonts w:ascii="宋体" w:hAnsi="Courier New"/>
    </w:rPr>
  </w:style>
  <w:style w:type="paragraph" w:styleId="7">
    <w:name w:val="Body Text Indent 2"/>
    <w:basedOn w:val="1"/>
    <w:qFormat/>
    <w:uiPriority w:val="0"/>
    <w:pPr>
      <w:spacing w:after="120" w:line="480" w:lineRule="auto"/>
      <w:ind w:left="420" w:leftChars="200"/>
    </w:pPr>
    <w:rPr>
      <w:kern w:val="0"/>
    </w:rPr>
  </w:style>
  <w:style w:type="paragraph" w:styleId="8">
    <w:name w:val="Balloon Text"/>
    <w:basedOn w:val="1"/>
    <w:link w:val="18"/>
    <w:qFormat/>
    <w:uiPriority w:val="0"/>
    <w:rPr>
      <w:sz w:val="18"/>
      <w:szCs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Normal (Web)"/>
    <w:basedOn w:val="1"/>
    <w:qFormat/>
    <w:uiPriority w:val="99"/>
    <w:pPr>
      <w:spacing w:beforeAutospacing="1" w:afterAutospacing="1"/>
      <w:jc w:val="left"/>
    </w:pPr>
    <w:rPr>
      <w:rFonts w:cs="Times New Roman"/>
      <w:kern w:val="0"/>
      <w:sz w:val="24"/>
    </w:rPr>
  </w:style>
  <w:style w:type="character" w:styleId="13">
    <w:name w:val="annotation reference"/>
    <w:basedOn w:val="12"/>
    <w:qFormat/>
    <w:uiPriority w:val="0"/>
    <w:rPr>
      <w:sz w:val="21"/>
      <w:szCs w:val="21"/>
    </w:rPr>
  </w:style>
  <w:style w:type="paragraph" w:customStyle="1" w:styleId="14">
    <w:name w:val="投标书正文"/>
    <w:basedOn w:val="1"/>
    <w:qFormat/>
    <w:uiPriority w:val="0"/>
    <w:pPr>
      <w:spacing w:line="360" w:lineRule="auto"/>
      <w:ind w:firstLine="200" w:firstLineChars="200"/>
    </w:pPr>
    <w:rPr>
      <w:rFonts w:eastAsia="仿宋_GB2312"/>
      <w:sz w:val="28"/>
    </w:rPr>
  </w:style>
  <w:style w:type="paragraph" w:styleId="15">
    <w:name w:val="List Paragraph"/>
    <w:basedOn w:val="1"/>
    <w:unhideWhenUsed/>
    <w:qFormat/>
    <w:uiPriority w:val="99"/>
    <w:pPr>
      <w:ind w:firstLine="420" w:firstLineChars="200"/>
    </w:pPr>
  </w:style>
  <w:style w:type="paragraph" w:customStyle="1" w:styleId="16">
    <w:name w:val="WPSOffice手动目录 1"/>
    <w:qFormat/>
    <w:uiPriority w:val="0"/>
    <w:rPr>
      <w:rFonts w:ascii="Times New Roman" w:hAnsi="Times New Roman" w:eastAsia="宋体" w:cs="Times New Roman"/>
      <w:lang w:val="en-US" w:eastAsia="zh-CN" w:bidi="ar-SA"/>
    </w:rPr>
  </w:style>
  <w:style w:type="paragraph" w:customStyle="1" w:styleId="17">
    <w:name w:val="WPSOffice手动目录 2"/>
    <w:qFormat/>
    <w:uiPriority w:val="0"/>
    <w:pPr>
      <w:ind w:left="200" w:leftChars="200"/>
    </w:pPr>
    <w:rPr>
      <w:rFonts w:ascii="Times New Roman" w:hAnsi="Times New Roman" w:eastAsia="宋体" w:cs="Times New Roman"/>
      <w:lang w:val="en-US" w:eastAsia="zh-CN" w:bidi="ar-SA"/>
    </w:rPr>
  </w:style>
  <w:style w:type="character" w:customStyle="1" w:styleId="18">
    <w:name w:val="批注框文本 Char"/>
    <w:basedOn w:val="12"/>
    <w:link w:val="8"/>
    <w:qFormat/>
    <w:uiPriority w:val="0"/>
    <w:rPr>
      <w:rFonts w:asciiTheme="minorHAnsi" w:hAnsiTheme="minorHAnsi" w:eastAsiaTheme="minorEastAsia" w:cstheme="minorBidi"/>
      <w:kern w:val="2"/>
      <w:sz w:val="18"/>
      <w:szCs w:val="18"/>
    </w:rPr>
  </w:style>
  <w:style w:type="paragraph" w:customStyle="1" w:styleId="19">
    <w:name w:val="修订1"/>
    <w:hidden/>
    <w:unhideWhenUsed/>
    <w:qFormat/>
    <w:uiPriority w:val="99"/>
    <w:rPr>
      <w:rFonts w:asciiTheme="minorHAnsi" w:hAnsiTheme="minorHAnsi" w:eastAsiaTheme="minorEastAsia" w:cstheme="minorBidi"/>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2.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FB71FCD-4529-4524-978D-793237B9604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23</Pages>
  <Words>2670</Words>
  <Characters>2781</Characters>
  <Lines>134</Lines>
  <Paragraphs>37</Paragraphs>
  <TotalTime>3</TotalTime>
  <ScaleCrop>false</ScaleCrop>
  <LinksUpToDate>false</LinksUpToDate>
  <CharactersWithSpaces>2919</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2021-11-22T08:50:00Z</dcterms:created>
  <dc:creator>zhangqi</dc:creator>
  <cp:lastModifiedBy>^(oo)^美美</cp:lastModifiedBy>
  <cp:lastPrinted>2023-06-27T03:06:00Z</cp:lastPrinted>
  <dcterms:modified xsi:type="dcterms:W3CDTF">2025-08-27T09:45:08Z</dcterms:modified>
  <cp:revision>363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8F280EEAD2664E6EAB6C2BBF59E7A8C7_13</vt:lpwstr>
  </property>
  <property fmtid="{D5CDD505-2E9C-101B-9397-08002B2CF9AE}" pid="4" name="KSOTemplateDocerSaveRecord">
    <vt:lpwstr>eyJoZGlkIjoiNGYyMDNhZmMwOWNlYWEyYzE0YTcxMDJmYjBmOTJjNzEiLCJ1c2VySWQiOiI0NTcwMTIxNDEifQ==</vt:lpwstr>
  </property>
</Properties>
</file>