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AF750" w14:textId="77777777" w:rsidR="00BF198D" w:rsidRDefault="00BF198D">
      <w:pPr>
        <w:adjustRightInd w:val="0"/>
        <w:snapToGrid w:val="0"/>
        <w:spacing w:line="360" w:lineRule="auto"/>
        <w:rPr>
          <w:rFonts w:ascii="Times New Roman" w:eastAsia="黑体" w:hAnsi="Times New Roman" w:cs="Times New Roman"/>
          <w:b/>
          <w:sz w:val="52"/>
          <w:szCs w:val="52"/>
          <w:lang w:val="zh-CN"/>
        </w:rPr>
      </w:pPr>
    </w:p>
    <w:p w14:paraId="2A74D260" w14:textId="77777777" w:rsidR="00BF198D" w:rsidRDefault="00BF198D">
      <w:pPr>
        <w:adjustRightInd w:val="0"/>
        <w:snapToGrid w:val="0"/>
        <w:spacing w:line="360" w:lineRule="auto"/>
        <w:rPr>
          <w:rFonts w:ascii="Times New Roman" w:eastAsia="黑体" w:hAnsi="Times New Roman" w:cs="Times New Roman"/>
          <w:b/>
          <w:sz w:val="52"/>
          <w:szCs w:val="52"/>
          <w:lang w:val="zh-CN"/>
        </w:rPr>
      </w:pPr>
    </w:p>
    <w:p w14:paraId="20D99D2A" w14:textId="77777777" w:rsidR="00BF198D" w:rsidRDefault="00BF198D">
      <w:pPr>
        <w:adjustRightInd w:val="0"/>
        <w:snapToGrid w:val="0"/>
        <w:spacing w:line="360" w:lineRule="auto"/>
        <w:rPr>
          <w:rFonts w:ascii="Times New Roman" w:eastAsia="黑体" w:hAnsi="Times New Roman" w:cs="Times New Roman"/>
          <w:b/>
          <w:sz w:val="52"/>
          <w:szCs w:val="52"/>
          <w:lang w:val="zh-CN"/>
        </w:rPr>
      </w:pPr>
    </w:p>
    <w:p w14:paraId="226F436C" w14:textId="77777777" w:rsidR="00BF198D" w:rsidRDefault="00F716BD">
      <w:pPr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/>
          <w:b/>
          <w:sz w:val="52"/>
          <w:szCs w:val="52"/>
          <w:lang w:val="zh-CN"/>
        </w:rPr>
      </w:pPr>
      <w:r>
        <w:rPr>
          <w:rFonts w:ascii="Times New Roman" w:eastAsia="黑体" w:hAnsi="Times New Roman" w:cs="Times New Roman"/>
          <w:b/>
          <w:sz w:val="52"/>
          <w:szCs w:val="52"/>
          <w:lang w:val="zh-CN"/>
        </w:rPr>
        <w:t>北京农业职业学院</w:t>
      </w:r>
      <w:r>
        <w:rPr>
          <w:rFonts w:ascii="Times New Roman" w:eastAsia="黑体" w:hAnsi="Times New Roman" w:cs="Times New Roman"/>
          <w:b/>
          <w:sz w:val="52"/>
          <w:szCs w:val="52"/>
          <w:lang w:val="zh-CN"/>
        </w:rPr>
        <w:t>202</w:t>
      </w:r>
      <w:r>
        <w:rPr>
          <w:rFonts w:ascii="Times New Roman" w:eastAsia="黑体" w:hAnsi="Times New Roman" w:cs="Times New Roman"/>
          <w:b/>
          <w:sz w:val="52"/>
          <w:szCs w:val="52"/>
        </w:rPr>
        <w:t>4</w:t>
      </w:r>
      <w:r>
        <w:rPr>
          <w:rFonts w:ascii="Times New Roman" w:eastAsia="黑体" w:hAnsi="Times New Roman" w:cs="Times New Roman"/>
          <w:b/>
          <w:sz w:val="52"/>
          <w:szCs w:val="52"/>
          <w:lang w:val="zh-CN"/>
        </w:rPr>
        <w:t>年度部门整体绩效评价报告</w:t>
      </w:r>
    </w:p>
    <w:p w14:paraId="3CEFD18F" w14:textId="77777777" w:rsidR="00BF198D" w:rsidRDefault="00BF198D">
      <w:pPr>
        <w:ind w:firstLine="640"/>
        <w:rPr>
          <w:rFonts w:ascii="Times New Roman" w:hAnsi="Times New Roman" w:cs="Times New Roman"/>
          <w:color w:val="000000"/>
          <w:sz w:val="32"/>
        </w:rPr>
      </w:pPr>
    </w:p>
    <w:p w14:paraId="55ADBE8F" w14:textId="77777777" w:rsidR="00BF198D" w:rsidRDefault="00BF198D">
      <w:pPr>
        <w:ind w:firstLine="640"/>
        <w:rPr>
          <w:rFonts w:ascii="Times New Roman" w:hAnsi="Times New Roman" w:cs="Times New Roman"/>
          <w:color w:val="000000"/>
          <w:sz w:val="32"/>
        </w:rPr>
      </w:pPr>
    </w:p>
    <w:p w14:paraId="3930975E" w14:textId="77777777" w:rsidR="00BF198D" w:rsidRDefault="00BF198D">
      <w:pPr>
        <w:ind w:firstLine="640"/>
        <w:rPr>
          <w:rFonts w:ascii="Times New Roman" w:hAnsi="Times New Roman" w:cs="Times New Roman"/>
          <w:color w:val="000000"/>
          <w:sz w:val="32"/>
        </w:rPr>
      </w:pPr>
    </w:p>
    <w:p w14:paraId="2F1BE356" w14:textId="77777777" w:rsidR="00BF198D" w:rsidRDefault="00BF198D">
      <w:pPr>
        <w:ind w:firstLine="640"/>
        <w:rPr>
          <w:rFonts w:ascii="Times New Roman" w:hAnsi="Times New Roman" w:cs="Times New Roman"/>
          <w:color w:val="000000"/>
          <w:sz w:val="32"/>
        </w:rPr>
      </w:pPr>
    </w:p>
    <w:p w14:paraId="44B5CCCD" w14:textId="77777777" w:rsidR="00BF198D" w:rsidRDefault="00BF198D">
      <w:pPr>
        <w:ind w:firstLine="640"/>
        <w:rPr>
          <w:rFonts w:ascii="Times New Roman" w:hAnsi="Times New Roman" w:cs="Times New Roman"/>
          <w:color w:val="000000"/>
          <w:sz w:val="32"/>
        </w:rPr>
      </w:pPr>
    </w:p>
    <w:p w14:paraId="61B9863E" w14:textId="77777777" w:rsidR="00BF198D" w:rsidRDefault="00BF198D">
      <w:pPr>
        <w:ind w:firstLine="640"/>
        <w:rPr>
          <w:rFonts w:ascii="Times New Roman" w:hAnsi="Times New Roman" w:cs="Times New Roman"/>
          <w:color w:val="000000"/>
          <w:sz w:val="32"/>
        </w:rPr>
      </w:pPr>
    </w:p>
    <w:p w14:paraId="395BD9B8" w14:textId="77777777" w:rsidR="00BF198D" w:rsidRDefault="00BF198D">
      <w:pPr>
        <w:ind w:firstLine="643"/>
        <w:rPr>
          <w:rFonts w:ascii="Times New Roman" w:eastAsia="仿宋" w:hAnsi="Times New Roman" w:cs="Times New Roman"/>
          <w:b/>
          <w:color w:val="000000"/>
          <w:sz w:val="32"/>
          <w:szCs w:val="32"/>
        </w:rPr>
      </w:pPr>
    </w:p>
    <w:p w14:paraId="3FFE041C" w14:textId="77777777" w:rsidR="00BF198D" w:rsidRDefault="00BF198D">
      <w:pPr>
        <w:ind w:firstLine="643"/>
        <w:rPr>
          <w:rFonts w:ascii="Times New Roman" w:eastAsia="仿宋" w:hAnsi="Times New Roman" w:cs="Times New Roman"/>
          <w:b/>
          <w:color w:val="000000"/>
          <w:sz w:val="32"/>
          <w:szCs w:val="32"/>
        </w:rPr>
      </w:pPr>
    </w:p>
    <w:p w14:paraId="600BEB6A" w14:textId="77777777" w:rsidR="00BF198D" w:rsidRDefault="00BF198D">
      <w:pPr>
        <w:ind w:firstLine="643"/>
        <w:rPr>
          <w:rFonts w:ascii="Times New Roman" w:eastAsia="仿宋" w:hAnsi="Times New Roman" w:cs="Times New Roman"/>
          <w:b/>
          <w:color w:val="000000"/>
          <w:sz w:val="32"/>
          <w:szCs w:val="32"/>
        </w:rPr>
      </w:pPr>
    </w:p>
    <w:p w14:paraId="5E964C99" w14:textId="77777777" w:rsidR="00BF198D" w:rsidRDefault="00BF198D">
      <w:pPr>
        <w:ind w:firstLine="643"/>
        <w:rPr>
          <w:rFonts w:ascii="Times New Roman" w:eastAsia="仿宋" w:hAnsi="Times New Roman" w:cs="Times New Roman"/>
          <w:b/>
          <w:color w:val="000000"/>
          <w:sz w:val="32"/>
          <w:szCs w:val="32"/>
        </w:rPr>
      </w:pPr>
    </w:p>
    <w:p w14:paraId="5A8825CD" w14:textId="77777777" w:rsidR="00BF198D" w:rsidRDefault="00F716BD">
      <w:pPr>
        <w:jc w:val="center"/>
        <w:rPr>
          <w:rFonts w:ascii="Times New Roman" w:eastAsia="黑体" w:hAnsi="Times New Roman" w:cs="Times New Roman"/>
          <w:bCs/>
          <w:sz w:val="36"/>
          <w:szCs w:val="44"/>
        </w:rPr>
      </w:pPr>
      <w:r>
        <w:rPr>
          <w:rFonts w:ascii="Times New Roman" w:eastAsia="黑体" w:hAnsi="Times New Roman" w:cs="Times New Roman"/>
          <w:bCs/>
          <w:sz w:val="36"/>
          <w:szCs w:val="44"/>
        </w:rPr>
        <w:t>北京农业职业学院</w:t>
      </w:r>
    </w:p>
    <w:p w14:paraId="4EDE45B6" w14:textId="77777777" w:rsidR="00BF198D" w:rsidRDefault="00F716BD">
      <w:pPr>
        <w:jc w:val="center"/>
        <w:rPr>
          <w:rFonts w:ascii="Times New Roman" w:eastAsia="仿宋_GB2312" w:hAnsi="Times New Roman" w:cs="Times New Roman"/>
          <w:color w:val="000000"/>
          <w:sz w:val="24"/>
        </w:rPr>
      </w:pPr>
      <w:r>
        <w:rPr>
          <w:rFonts w:ascii="Times New Roman" w:eastAsia="黑体" w:hAnsi="Times New Roman" w:cs="Times New Roman"/>
          <w:bCs/>
          <w:sz w:val="36"/>
          <w:szCs w:val="44"/>
        </w:rPr>
        <w:t>2025</w:t>
      </w:r>
      <w:r>
        <w:rPr>
          <w:rFonts w:ascii="Times New Roman" w:eastAsia="黑体" w:hAnsi="Times New Roman" w:cs="Times New Roman"/>
          <w:bCs/>
          <w:sz w:val="36"/>
          <w:szCs w:val="44"/>
        </w:rPr>
        <w:t>年</w:t>
      </w:r>
      <w:r>
        <w:rPr>
          <w:rFonts w:ascii="Times New Roman" w:eastAsia="黑体" w:hAnsi="Times New Roman" w:cs="Times New Roman"/>
          <w:bCs/>
          <w:sz w:val="36"/>
          <w:szCs w:val="44"/>
        </w:rPr>
        <w:t>3</w:t>
      </w:r>
      <w:r>
        <w:rPr>
          <w:rFonts w:ascii="Times New Roman" w:eastAsia="黑体" w:hAnsi="Times New Roman" w:cs="Times New Roman"/>
          <w:bCs/>
          <w:sz w:val="36"/>
          <w:szCs w:val="44"/>
        </w:rPr>
        <w:t>月</w:t>
      </w:r>
    </w:p>
    <w:p w14:paraId="68FE6DF8" w14:textId="77777777" w:rsidR="00BF198D" w:rsidRDefault="00BF198D">
      <w:pPr>
        <w:adjustRightInd w:val="0"/>
        <w:snapToGrid w:val="0"/>
        <w:spacing w:line="360" w:lineRule="auto"/>
        <w:rPr>
          <w:rFonts w:ascii="Times New Roman" w:eastAsia="华文中宋" w:hAnsi="Times New Roman" w:cs="Times New Roman"/>
          <w:bCs/>
          <w:sz w:val="36"/>
          <w:szCs w:val="44"/>
        </w:rPr>
      </w:pPr>
    </w:p>
    <w:p w14:paraId="701AFBAA" w14:textId="77777777" w:rsidR="00BF198D" w:rsidRDefault="00F716BD">
      <w:pPr>
        <w:widowControl/>
        <w:rPr>
          <w:rFonts w:ascii="Times New Roman" w:eastAsia="华文中宋" w:hAnsi="Times New Roman" w:cs="Times New Roman"/>
          <w:bCs/>
          <w:sz w:val="36"/>
          <w:szCs w:val="44"/>
        </w:rPr>
        <w:sectPr w:rsidR="00BF198D"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华文中宋" w:hAnsi="Times New Roman" w:cs="Times New Roman"/>
          <w:bCs/>
          <w:sz w:val="36"/>
          <w:szCs w:val="44"/>
        </w:rPr>
        <w:br w:type="page"/>
      </w:r>
    </w:p>
    <w:p w14:paraId="7780558B" w14:textId="77777777" w:rsidR="00BF198D" w:rsidRDefault="00F716BD">
      <w:pPr>
        <w:pStyle w:val="TOC1"/>
        <w:jc w:val="center"/>
        <w:rPr>
          <w:rFonts w:ascii="Times New Roman" w:eastAsia="黑体" w:hAnsi="Times New Roman" w:cs="Times New Roman"/>
          <w:color w:val="000000"/>
          <w:sz w:val="36"/>
          <w:szCs w:val="36"/>
        </w:rPr>
      </w:pPr>
      <w:r>
        <w:rPr>
          <w:rFonts w:ascii="Times New Roman" w:eastAsia="黑体" w:hAnsi="Times New Roman" w:cs="Times New Roman"/>
          <w:color w:val="000000"/>
          <w:sz w:val="36"/>
          <w:szCs w:val="36"/>
          <w:lang w:val="zh-CN"/>
        </w:rPr>
        <w:lastRenderedPageBreak/>
        <w:t>目</w:t>
      </w:r>
      <w:r>
        <w:rPr>
          <w:rFonts w:ascii="Times New Roman" w:eastAsia="黑体" w:hAnsi="Times New Roman" w:cs="Times New Roman"/>
          <w:color w:val="000000"/>
          <w:sz w:val="36"/>
          <w:szCs w:val="36"/>
          <w:lang w:val="zh-CN"/>
        </w:rPr>
        <w:t xml:space="preserve">  </w:t>
      </w:r>
      <w:r>
        <w:rPr>
          <w:rFonts w:ascii="Times New Roman" w:eastAsia="黑体" w:hAnsi="Times New Roman" w:cs="Times New Roman"/>
          <w:color w:val="000000"/>
          <w:sz w:val="36"/>
          <w:szCs w:val="36"/>
          <w:lang w:val="zh-CN"/>
        </w:rPr>
        <w:t>录</w:t>
      </w:r>
    </w:p>
    <w:p w14:paraId="4B76BDFD" w14:textId="77777777" w:rsidR="00BF198D" w:rsidRDefault="00F716BD">
      <w:pPr>
        <w:pStyle w:val="10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fldChar w:fldCharType="begin"/>
      </w:r>
      <w:r>
        <w:rPr>
          <w:rFonts w:ascii="Times New Roman" w:hAnsi="Times New Roman" w:cs="Times New Roman"/>
          <w:sz w:val="32"/>
          <w:szCs w:val="32"/>
        </w:rPr>
        <w:instrText xml:space="preserve"> TOC \o "1-3" \h \z \u </w:instrText>
      </w:r>
      <w:r>
        <w:rPr>
          <w:rFonts w:ascii="Times New Roman" w:hAnsi="Times New Roman" w:cs="Times New Roman"/>
          <w:sz w:val="32"/>
          <w:szCs w:val="32"/>
        </w:rPr>
        <w:fldChar w:fldCharType="separate"/>
      </w:r>
      <w:hyperlink w:anchor="_Toc23794" w:history="1">
        <w:r>
          <w:rPr>
            <w:rFonts w:ascii="Times New Roman" w:eastAsia="黑体" w:hAnsi="Times New Roman" w:cs="Times New Roman"/>
            <w:sz w:val="32"/>
            <w:szCs w:val="32"/>
          </w:rPr>
          <w:t>一、部门概况</w:t>
        </w:r>
        <w:r>
          <w:rPr>
            <w:rFonts w:ascii="Times New Roman" w:hAnsi="Times New Roman" w:cs="Times New Roman"/>
            <w:sz w:val="32"/>
            <w:szCs w:val="32"/>
          </w:rPr>
          <w:tab/>
        </w:r>
        <w:r>
          <w:rPr>
            <w:rFonts w:ascii="Times New Roman" w:hAnsi="Times New Roman" w:cs="Times New Roman"/>
            <w:sz w:val="32"/>
            <w:szCs w:val="32"/>
          </w:rPr>
          <w:fldChar w:fldCharType="begin"/>
        </w:r>
        <w:r>
          <w:rPr>
            <w:rFonts w:ascii="Times New Roman" w:hAnsi="Times New Roman" w:cs="Times New Roman"/>
            <w:sz w:val="32"/>
            <w:szCs w:val="32"/>
          </w:rPr>
          <w:instrText xml:space="preserve"> PAGEREF _Toc23794 \h </w:instrText>
        </w:r>
        <w:r>
          <w:rPr>
            <w:rFonts w:ascii="Times New Roman" w:hAnsi="Times New Roman" w:cs="Times New Roman"/>
            <w:sz w:val="32"/>
            <w:szCs w:val="32"/>
          </w:rPr>
        </w:r>
        <w:r>
          <w:rPr>
            <w:rFonts w:ascii="Times New Roman" w:hAnsi="Times New Roman" w:cs="Times New Roman"/>
            <w:sz w:val="32"/>
            <w:szCs w:val="32"/>
          </w:rPr>
          <w:fldChar w:fldCharType="separate"/>
        </w:r>
        <w:r>
          <w:rPr>
            <w:rFonts w:ascii="Times New Roman" w:hAnsi="Times New Roman" w:cs="Times New Roman"/>
            <w:sz w:val="32"/>
            <w:szCs w:val="32"/>
          </w:rPr>
          <w:t>1</w:t>
        </w:r>
        <w:r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6CD0263D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18395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（一）机构设置及职责工作任务情况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_Toc18395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00878DDA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30755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（二）部门整体绩效目标设立情况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_Toc30755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5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33A7579F" w14:textId="77777777" w:rsidR="00BF198D" w:rsidRDefault="000E73A2">
      <w:pPr>
        <w:pStyle w:val="10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19312" w:history="1">
        <w:r w:rsidR="00F716BD">
          <w:rPr>
            <w:rFonts w:ascii="Times New Roman" w:eastAsia="黑体" w:hAnsi="Times New Roman" w:cs="Times New Roman"/>
            <w:bCs/>
            <w:sz w:val="32"/>
            <w:szCs w:val="32"/>
          </w:rPr>
          <w:t>二、当年预算执行情况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_Toc19312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10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35A620BA" w14:textId="77777777" w:rsidR="00BF198D" w:rsidRDefault="000E73A2">
      <w:pPr>
        <w:pStyle w:val="10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16269" w:history="1">
        <w:r w:rsidR="00F716BD">
          <w:rPr>
            <w:rFonts w:ascii="Times New Roman" w:eastAsia="黑体" w:hAnsi="Times New Roman" w:cs="Times New Roman"/>
            <w:sz w:val="32"/>
            <w:szCs w:val="32"/>
          </w:rPr>
          <w:t>三、整体绩效目标实现情况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_Toc16269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10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1418BF03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520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（一）产出完成情况分析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_Toc2520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11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63249F7B" w14:textId="77777777" w:rsidR="00BF198D" w:rsidRDefault="000E73A2">
      <w:pPr>
        <w:pStyle w:val="3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9472" w:history="1">
        <w:r w:rsidR="00F716BD">
          <w:rPr>
            <w:rFonts w:ascii="Times New Roman" w:eastAsia="仿宋_GB2312" w:hAnsi="Times New Roman" w:cs="Times New Roman"/>
            <w:bCs/>
            <w:sz w:val="32"/>
            <w:szCs w:val="32"/>
          </w:rPr>
          <w:t>1.</w:t>
        </w:r>
        <w:r w:rsidR="00F716BD">
          <w:rPr>
            <w:rFonts w:ascii="Times New Roman" w:eastAsia="仿宋_GB2312" w:hAnsi="Times New Roman" w:cs="Times New Roman"/>
            <w:bCs/>
            <w:sz w:val="32"/>
            <w:szCs w:val="32"/>
          </w:rPr>
          <w:t>产出数量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_Toc9472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11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5BBD58EC" w14:textId="77777777" w:rsidR="00BF198D" w:rsidRDefault="000E73A2">
      <w:pPr>
        <w:pStyle w:val="3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3455" w:history="1">
        <w:r w:rsidR="00F716BD">
          <w:rPr>
            <w:rFonts w:ascii="Times New Roman" w:eastAsia="仿宋_GB2312" w:hAnsi="Times New Roman" w:cs="Times New Roman"/>
            <w:bCs/>
            <w:sz w:val="32"/>
            <w:szCs w:val="32"/>
          </w:rPr>
          <w:t>2.</w:t>
        </w:r>
        <w:r w:rsidR="00F716BD">
          <w:rPr>
            <w:rFonts w:ascii="Times New Roman" w:eastAsia="仿宋_GB2312" w:hAnsi="Times New Roman" w:cs="Times New Roman"/>
            <w:bCs/>
            <w:sz w:val="32"/>
            <w:szCs w:val="32"/>
          </w:rPr>
          <w:t>产出质量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_Toc23455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14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555B2053" w14:textId="77777777" w:rsidR="00BF198D" w:rsidRDefault="000E73A2">
      <w:pPr>
        <w:pStyle w:val="3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31977" w:history="1">
        <w:r w:rsidR="00F716BD">
          <w:rPr>
            <w:rFonts w:ascii="Times New Roman" w:eastAsia="仿宋_GB2312" w:hAnsi="Times New Roman" w:cs="Times New Roman"/>
            <w:sz w:val="32"/>
            <w:szCs w:val="32"/>
          </w:rPr>
          <w:t>3.</w:t>
        </w:r>
        <w:r w:rsidR="00F716BD">
          <w:rPr>
            <w:rFonts w:ascii="Times New Roman" w:eastAsia="仿宋_GB2312" w:hAnsi="Times New Roman" w:cs="Times New Roman"/>
            <w:sz w:val="32"/>
            <w:szCs w:val="32"/>
          </w:rPr>
          <w:t>产出进度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_Toc31977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15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479F0328" w14:textId="77777777" w:rsidR="00BF198D" w:rsidRDefault="000E73A2">
      <w:pPr>
        <w:pStyle w:val="3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9002" w:history="1">
        <w:r w:rsidR="00F716BD">
          <w:rPr>
            <w:rFonts w:ascii="Times New Roman" w:eastAsia="仿宋_GB2312" w:hAnsi="Times New Roman" w:cs="Times New Roman"/>
            <w:sz w:val="32"/>
            <w:szCs w:val="32"/>
          </w:rPr>
          <w:t>4.</w:t>
        </w:r>
        <w:r w:rsidR="00F716BD">
          <w:rPr>
            <w:rFonts w:ascii="Times New Roman" w:eastAsia="仿宋_GB2312" w:hAnsi="Times New Roman" w:cs="Times New Roman"/>
            <w:sz w:val="32"/>
            <w:szCs w:val="32"/>
          </w:rPr>
          <w:t>产出成本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_Toc29002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15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0017C90D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1599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（二）效果实现情况分析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_Toc21599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15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4BCF2BEC" w14:textId="77777777" w:rsidR="00BF198D" w:rsidRDefault="000E73A2">
      <w:pPr>
        <w:pStyle w:val="3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0392" w:history="1">
        <w:r w:rsidR="00F716BD">
          <w:rPr>
            <w:rFonts w:ascii="Times New Roman" w:eastAsia="仿宋_GB2312" w:hAnsi="Times New Roman" w:cs="Times New Roman"/>
            <w:bCs/>
            <w:sz w:val="32"/>
            <w:szCs w:val="32"/>
          </w:rPr>
          <w:t>1.</w:t>
        </w:r>
        <w:r w:rsidR="00F716BD">
          <w:rPr>
            <w:rFonts w:ascii="Times New Roman" w:eastAsia="仿宋_GB2312" w:hAnsi="Times New Roman" w:cs="Times New Roman"/>
            <w:bCs/>
            <w:sz w:val="32"/>
            <w:szCs w:val="32"/>
          </w:rPr>
          <w:t>社会效益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_Toc20392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15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1E21643C" w14:textId="77777777" w:rsidR="00BF198D" w:rsidRDefault="000E73A2">
      <w:pPr>
        <w:pStyle w:val="3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161" w:history="1">
        <w:r w:rsidR="00F716BD">
          <w:rPr>
            <w:rFonts w:ascii="Times New Roman" w:eastAsia="仿宋_GB2312" w:hAnsi="Times New Roman" w:cs="Times New Roman"/>
            <w:bCs/>
            <w:sz w:val="32"/>
            <w:szCs w:val="32"/>
          </w:rPr>
          <w:t>2.</w:t>
        </w:r>
        <w:r w:rsidR="00F716BD">
          <w:rPr>
            <w:rFonts w:ascii="Times New Roman" w:eastAsia="仿宋_GB2312" w:hAnsi="Times New Roman" w:cs="Times New Roman"/>
            <w:bCs/>
            <w:sz w:val="32"/>
            <w:szCs w:val="32"/>
          </w:rPr>
          <w:t>服务对象满意度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_Toc161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16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35C084CA" w14:textId="77777777" w:rsidR="00BF198D" w:rsidRDefault="000E73A2">
      <w:pPr>
        <w:pStyle w:val="10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5098" w:history="1">
        <w:r w:rsidR="00F716BD">
          <w:rPr>
            <w:rFonts w:ascii="Times New Roman" w:eastAsia="黑体" w:hAnsi="Times New Roman" w:cs="Times New Roman"/>
            <w:sz w:val="32"/>
            <w:szCs w:val="32"/>
          </w:rPr>
          <w:t>四、预算管理情况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_Toc5098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19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5DB8D5C4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31587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（一）财务管理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_Toc31587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19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2957AE6A" w14:textId="77777777" w:rsidR="00BF198D" w:rsidRDefault="000E73A2">
      <w:pPr>
        <w:pStyle w:val="3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5902" w:history="1">
        <w:r w:rsidR="00F716BD">
          <w:rPr>
            <w:rFonts w:ascii="Times New Roman" w:eastAsia="仿宋_GB2312" w:hAnsi="Times New Roman" w:cs="Times New Roman"/>
            <w:sz w:val="32"/>
            <w:szCs w:val="32"/>
          </w:rPr>
          <w:t>1.</w:t>
        </w:r>
        <w:r w:rsidR="00F716BD">
          <w:rPr>
            <w:rFonts w:ascii="Times New Roman" w:eastAsia="仿宋_GB2312" w:hAnsi="Times New Roman" w:cs="Times New Roman"/>
            <w:sz w:val="32"/>
            <w:szCs w:val="32"/>
          </w:rPr>
          <w:t>财务管理制度健全性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_Toc25902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19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75A58A94" w14:textId="77777777" w:rsidR="00BF198D" w:rsidRDefault="000E73A2">
      <w:pPr>
        <w:pStyle w:val="3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31386" w:history="1">
        <w:r w:rsidR="00F716BD">
          <w:rPr>
            <w:rFonts w:ascii="Times New Roman" w:eastAsia="仿宋_GB2312" w:hAnsi="Times New Roman" w:cs="Times New Roman"/>
            <w:sz w:val="32"/>
            <w:szCs w:val="32"/>
          </w:rPr>
          <w:t>2.</w:t>
        </w:r>
        <w:r w:rsidR="00F716BD">
          <w:rPr>
            <w:rFonts w:ascii="Times New Roman" w:eastAsia="仿宋_GB2312" w:hAnsi="Times New Roman" w:cs="Times New Roman"/>
            <w:sz w:val="32"/>
            <w:szCs w:val="32"/>
          </w:rPr>
          <w:t>资金使用合规和安全性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_Toc31386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19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5AF8D1EB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6524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（二）资产管理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_Toc26524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20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744477D4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6545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（三）绩效管理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_Toc26545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21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7D4243A6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5938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（四）结转结余率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_Toc25938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22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5924D64A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14660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（五）部门预决算差异率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_Toc14660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22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005FCA02" w14:textId="77777777" w:rsidR="00BF198D" w:rsidRDefault="000E73A2">
      <w:pPr>
        <w:pStyle w:val="10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17315" w:history="1">
        <w:r w:rsidR="00F716BD">
          <w:rPr>
            <w:rFonts w:ascii="Times New Roman" w:eastAsia="黑体" w:hAnsi="Times New Roman" w:cs="Times New Roman"/>
            <w:sz w:val="32"/>
            <w:szCs w:val="32"/>
          </w:rPr>
          <w:t>五、总体评价结论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_Toc17315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23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75C6F5BF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3028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（一）评价得分情况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_Toc3028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23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2BBA341B" w14:textId="77777777" w:rsidR="00BF198D" w:rsidRDefault="000E73A2">
      <w:pPr>
        <w:pStyle w:val="2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20355" w:history="1">
        <w:r w:rsidR="00F716BD">
          <w:rPr>
            <w:rFonts w:ascii="Times New Roman" w:eastAsia="楷体" w:hAnsi="Times New Roman" w:cs="Times New Roman"/>
            <w:sz w:val="32"/>
            <w:szCs w:val="32"/>
          </w:rPr>
          <w:t>（二）存在的问题及原因分析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_Toc20355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23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30FF0F01" w14:textId="77777777" w:rsidR="00BF198D" w:rsidRDefault="000E73A2">
      <w:pPr>
        <w:pStyle w:val="10"/>
        <w:tabs>
          <w:tab w:val="right" w:leader="dot" w:pos="8306"/>
        </w:tabs>
        <w:rPr>
          <w:rFonts w:ascii="Times New Roman" w:hAnsi="Times New Roman" w:cs="Times New Roman"/>
          <w:sz w:val="32"/>
          <w:szCs w:val="32"/>
        </w:rPr>
      </w:pPr>
      <w:hyperlink w:anchor="_Toc31004" w:history="1">
        <w:r w:rsidR="00F716BD">
          <w:rPr>
            <w:rFonts w:ascii="Times New Roman" w:eastAsia="黑体" w:hAnsi="Times New Roman" w:cs="Times New Roman"/>
            <w:sz w:val="32"/>
            <w:szCs w:val="32"/>
          </w:rPr>
          <w:t>六、措施建议</w:t>
        </w:r>
        <w:r w:rsidR="00F716BD">
          <w:rPr>
            <w:rFonts w:ascii="Times New Roman" w:hAnsi="Times New Roman" w:cs="Times New Roman"/>
            <w:sz w:val="32"/>
            <w:szCs w:val="32"/>
          </w:rPr>
          <w:tab/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begin"/>
        </w:r>
        <w:r w:rsidR="00F716BD">
          <w:rPr>
            <w:rFonts w:ascii="Times New Roman" w:hAnsi="Times New Roman" w:cs="Times New Roman"/>
            <w:sz w:val="32"/>
            <w:szCs w:val="32"/>
          </w:rPr>
          <w:instrText xml:space="preserve"> PAGEREF _Toc31004 \h </w:instrText>
        </w:r>
        <w:r w:rsidR="00F716BD">
          <w:rPr>
            <w:rFonts w:ascii="Times New Roman" w:hAnsi="Times New Roman" w:cs="Times New Roman"/>
            <w:sz w:val="32"/>
            <w:szCs w:val="32"/>
          </w:rPr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F716BD">
          <w:rPr>
            <w:rFonts w:ascii="Times New Roman" w:hAnsi="Times New Roman" w:cs="Times New Roman"/>
            <w:sz w:val="32"/>
            <w:szCs w:val="32"/>
          </w:rPr>
          <w:t>23</w:t>
        </w:r>
        <w:r w:rsidR="00F716BD">
          <w:rPr>
            <w:rFonts w:ascii="Times New Roman" w:hAnsi="Times New Roman" w:cs="Times New Roman"/>
            <w:sz w:val="32"/>
            <w:szCs w:val="32"/>
          </w:rPr>
          <w:fldChar w:fldCharType="end"/>
        </w:r>
      </w:hyperlink>
    </w:p>
    <w:p w14:paraId="2F795738" w14:textId="77777777" w:rsidR="00BF198D" w:rsidRDefault="00BF198D">
      <w:pPr>
        <w:pStyle w:val="2"/>
        <w:tabs>
          <w:tab w:val="right" w:leader="dot" w:pos="8306"/>
        </w:tabs>
        <w:rPr>
          <w:rFonts w:ascii="Times New Roman" w:hAnsi="Times New Roman" w:cs="Times New Roman"/>
        </w:rPr>
      </w:pPr>
    </w:p>
    <w:p w14:paraId="3865F5F0" w14:textId="77777777" w:rsidR="00BF198D" w:rsidRDefault="00F716BD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bCs/>
          <w:lang w:val="zh-CN"/>
        </w:rPr>
      </w:pPr>
      <w:r>
        <w:rPr>
          <w:rFonts w:ascii="Times New Roman" w:hAnsi="Times New Roman" w:cs="Times New Roman"/>
          <w:bCs/>
          <w:szCs w:val="32"/>
          <w:lang w:val="zh-CN"/>
        </w:rPr>
        <w:fldChar w:fldCharType="end"/>
      </w:r>
    </w:p>
    <w:p w14:paraId="1296B2EE" w14:textId="77777777" w:rsidR="00BF198D" w:rsidRDefault="00BF198D">
      <w:pPr>
        <w:adjustRightInd w:val="0"/>
        <w:snapToGrid w:val="0"/>
        <w:spacing w:line="360" w:lineRule="auto"/>
        <w:rPr>
          <w:rFonts w:ascii="Times New Roman" w:eastAsia="华文中宋" w:hAnsi="Times New Roman" w:cs="Times New Roman"/>
          <w:bCs/>
          <w:sz w:val="36"/>
          <w:szCs w:val="44"/>
        </w:rPr>
        <w:sectPr w:rsidR="00BF198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476555A" w14:textId="77777777" w:rsidR="00BF198D" w:rsidRDefault="00F716BD">
      <w:pPr>
        <w:adjustRightInd w:val="0"/>
        <w:snapToGrid w:val="0"/>
        <w:spacing w:line="577" w:lineRule="exact"/>
        <w:jc w:val="center"/>
        <w:rPr>
          <w:rFonts w:ascii="Times New Roman" w:eastAsia="方正公文小标宋" w:hAnsi="Times New Roman" w:cs="Times New Roman"/>
          <w:bCs/>
          <w:sz w:val="44"/>
          <w:szCs w:val="44"/>
        </w:rPr>
      </w:pPr>
      <w:r>
        <w:rPr>
          <w:rFonts w:ascii="Times New Roman" w:eastAsia="方正公文小标宋" w:hAnsi="Times New Roman" w:cs="Times New Roman"/>
          <w:bCs/>
          <w:sz w:val="44"/>
          <w:szCs w:val="44"/>
        </w:rPr>
        <w:lastRenderedPageBreak/>
        <w:t>北京农业职业学院</w:t>
      </w:r>
      <w:r>
        <w:rPr>
          <w:rFonts w:ascii="Times New Roman" w:eastAsia="方正公文小标宋" w:hAnsi="Times New Roman" w:cs="Times New Roman"/>
          <w:bCs/>
          <w:sz w:val="44"/>
          <w:szCs w:val="44"/>
        </w:rPr>
        <w:t>2024</w:t>
      </w:r>
      <w:r>
        <w:rPr>
          <w:rFonts w:ascii="Times New Roman" w:eastAsia="方正公文小标宋" w:hAnsi="Times New Roman" w:cs="Times New Roman"/>
          <w:bCs/>
          <w:sz w:val="44"/>
          <w:szCs w:val="44"/>
        </w:rPr>
        <w:t>年度部门</w:t>
      </w:r>
    </w:p>
    <w:p w14:paraId="5B0891BB" w14:textId="77777777" w:rsidR="00BF198D" w:rsidRDefault="00F716BD">
      <w:pPr>
        <w:adjustRightInd w:val="0"/>
        <w:snapToGrid w:val="0"/>
        <w:spacing w:line="577" w:lineRule="exact"/>
        <w:jc w:val="center"/>
        <w:rPr>
          <w:rFonts w:ascii="Times New Roman" w:eastAsia="方正公文小标宋" w:hAnsi="Times New Roman" w:cs="Times New Roman"/>
          <w:bCs/>
          <w:sz w:val="44"/>
          <w:szCs w:val="44"/>
        </w:rPr>
      </w:pPr>
      <w:r>
        <w:rPr>
          <w:rFonts w:ascii="Times New Roman" w:eastAsia="方正公文小标宋" w:hAnsi="Times New Roman" w:cs="Times New Roman"/>
          <w:bCs/>
          <w:sz w:val="44"/>
          <w:szCs w:val="44"/>
        </w:rPr>
        <w:t>整体绩效评价报告</w:t>
      </w:r>
    </w:p>
    <w:p w14:paraId="07BFE94D" w14:textId="77777777" w:rsidR="00BF198D" w:rsidRDefault="00BF198D">
      <w:pPr>
        <w:adjustRightInd w:val="0"/>
        <w:snapToGrid w:val="0"/>
        <w:spacing w:line="577" w:lineRule="exact"/>
        <w:rPr>
          <w:rFonts w:ascii="Times New Roman" w:eastAsia="华文中宋" w:hAnsi="Times New Roman" w:cs="Times New Roman"/>
          <w:bCs/>
          <w:sz w:val="32"/>
          <w:szCs w:val="32"/>
        </w:rPr>
      </w:pPr>
    </w:p>
    <w:p w14:paraId="785544C6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0"/>
        <w:rPr>
          <w:rFonts w:ascii="Times New Roman" w:eastAsia="黑体" w:hAnsi="Times New Roman" w:cs="Times New Roman"/>
          <w:sz w:val="32"/>
          <w:szCs w:val="32"/>
        </w:rPr>
      </w:pPr>
      <w:bookmarkStart w:id="0" w:name="_Toc23794"/>
      <w:bookmarkStart w:id="1" w:name="_Toc791"/>
      <w:bookmarkStart w:id="2" w:name="_Toc102158214"/>
      <w:bookmarkStart w:id="3" w:name="_Toc5319"/>
      <w:bookmarkStart w:id="4" w:name="_Toc26450"/>
      <w:r>
        <w:rPr>
          <w:rFonts w:ascii="Times New Roman" w:eastAsia="黑体" w:hAnsi="Times New Roman" w:cs="Times New Roman"/>
          <w:sz w:val="32"/>
          <w:szCs w:val="32"/>
        </w:rPr>
        <w:t>一、部门概况</w:t>
      </w:r>
      <w:bookmarkEnd w:id="0"/>
      <w:bookmarkEnd w:id="1"/>
      <w:bookmarkEnd w:id="2"/>
      <w:bookmarkEnd w:id="3"/>
      <w:bookmarkEnd w:id="4"/>
    </w:p>
    <w:p w14:paraId="413F139F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eastAsia="楷体" w:hAnsi="Times New Roman" w:cs="Times New Roman"/>
          <w:sz w:val="32"/>
          <w:szCs w:val="32"/>
        </w:rPr>
      </w:pPr>
      <w:bookmarkStart w:id="5" w:name="_Toc10421"/>
      <w:bookmarkStart w:id="6" w:name="_Toc5185"/>
      <w:bookmarkStart w:id="7" w:name="_Toc102158215"/>
      <w:bookmarkStart w:id="8" w:name="_Toc18395"/>
      <w:bookmarkStart w:id="9" w:name="_Toc17568"/>
      <w:r>
        <w:rPr>
          <w:rFonts w:ascii="Times New Roman" w:eastAsia="楷体" w:hAnsi="Times New Roman" w:cs="Times New Roman"/>
          <w:sz w:val="32"/>
          <w:szCs w:val="32"/>
        </w:rPr>
        <w:t>（一）机构设置及职责工作任务情况</w:t>
      </w:r>
      <w:bookmarkEnd w:id="5"/>
      <w:bookmarkEnd w:id="6"/>
      <w:bookmarkEnd w:id="7"/>
      <w:bookmarkEnd w:id="8"/>
      <w:bookmarkEnd w:id="9"/>
    </w:p>
    <w:p w14:paraId="12C0144A" w14:textId="29A7FA3F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1.</w:t>
      </w:r>
      <w:r w:rsidR="006463E6"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部门职责、机构设置</w:t>
      </w:r>
    </w:p>
    <w:p w14:paraId="6EF8BB21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北京农业职业学院（以下简称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学校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或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农职院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）溯源于1958年，有着66年的办学历史，是经北京市人民政府批准、教育部备案的全日制普通高等学校。拥有长阳、香山、清河、北苑四个校区，入选高职院校教学资源50强、服务贡献50强和第六届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中国高职50强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。学校瞄准国家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三农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发展重大战略和首都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四个中心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城市功能定位，扎根首都，服务京郊，面向新农业、新农村、新农民发展需要，开展园艺园林、动物科技、食品与生物工程、水利与土木工程、商务与管理、智慧农业工程等职业教育，面向京内外招生。学校高质量建设乡村振兴学院、北京科技小院和南繁基地，擦亮科技推广服务品牌。充分发挥市委农工委党校和市农广校独特办学优势，着力培养农业农村现代化的领跑者、乡村振兴的引领者、美丽乡村的建设者。</w:t>
      </w:r>
    </w:p>
    <w:p w14:paraId="3C2C9E66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为进一步贯彻落实党的二十大精神，落实中共中央办公厅、国务院办公厅印发《关于推动现代职业教育高质量发展的意见》《关于深化职业教育改革的若干意见》等精神，学校党委以推进学校治理体系和治理能力现代化为导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向，坚持党委对学校办学的全面领导，坚持党建引领高质量发展，实现在机构设置上更加科学，在职能配置上更加优化，在体制机制上更加完善，在运行管理上更加高效，本着责权明晰、精简高效的原则，科学制定全员岗位聘任机构设置方案（京农职党〔2023〕34号），学院机构设置分为党政管理部门及群团组织、直属部门、教学单位三类，共32个内设机构，其中党政管理部门及群团组织19个，直属部门5个，教学单位8个。具体机构设置如表1所示。</w:t>
      </w:r>
    </w:p>
    <w:p w14:paraId="3476A5EB" w14:textId="77777777" w:rsidR="00BF198D" w:rsidRDefault="00F716BD">
      <w:pPr>
        <w:adjustRightInd w:val="0"/>
        <w:snapToGrid w:val="0"/>
        <w:spacing w:line="577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表</w:t>
      </w:r>
      <w:r>
        <w:rPr>
          <w:rFonts w:ascii="Times New Roman" w:eastAsia="黑体" w:hAnsi="Times New Roman" w:cs="Times New Roman"/>
          <w:sz w:val="28"/>
          <w:szCs w:val="28"/>
        </w:rPr>
        <w:t>1</w:t>
      </w:r>
      <w:r>
        <w:rPr>
          <w:rFonts w:ascii="Times New Roman" w:eastAsia="黑体" w:hAnsi="Times New Roman" w:cs="Times New Roman"/>
          <w:sz w:val="28"/>
          <w:szCs w:val="28"/>
        </w:rPr>
        <w:t>：农职院具体机构设置</w:t>
      </w:r>
    </w:p>
    <w:tbl>
      <w:tblPr>
        <w:tblW w:w="4998" w:type="pct"/>
        <w:jc w:val="center"/>
        <w:tblLook w:val="04A0" w:firstRow="1" w:lastRow="0" w:firstColumn="1" w:lastColumn="0" w:noHBand="0" w:noVBand="1"/>
      </w:tblPr>
      <w:tblGrid>
        <w:gridCol w:w="664"/>
        <w:gridCol w:w="2820"/>
        <w:gridCol w:w="5035"/>
      </w:tblGrid>
      <w:tr w:rsidR="00BF198D" w14:paraId="74807198" w14:textId="77777777">
        <w:trPr>
          <w:cantSplit/>
          <w:trHeight w:val="454"/>
          <w:tblHeader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AB32F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ACBCF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机构类型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A032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机构名称</w:t>
            </w:r>
          </w:p>
        </w:tc>
      </w:tr>
      <w:tr w:rsidR="00BF198D" w14:paraId="11114452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F128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199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党政管理部门及群团组织</w:t>
            </w:r>
          </w:p>
          <w:p w14:paraId="13C34260" w14:textId="77777777" w:rsidR="00BF198D" w:rsidRDefault="00F716BD">
            <w:pPr>
              <w:pStyle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个）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FE26E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党政办公室（巡察工作办公室、国内交流合作处）</w:t>
            </w:r>
          </w:p>
        </w:tc>
      </w:tr>
      <w:tr w:rsidR="00BF198D" w14:paraId="4C761F06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70CD5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FD8B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06070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纪委办公室</w:t>
            </w:r>
          </w:p>
        </w:tc>
      </w:tr>
      <w:tr w:rsidR="00BF198D" w14:paraId="783121E1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102BB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13E3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DD12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组织部（离退休管理处）</w:t>
            </w:r>
          </w:p>
        </w:tc>
      </w:tr>
      <w:tr w:rsidR="00BF198D" w14:paraId="26E943E0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C0890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7414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6D76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宣传部（融媒体中心）</w:t>
            </w:r>
          </w:p>
        </w:tc>
      </w:tr>
      <w:tr w:rsidR="00BF198D" w14:paraId="7BCE47F8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1B474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00DA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01938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统战部（机关党委）</w:t>
            </w:r>
          </w:p>
        </w:tc>
      </w:tr>
      <w:tr w:rsidR="00BF198D" w14:paraId="3D908FBA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65C01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B66D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A150A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发展规划处（党委研究室、北京农业职业教育研究所）</w:t>
            </w:r>
          </w:p>
        </w:tc>
      </w:tr>
      <w:tr w:rsidR="00BF198D" w14:paraId="459FCB60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70BA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BA38C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E2EF5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共青团委员会</w:t>
            </w:r>
          </w:p>
        </w:tc>
      </w:tr>
      <w:tr w:rsidR="00BF198D" w14:paraId="1E150846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D4B6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27ED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9D4FE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工会委员会</w:t>
            </w:r>
          </w:p>
        </w:tc>
      </w:tr>
      <w:tr w:rsidR="00BF198D" w14:paraId="13499B25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4529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4BCD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B7997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人事处</w:t>
            </w:r>
          </w:p>
        </w:tc>
      </w:tr>
      <w:tr w:rsidR="00BF198D" w14:paraId="219EF00F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8FDCF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CC2E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C8C74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教务处</w:t>
            </w:r>
          </w:p>
        </w:tc>
      </w:tr>
      <w:tr w:rsidR="00BF198D" w14:paraId="49278B2E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9AFC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407B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B2064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科研处（科技成果转化中心）</w:t>
            </w:r>
          </w:p>
        </w:tc>
      </w:tr>
      <w:tr w:rsidR="00BF198D" w14:paraId="6CEE51F2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B0FA7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AAC3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69B41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学生工作部（学生处、武装部）</w:t>
            </w:r>
          </w:p>
        </w:tc>
      </w:tr>
      <w:tr w:rsidR="00BF198D" w14:paraId="03A32D7E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E71F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554C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5754E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国际合作与交流处（港澳台事务办公室）</w:t>
            </w:r>
          </w:p>
        </w:tc>
      </w:tr>
      <w:tr w:rsidR="00BF198D" w14:paraId="6ED6ABE1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15639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8924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EC99B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计划财务处</w:t>
            </w:r>
          </w:p>
        </w:tc>
      </w:tr>
      <w:tr w:rsidR="00BF198D" w14:paraId="524B0DF3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96C419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B317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5F7EF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审计处</w:t>
            </w:r>
          </w:p>
        </w:tc>
      </w:tr>
      <w:tr w:rsidR="00BF198D" w14:paraId="17AE5E03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0E67E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2272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E1E43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国有资产与产业管理处</w:t>
            </w:r>
          </w:p>
        </w:tc>
      </w:tr>
      <w:tr w:rsidR="00BF198D" w14:paraId="420CCAC8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5FCB4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C2680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9C9BD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安全稳定工作处</w:t>
            </w:r>
          </w:p>
        </w:tc>
      </w:tr>
      <w:tr w:rsidR="00BF198D" w14:paraId="7B23ACC7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692A9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65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A53E7" w14:textId="77777777" w:rsidR="00BF198D" w:rsidRDefault="00F716B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续上页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2A347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后勤保障部</w:t>
            </w:r>
          </w:p>
        </w:tc>
      </w:tr>
      <w:tr w:rsidR="00BF198D" w14:paraId="63B7169E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51FF45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CCF7F5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214AB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党校工作部</w:t>
            </w:r>
          </w:p>
        </w:tc>
      </w:tr>
      <w:tr w:rsidR="00BF198D" w14:paraId="14452CF0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D3093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6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77439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直属部门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个）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47BEE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实验实训中心</w:t>
            </w:r>
          </w:p>
        </w:tc>
      </w:tr>
      <w:tr w:rsidR="00BF198D" w14:paraId="64CF6E1B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8163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3BBCE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E68CD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图书馆（校史馆、档案馆）</w:t>
            </w:r>
          </w:p>
        </w:tc>
      </w:tr>
      <w:tr w:rsidR="00BF198D" w14:paraId="3A69E3B9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34CFA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252E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CC928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信息中心</w:t>
            </w:r>
          </w:p>
        </w:tc>
      </w:tr>
      <w:tr w:rsidR="00BF198D" w14:paraId="2D210224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9962E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61DFF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3D028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继续教育学院</w:t>
            </w:r>
          </w:p>
        </w:tc>
      </w:tr>
      <w:tr w:rsidR="00BF198D" w14:paraId="2BCB9F68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15B9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8946F" w14:textId="77777777" w:rsidR="00BF198D" w:rsidRDefault="00BF198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359F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北京市农业广播电视学校（二级法人单位）</w:t>
            </w:r>
          </w:p>
        </w:tc>
      </w:tr>
      <w:tr w:rsidR="00BF198D" w14:paraId="35B1A703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A2B8E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6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D1FC0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二级学院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个）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C5583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园艺园林学院</w:t>
            </w:r>
          </w:p>
        </w:tc>
      </w:tr>
      <w:tr w:rsidR="00BF198D" w14:paraId="0AB8241D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7C298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12F84" w14:textId="77777777" w:rsidR="00BF198D" w:rsidRDefault="00BF198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9834A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动物科技学院</w:t>
            </w:r>
          </w:p>
        </w:tc>
      </w:tr>
      <w:tr w:rsidR="00BF198D" w14:paraId="57577676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7A9C0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A57CD" w14:textId="77777777" w:rsidR="00BF198D" w:rsidRDefault="00BF198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7B9D07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食品与生物工程学院</w:t>
            </w:r>
          </w:p>
        </w:tc>
      </w:tr>
      <w:tr w:rsidR="00BF198D" w14:paraId="08CB76EB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F6F5D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1C703" w14:textId="77777777" w:rsidR="00BF198D" w:rsidRDefault="00BF198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1DFF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水利与土木工程学院</w:t>
            </w:r>
          </w:p>
        </w:tc>
      </w:tr>
      <w:tr w:rsidR="00BF198D" w14:paraId="47E6E96C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8C06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B244B" w14:textId="77777777" w:rsidR="00BF198D" w:rsidRDefault="00BF198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17FDA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商务与管理学院</w:t>
            </w:r>
          </w:p>
        </w:tc>
      </w:tr>
      <w:tr w:rsidR="00BF198D" w14:paraId="0D79BB2B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6267D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A5589" w14:textId="77777777" w:rsidR="00BF198D" w:rsidRDefault="00BF198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ECA4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智慧农业工程学院</w:t>
            </w:r>
          </w:p>
        </w:tc>
      </w:tr>
      <w:tr w:rsidR="00BF198D" w14:paraId="08BF6F29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FFDCF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BE07A" w14:textId="77777777" w:rsidR="00BF198D" w:rsidRDefault="00BF198D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81924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通识教育学院（体育部）</w:t>
            </w:r>
          </w:p>
        </w:tc>
      </w:tr>
      <w:tr w:rsidR="00BF198D" w14:paraId="0F95E7BC" w14:textId="77777777">
        <w:trPr>
          <w:cantSplit/>
          <w:trHeight w:val="312"/>
          <w:jc w:val="center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86589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6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19DDB" w14:textId="77777777" w:rsidR="00BF198D" w:rsidRDefault="00BF198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799D7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</w:tr>
    </w:tbl>
    <w:p w14:paraId="1422B943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2.资产总体情况</w:t>
      </w:r>
    </w:p>
    <w:p w14:paraId="48AD7974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截至2024年12月31日，我单位资产总额（账面净值，下同）48,260.37（全部为事业单位国有资产）万元，较上年增长-4.54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%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。负债总额1,377.54万元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较上年增长11.83%。净资产46,882.82万元,较上年增长-4.95%。</w:t>
      </w:r>
    </w:p>
    <w:p w14:paraId="2B370623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（1）资产构成情况。流动资产4,867.14万元，较上年增长24.52%，占资产总额10.09%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；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固定资产39,018.44万元，较上年增长-5.52%, 占资产总额80.85%；在建工程525.28万元，较上年增长-68.45%，占资产总额1.09%；长期投资100.00万元，占资产总额0.21%；无形资产3,744.01万元，较上年增长4.60%，占资产总额7.76%；公共基础设施0.00万元，占资产总额0.00%；政府储备物资0.00万元，占资产总额0.00%；文物文化资产0.00万元，占资产总额0.00%；保障性住房0.00万元，占资产总额0.00%；其他资产5.48万元，占资产总额0.01%。</w:t>
      </w:r>
    </w:p>
    <w:p w14:paraId="6B03F790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（2）固定资产构成情况。房屋和构筑物25,653.37万元，占固定资产的65.75%（其中，房屋23,021.65万元，占固定资产的59.00%）；设备8,963.24万元，占22.97%（其中，车辆90.50万元，占0.23%，单价100万（含）以上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（不含车辆）设备1,239.57万元，占3.18%）；文物和陈列品379.52万元，占0.97%；图书和档案1,568.80万元，占4.02%；家具和用具2,370.43万元，占6.08%；特种动植物83.07万元，占0.21%。</w:t>
      </w:r>
    </w:p>
    <w:p w14:paraId="60A4F94C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3.工作目标及任务</w:t>
      </w:r>
    </w:p>
    <w:p w14:paraId="148EE262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农职院制定了《北京农业职业学院2024年工作任务》，围绕党建与思政、教学改革、学生管理、师资建设、科研服务、开放办学、学校治理等七大方面明确目标任务，具体工作任务情况如表2所示。</w:t>
      </w:r>
    </w:p>
    <w:p w14:paraId="2E2519FB" w14:textId="77777777" w:rsidR="00BF198D" w:rsidRDefault="00F716BD">
      <w:pPr>
        <w:adjustRightInd w:val="0"/>
        <w:snapToGrid w:val="0"/>
        <w:spacing w:line="577" w:lineRule="exact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表</w:t>
      </w:r>
      <w:r>
        <w:rPr>
          <w:rFonts w:ascii="Times New Roman" w:eastAsia="黑体" w:hAnsi="Times New Roman" w:cs="Times New Roman"/>
          <w:sz w:val="28"/>
          <w:szCs w:val="28"/>
        </w:rPr>
        <w:t>2</w:t>
      </w:r>
      <w:r>
        <w:rPr>
          <w:rFonts w:ascii="Times New Roman" w:eastAsia="黑体" w:hAnsi="Times New Roman" w:cs="Times New Roman"/>
          <w:sz w:val="28"/>
          <w:szCs w:val="28"/>
        </w:rPr>
        <w:t>：农职院</w:t>
      </w:r>
      <w:r>
        <w:rPr>
          <w:rFonts w:ascii="Times New Roman" w:eastAsia="黑体" w:hAnsi="Times New Roman" w:cs="Times New Roman"/>
          <w:sz w:val="28"/>
          <w:szCs w:val="28"/>
        </w:rPr>
        <w:t>2024</w:t>
      </w:r>
      <w:r>
        <w:rPr>
          <w:rFonts w:ascii="Times New Roman" w:eastAsia="黑体" w:hAnsi="Times New Roman" w:cs="Times New Roman"/>
          <w:sz w:val="28"/>
          <w:szCs w:val="28"/>
        </w:rPr>
        <w:t>年重点工作任务情况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616"/>
        <w:gridCol w:w="4904"/>
      </w:tblGrid>
      <w:tr w:rsidR="00BF198D" w14:paraId="5A04D26D" w14:textId="77777777">
        <w:trPr>
          <w:cantSplit/>
          <w:trHeight w:val="454"/>
          <w:tblHeader/>
          <w:jc w:val="center"/>
        </w:trPr>
        <w:tc>
          <w:tcPr>
            <w:tcW w:w="1981" w:type="pct"/>
            <w:tcBorders>
              <w:top w:val="single" w:sz="4" w:space="0" w:color="000000"/>
              <w:left w:val="single" w:sz="4" w:space="0" w:color="000000"/>
              <w:bottom w:val="single" w:sz="4" w:space="0" w:color="666666"/>
              <w:right w:val="single" w:sz="4" w:space="0" w:color="666666"/>
            </w:tcBorders>
            <w:shd w:val="clear" w:color="auto" w:fill="auto"/>
            <w:noWrap/>
            <w:vAlign w:val="center"/>
          </w:tcPr>
          <w:p w14:paraId="01BA7AD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工作目标</w:t>
            </w:r>
          </w:p>
        </w:tc>
        <w:tc>
          <w:tcPr>
            <w:tcW w:w="3018" w:type="pct"/>
            <w:tcBorders>
              <w:top w:val="single" w:sz="4" w:space="0" w:color="000000"/>
              <w:left w:val="single" w:sz="4" w:space="0" w:color="666666"/>
              <w:bottom w:val="single" w:sz="4" w:space="0" w:color="666666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F12D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工作任务</w:t>
            </w:r>
          </w:p>
        </w:tc>
      </w:tr>
      <w:tr w:rsidR="00BF198D" w14:paraId="0441B66F" w14:textId="77777777">
        <w:trPr>
          <w:cantSplit/>
          <w:trHeight w:val="454"/>
          <w:jc w:val="center"/>
        </w:trPr>
        <w:tc>
          <w:tcPr>
            <w:tcW w:w="1981" w:type="pct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  <w:shd w:val="clear" w:color="auto" w:fill="auto"/>
            <w:noWrap/>
            <w:vAlign w:val="center"/>
          </w:tcPr>
          <w:p w14:paraId="322FAE2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一、坚持党建引领，加快高质量发展</w:t>
            </w:r>
          </w:p>
        </w:tc>
        <w:tc>
          <w:tcPr>
            <w:tcW w:w="3018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  <w:shd w:val="clear" w:color="auto" w:fill="auto"/>
            <w:vAlign w:val="center"/>
          </w:tcPr>
          <w:p w14:paraId="361CAEF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（一）高标准筹备召开党代会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（二）着力加强党的政治建设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（三）打牢党建工作坚实基础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（四）加强宣传思想文化工作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（五）持续抓好统战、群团工作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（六）纵深推进全面从严治党</w:t>
            </w:r>
          </w:p>
        </w:tc>
      </w:tr>
      <w:tr w:rsidR="00BF198D" w14:paraId="5C6435EE" w14:textId="77777777">
        <w:trPr>
          <w:cantSplit/>
          <w:trHeight w:val="454"/>
          <w:jc w:val="center"/>
        </w:trPr>
        <w:tc>
          <w:tcPr>
            <w:tcW w:w="1981" w:type="pct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  <w:shd w:val="clear" w:color="auto" w:fill="auto"/>
            <w:vAlign w:val="center"/>
          </w:tcPr>
          <w:p w14:paraId="350211A5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二、坚持立德树人，促进学生成长成才</w:t>
            </w:r>
          </w:p>
        </w:tc>
        <w:tc>
          <w:tcPr>
            <w:tcW w:w="3018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  <w:shd w:val="clear" w:color="auto" w:fill="auto"/>
            <w:vAlign w:val="center"/>
          </w:tcPr>
          <w:p w14:paraId="6AF2AE15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（一）推动思想政治工作更具实效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（二）推进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三全育人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工作更好落地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（三）构建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大学工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体系促学生成才</w:t>
            </w:r>
          </w:p>
        </w:tc>
      </w:tr>
      <w:tr w:rsidR="00BF198D" w14:paraId="192DF80D" w14:textId="77777777">
        <w:trPr>
          <w:cantSplit/>
          <w:trHeight w:val="454"/>
          <w:jc w:val="center"/>
        </w:trPr>
        <w:tc>
          <w:tcPr>
            <w:tcW w:w="1981" w:type="pct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  <w:shd w:val="clear" w:color="auto" w:fill="auto"/>
            <w:vAlign w:val="center"/>
          </w:tcPr>
          <w:p w14:paraId="52B4828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三、坚持治学兴教，追求一流卓越教育</w:t>
            </w:r>
          </w:p>
        </w:tc>
        <w:tc>
          <w:tcPr>
            <w:tcW w:w="3018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  <w:shd w:val="clear" w:color="auto" w:fill="auto"/>
            <w:vAlign w:val="center"/>
          </w:tcPr>
          <w:p w14:paraId="6C3FB9D8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（一）持续深化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双特高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建设质量提升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（二）建强现代职业教育体系重点项目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（三）深化校企合作、产教融合、科教融汇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（四）加强二级学院教学管理和质量建设</w:t>
            </w:r>
          </w:p>
        </w:tc>
      </w:tr>
      <w:tr w:rsidR="00BF198D" w14:paraId="0024FEF8" w14:textId="77777777">
        <w:trPr>
          <w:cantSplit/>
          <w:trHeight w:val="454"/>
          <w:jc w:val="center"/>
        </w:trPr>
        <w:tc>
          <w:tcPr>
            <w:tcW w:w="1981" w:type="pct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  <w:shd w:val="clear" w:color="auto" w:fill="auto"/>
            <w:noWrap/>
            <w:vAlign w:val="center"/>
          </w:tcPr>
          <w:p w14:paraId="166B18F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四、坚持特色发展，擦亮社会服务品牌</w:t>
            </w:r>
          </w:p>
        </w:tc>
        <w:tc>
          <w:tcPr>
            <w:tcW w:w="3018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  <w:shd w:val="clear" w:color="auto" w:fill="auto"/>
            <w:vAlign w:val="center"/>
          </w:tcPr>
          <w:p w14:paraId="279B40B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（一）提升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五位一体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特色育训质量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（二）加大科研成果转化服务质效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（三）强化实验实训基地服务功能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（四）组建学校特色新型智库队伍</w:t>
            </w:r>
          </w:p>
        </w:tc>
      </w:tr>
      <w:tr w:rsidR="00BF198D" w14:paraId="54F3A879" w14:textId="77777777">
        <w:trPr>
          <w:cantSplit/>
          <w:trHeight w:val="454"/>
          <w:jc w:val="center"/>
        </w:trPr>
        <w:tc>
          <w:tcPr>
            <w:tcW w:w="1981" w:type="pct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  <w:shd w:val="clear" w:color="auto" w:fill="auto"/>
            <w:noWrap/>
            <w:vAlign w:val="center"/>
          </w:tcPr>
          <w:p w14:paraId="71CD2F7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五、坚持人才强校，提升干部教师能力</w:t>
            </w:r>
          </w:p>
        </w:tc>
        <w:tc>
          <w:tcPr>
            <w:tcW w:w="3018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  <w:shd w:val="clear" w:color="auto" w:fill="auto"/>
            <w:vAlign w:val="center"/>
          </w:tcPr>
          <w:p w14:paraId="00ABC0E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（一）锻造高素质专业化教师队伍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（二）锤炼敢作为善作为干部队伍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（三）久久为功加强师德师风建设</w:t>
            </w:r>
          </w:p>
        </w:tc>
      </w:tr>
      <w:tr w:rsidR="00BF198D" w14:paraId="7D96B9CD" w14:textId="77777777">
        <w:trPr>
          <w:cantSplit/>
          <w:trHeight w:val="454"/>
          <w:jc w:val="center"/>
        </w:trPr>
        <w:tc>
          <w:tcPr>
            <w:tcW w:w="1981" w:type="pct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  <w:shd w:val="clear" w:color="auto" w:fill="auto"/>
            <w:noWrap/>
            <w:vAlign w:val="center"/>
          </w:tcPr>
          <w:p w14:paraId="4C93EEC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六、坚持机制建设，激发办学治校活力</w:t>
            </w:r>
          </w:p>
        </w:tc>
        <w:tc>
          <w:tcPr>
            <w:tcW w:w="3018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  <w:shd w:val="clear" w:color="auto" w:fill="auto"/>
            <w:vAlign w:val="center"/>
          </w:tcPr>
          <w:p w14:paraId="7E0069B1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（一）聚焦干事创业建构机制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（二）加强风险防范机制建设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（三）规范化落实好规章制度</w:t>
            </w:r>
          </w:p>
        </w:tc>
      </w:tr>
      <w:tr w:rsidR="00BF198D" w14:paraId="6D62CBCD" w14:textId="77777777">
        <w:trPr>
          <w:cantSplit/>
          <w:trHeight w:val="454"/>
          <w:jc w:val="center"/>
        </w:trPr>
        <w:tc>
          <w:tcPr>
            <w:tcW w:w="1981" w:type="pct"/>
            <w:tcBorders>
              <w:top w:val="single" w:sz="4" w:space="0" w:color="666666"/>
              <w:left w:val="single" w:sz="4" w:space="0" w:color="000000"/>
              <w:bottom w:val="single" w:sz="4" w:space="0" w:color="666666"/>
              <w:right w:val="single" w:sz="4" w:space="0" w:color="666666"/>
            </w:tcBorders>
            <w:shd w:val="clear" w:color="auto" w:fill="auto"/>
            <w:vAlign w:val="center"/>
          </w:tcPr>
          <w:p w14:paraId="0BCC0EFB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七、坚持开放办学，提高国内外影响力</w:t>
            </w:r>
          </w:p>
        </w:tc>
        <w:tc>
          <w:tcPr>
            <w:tcW w:w="3018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000000"/>
            </w:tcBorders>
            <w:shd w:val="clear" w:color="auto" w:fill="auto"/>
            <w:vAlign w:val="center"/>
          </w:tcPr>
          <w:p w14:paraId="6F09A2EC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（一）深化国内交流与合作工作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（二）积极稳妥筹备校友会组建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（三）不断增强国际办学影响力</w:t>
            </w:r>
          </w:p>
        </w:tc>
      </w:tr>
      <w:tr w:rsidR="00BF198D" w14:paraId="2977CFCA" w14:textId="77777777">
        <w:trPr>
          <w:cantSplit/>
          <w:trHeight w:val="454"/>
          <w:jc w:val="center"/>
        </w:trPr>
        <w:tc>
          <w:tcPr>
            <w:tcW w:w="1981" w:type="pct"/>
            <w:tcBorders>
              <w:top w:val="single" w:sz="4" w:space="0" w:color="666666"/>
              <w:left w:val="single" w:sz="4" w:space="0" w:color="000000"/>
              <w:bottom w:val="single" w:sz="4" w:space="0" w:color="000000"/>
              <w:right w:val="single" w:sz="4" w:space="0" w:color="666666"/>
            </w:tcBorders>
            <w:shd w:val="clear" w:color="auto" w:fill="auto"/>
            <w:noWrap/>
            <w:vAlign w:val="center"/>
          </w:tcPr>
          <w:p w14:paraId="7ACFAC5B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八、坚持师生为本，不断增强幸福指数</w:t>
            </w:r>
          </w:p>
        </w:tc>
        <w:tc>
          <w:tcPr>
            <w:tcW w:w="3018" w:type="pct"/>
            <w:tcBorders>
              <w:top w:val="single" w:sz="4" w:space="0" w:color="666666"/>
              <w:left w:val="single" w:sz="4" w:space="0" w:color="666666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3B4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（一）强化招生就业和创新创业工作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（二）大力开展师生荣誉感仪式活动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（三）提升国有资产与资金管理效益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（四）不断提高师生归属感与幸福感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（五）全力构筑平安校园发展环境</w:t>
            </w:r>
          </w:p>
        </w:tc>
      </w:tr>
    </w:tbl>
    <w:p w14:paraId="24A9BCA4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hAnsi="Times New Roman" w:cs="Times New Roman"/>
          <w:highlight w:val="yellow"/>
        </w:rPr>
      </w:pPr>
      <w:bookmarkStart w:id="10" w:name="_Toc102158218"/>
      <w:bookmarkStart w:id="11" w:name="_Toc3208"/>
      <w:bookmarkStart w:id="12" w:name="_Toc12273"/>
      <w:bookmarkStart w:id="13" w:name="_Toc10229"/>
      <w:bookmarkStart w:id="14" w:name="_Toc30755"/>
      <w:r>
        <w:rPr>
          <w:rFonts w:ascii="Times New Roman" w:eastAsia="楷体" w:hAnsi="Times New Roman" w:cs="Times New Roman"/>
          <w:sz w:val="32"/>
          <w:szCs w:val="32"/>
        </w:rPr>
        <w:t>（二）部门整体绩效目标设立情况</w:t>
      </w:r>
      <w:bookmarkEnd w:id="10"/>
      <w:bookmarkEnd w:id="11"/>
      <w:bookmarkEnd w:id="12"/>
      <w:bookmarkEnd w:id="13"/>
      <w:bookmarkEnd w:id="14"/>
    </w:p>
    <w:p w14:paraId="1A950E20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农职院根据部门职能及年度工作计划设置2024年度部门整体绩效目标，围绕改善办学条件、党风党建、教育教学、师资队伍建设、科技项目管理、招生就业、学生教育管理与服务、改善教学环境、技术专业群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双高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建设、特高专业群建设、综合事务管理与服务等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个方面设置了相应绩效指标。部门整体绩效目标设置与单位职责、年度工作任务较为相符，具体部门整体绩效目标设置下表所示。</w:t>
      </w:r>
    </w:p>
    <w:p w14:paraId="4627C78C" w14:textId="77777777" w:rsidR="00BF198D" w:rsidRDefault="00F716BD">
      <w:pPr>
        <w:spacing w:line="577" w:lineRule="exact"/>
        <w:jc w:val="center"/>
        <w:rPr>
          <w:rFonts w:ascii="Times New Roman" w:eastAsia="黑体" w:hAnsi="Times New Roman" w:cs="Times New Roman"/>
          <w:color w:val="000000"/>
          <w:sz w:val="28"/>
          <w:szCs w:val="28"/>
        </w:rPr>
      </w:pPr>
      <w:r>
        <w:rPr>
          <w:rFonts w:ascii="Times New Roman" w:eastAsia="黑体" w:hAnsi="Times New Roman" w:cs="Times New Roman"/>
          <w:color w:val="000000"/>
          <w:sz w:val="28"/>
          <w:szCs w:val="28"/>
        </w:rPr>
        <w:t>表</w:t>
      </w:r>
      <w:r>
        <w:rPr>
          <w:rFonts w:ascii="Times New Roman" w:eastAsia="黑体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黑体" w:hAnsi="Times New Roman" w:cs="Times New Roman"/>
          <w:color w:val="000000"/>
          <w:sz w:val="28"/>
          <w:szCs w:val="28"/>
        </w:rPr>
        <w:t>：部门整体绩效目标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4668"/>
        <w:gridCol w:w="680"/>
        <w:gridCol w:w="957"/>
        <w:gridCol w:w="790"/>
      </w:tblGrid>
      <w:tr w:rsidR="00BF198D" w14:paraId="6687D6E2" w14:textId="77777777">
        <w:trPr>
          <w:trHeight w:val="454"/>
          <w:tblHeader/>
        </w:trPr>
        <w:tc>
          <w:tcPr>
            <w:tcW w:w="834" w:type="pct"/>
            <w:shd w:val="clear" w:color="auto" w:fill="auto"/>
            <w:vAlign w:val="center"/>
          </w:tcPr>
          <w:p w14:paraId="7597FBC5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活动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7E647B4F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31C44FA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指标</w:t>
            </w:r>
          </w:p>
          <w:p w14:paraId="266ADDA0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性质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4DF1775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C0E7FB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度量单位</w:t>
            </w:r>
          </w:p>
        </w:tc>
      </w:tr>
      <w:tr w:rsidR="00BF198D" w14:paraId="6FAFA68D" w14:textId="77777777">
        <w:trPr>
          <w:trHeight w:val="313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4CE88E2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党风党建</w:t>
            </w:r>
          </w:p>
          <w:p w14:paraId="25E945E4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92E620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产出指标时效指标信访举报问题线索规定时限办结率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1FB2FBC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8F46FCB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1D969BD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0D693A2C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190C3417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7B2C85A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产出指标数量指标参加思政课集体备课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FE124C0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C22B71A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F74D56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54B128B4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31DF4176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0F9EB3D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产出指标数量指标定期研判思想政治工作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322B2DA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20C0E8F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F65B8F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07CAF9BB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567E468B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1C17BF4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产出指标数量指标监督检查工作次数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A89966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56EDDB6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F84F75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701997DD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50265C7B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528FF33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产出指标数量指标推送清风农职期次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5AA1530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61FC2E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805736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期</w:t>
            </w:r>
          </w:p>
        </w:tc>
      </w:tr>
      <w:tr w:rsidR="00BF198D" w14:paraId="4329FD2E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144C1888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DE396B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产出指标数量指标校外宣传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393346D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26ABBE6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724FDF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45BADF51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1DE9A77E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1FD09D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产出指标数量指标意识形态研判次数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DA9E40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30A0426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5A5F7D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3D2F7529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1421245E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FFC7CD5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产出指标数量指标院报出刊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23BCF82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AD1171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E6CC3C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期</w:t>
            </w:r>
          </w:p>
        </w:tc>
      </w:tr>
      <w:tr w:rsidR="00BF198D" w14:paraId="3B00F1A2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35356EF8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441861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产出指标数量指标主题党日活动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0C80002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4E099AF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6A8664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49B24A18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76A5A99D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A4D1334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产出指标数量指标组织党建培训班次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EED27B2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111FC4F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403219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3975025A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304278F3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8C152CE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产出指标数量指标组织各项党建及理论学习次数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475B65D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59D37B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126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E58E549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5B3AF3B3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343B0662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AB0590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产出指标数量指标组织业务学习讨论次数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DE3E89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191A32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B2F536A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51E96DB7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2955A563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F87F48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产出指标数量指标组织主题党日活动次数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BBEE35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9A47B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95E2D75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397AC569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07C7C619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BFF8F0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产出指标质量指标监督检查覆盖率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79C735C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72252FC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C2BDD02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3B93781A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3A2774B8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00F2379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产出指标质量指标培训合格率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B034B40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10E4C72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100C98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582790C7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5D3811C4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BDA151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产出指标质量指标违纪违法问题查处率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9000A86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AE37322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22556D5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3373A6E8" w14:textId="77777777">
        <w:trPr>
          <w:trHeight w:val="313"/>
        </w:trPr>
        <w:tc>
          <w:tcPr>
            <w:tcW w:w="834" w:type="pct"/>
            <w:vMerge/>
            <w:shd w:val="clear" w:color="auto" w:fill="auto"/>
            <w:vAlign w:val="center"/>
          </w:tcPr>
          <w:p w14:paraId="59F5C790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E0CD8B8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产出指标质量指标校园文化培育和建设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C15704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D1574A0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BC84424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3AA60C6B" w14:textId="77777777">
        <w:trPr>
          <w:trHeight w:val="652"/>
        </w:trPr>
        <w:tc>
          <w:tcPr>
            <w:tcW w:w="834" w:type="pct"/>
            <w:vMerge/>
            <w:shd w:val="clear" w:color="auto" w:fill="auto"/>
            <w:vAlign w:val="center"/>
          </w:tcPr>
          <w:p w14:paraId="6007941D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EAA6289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效益指标可持续影响指标提升统战对象综合素质及参政议政能力，提高党员发展质量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6C64366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7D078F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792E1F6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4F0A3242" w14:textId="77777777">
        <w:trPr>
          <w:trHeight w:val="1090"/>
        </w:trPr>
        <w:tc>
          <w:tcPr>
            <w:tcW w:w="834" w:type="pct"/>
            <w:vMerge/>
            <w:shd w:val="clear" w:color="auto" w:fill="auto"/>
            <w:vAlign w:val="center"/>
          </w:tcPr>
          <w:p w14:paraId="14A6D0C6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D6476E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效益指标社会效益指标对重点项目招投标、科研项目管理开展专项监督。对招投标程序、资金使用等情况进行监督检查，对科研项目管理开展专项监督，查找风险漏洞，规范管理。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6A1BA0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E5D776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B98AB32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1384415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1477FCF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59B606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效益指标社会效益指标确保学院意识形态安全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B9CDE1B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09E9D0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EDA27E9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2119AB60" w14:textId="77777777">
        <w:trPr>
          <w:trHeight w:val="554"/>
        </w:trPr>
        <w:tc>
          <w:tcPr>
            <w:tcW w:w="834" w:type="pct"/>
            <w:vMerge/>
            <w:shd w:val="clear" w:color="auto" w:fill="auto"/>
            <w:vAlign w:val="center"/>
          </w:tcPr>
          <w:p w14:paraId="418CC01F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DC55D6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效益指标社会效益指标提高干部队伍、党务工作者、统战对象、积极分子以及预备党员的整体水平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A116E8C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8ECD34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BDB1DB6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6580098E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02313B7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改善办学条件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0BEDCB5D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产出指标时效指标设备及链路故障最长修复时间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2258BC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92559A0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9D5667E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小时</w:t>
            </w:r>
          </w:p>
        </w:tc>
      </w:tr>
      <w:tr w:rsidR="00BF198D" w14:paraId="09AD091B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178F71C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53FEE4F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产出指标时效指标网络故障响应时间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A873BD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4B76D3E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B86B6D2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小时</w:t>
            </w:r>
          </w:p>
        </w:tc>
      </w:tr>
      <w:tr w:rsidR="00BF198D" w14:paraId="16F8F9E3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AB52DD2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8CDBD63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产出指标数量指标档案利用卷次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0090A7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1A8A11E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8F2607F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卷</w:t>
            </w:r>
          </w:p>
        </w:tc>
      </w:tr>
      <w:tr w:rsidR="00BF198D" w14:paraId="4445B7CD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0BDD400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4814FB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产出指标数量指标档案数字化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FD1E97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4D1E9C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8756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108F0A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卷</w:t>
            </w:r>
          </w:p>
        </w:tc>
      </w:tr>
      <w:tr w:rsidR="00BF198D" w14:paraId="387F0D4D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F7C6479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F131E0A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产出指标数量指标更新信息点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9C97BE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5E5245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94E9AC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5832295C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C57BACE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678AAF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产出指标数量指标管理与服务流程数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C37E41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DE0BCAC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608EBDC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573F98C4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E8204AC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D8B018D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产出指标数量指标教学实训人次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7BD10CD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B9A91FD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549222A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5A60F103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326B4DD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577BC84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产出指标数量指标师生信息素养培训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CB2CFA9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1FF7B6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7E99616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620F358D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D826C0A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6717DA4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产出指标数量指标信息系统等保安全测评数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B912EEB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36C7D3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C88386B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5DAFAAFC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FBCD003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2BAEB35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产出指标数量指标整理档案数量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78BE66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CEF1AB2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352DB9B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卷</w:t>
            </w:r>
          </w:p>
        </w:tc>
      </w:tr>
      <w:tr w:rsidR="00BF198D" w14:paraId="4FD11D8A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A797C8B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A0A788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产出指标质量指标单设备平均故障率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246EE90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7F9DB6E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AF1272A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2962A25B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109D595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8122CCB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产出指标质量指标等保测评整改后测评分值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563839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90E12FE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D31FCE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BF198D" w14:paraId="24FE1EBD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9A3827A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862E06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产出指标质量指标基地运行管理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F08BF4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5EDA2FD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8602FE0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6B95587D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DA13381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15A5CDB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产出指标质量指标数据、流程与机构的适配度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41B13D6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0845762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86EC109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3C951FE7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23F94F3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366AE9A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产出指标质量指标网络安全事故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1731D40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512D938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8417D56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0D2EB57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3BFAEC2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4E3E10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产出指标质量指标信息门户用户周活跃率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D9E6A15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02A83B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BD00FF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1AF14E5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8D9F2D5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CACC087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产出指标质量指标有线网络畅通率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82FFE9D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B245BEC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35F408B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4081EDD8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8AC82AD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61F12AC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产出指标质量指标主要区域无线网畅通率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424D17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29E8FAB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B634151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168D4B3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4B1E696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606B842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成本指标经济成本指标技术服务费年增长率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7173215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F602E5A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3D7D97D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16916923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39E9315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CA6AB27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效益指标社会效益指标接待参观交流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C56A164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90CE6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D7219F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6D5BC3E5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40CD265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053E423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产出指标数量指标安全教育宣传活动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AF3FD27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1680AD6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01DAA3D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02243F75" w14:textId="77777777">
        <w:trPr>
          <w:trHeight w:val="571"/>
        </w:trPr>
        <w:tc>
          <w:tcPr>
            <w:tcW w:w="834" w:type="pct"/>
            <w:vMerge/>
            <w:shd w:val="clear" w:color="auto" w:fill="auto"/>
            <w:vAlign w:val="center"/>
          </w:tcPr>
          <w:p w14:paraId="1F114E3E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9FE9036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产出指标数量指标根据办学调整需要，做好人员、物资、设备等转移搬运工作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3ABE0F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A4E2113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3A174D5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7A54C006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85F2018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773E1BF" w14:textId="77777777" w:rsidR="00BF198D" w:rsidRDefault="00F716BD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效益指标社会效益指标创造良好的消防安全环境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1590E0F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7011C3B" w14:textId="77777777" w:rsidR="00BF198D" w:rsidRDefault="00F716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F3269D5" w14:textId="77777777" w:rsidR="00BF198D" w:rsidRDefault="00BF19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24494FE3" w14:textId="77777777">
        <w:trPr>
          <w:trHeight w:val="454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62CD9CB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改善教学环境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1998ACFA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效益指标社会效益指标根据办学调整需要，配合相关部门做好各类公共资源使用规划。做好各校区房屋调整及装修改造工作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2B533E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CAF3A1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16AC072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567EE799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19CF644B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F62ED3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效益指标社会效益指标减少污染、净化水资源，节能减排。提高学院师生生活质量，保障学院师生的身体健康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200FA3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86EC18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F3745CD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7FB12846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141BA5A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广播电视教育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29CC6B50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产出指标数量指标培训农民人数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8D372B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569C87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FCAA97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0E27B2B5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C14337F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DB8BFA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产出指标数量指标完成毕业生手续办理人数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E8D572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008007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1075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9A540A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330C5ADA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C6C23B5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41221F5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产出指标数量指标完成农民中等学历教育招生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106FBD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DF725F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E67780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3A513228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B104DEB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F51D234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产出指标数量指标召开京津冀体系工作总结部署会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9B888C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EE6437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B1ABBA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3FE3640E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041DE1E2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A9AEB74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产出指标数量指标组织开展高素质农民典型宣传推介活动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4F4E52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4EE799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4CBB30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34AB971B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1B66EF78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B960FD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产出指标数量指标做好中央农广校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一报一刊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征订，并及时下发给区农广分校。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2BCDE3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D21A4B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F209BD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份</w:t>
            </w:r>
          </w:p>
        </w:tc>
      </w:tr>
      <w:tr w:rsidR="00BF198D" w14:paraId="326B4527" w14:textId="77777777">
        <w:trPr>
          <w:trHeight w:val="454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28F76C5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国际合作与交流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3D11D3BA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产出指标数量指标接待国外院校、机构来院教学科研学习交流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1FD94B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DE747D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336F42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批</w:t>
            </w:r>
          </w:p>
        </w:tc>
      </w:tr>
      <w:tr w:rsidR="00BF198D" w14:paraId="48B3FD6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0F5DDDD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3366856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产出指标数量指标农业技术国际培训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8691C1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55CDA1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0.015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C8D7AD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万人天</w:t>
            </w:r>
          </w:p>
        </w:tc>
      </w:tr>
      <w:tr w:rsidR="00BF198D" w14:paraId="33546B96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19FE377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DBA4FB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产出指标数量指标师生赴国境外交流人次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63048A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51F685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F23F79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6BF9748C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B8FF076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91DE9CB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产出指标数量指标增设农业技术培训中心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20F0E7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EA9983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0E43ED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0E45A2BA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9536567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EEF4F8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效益指标社会效益指标提升学院国际影响力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691964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A56856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5E9CC90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461E2E61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169A2FC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双高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建设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5C03734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产出指标时效指标各工程年度建设任务时间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CAA64A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BD79AD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7FCAB0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年</w:t>
            </w:r>
          </w:p>
        </w:tc>
      </w:tr>
      <w:tr w:rsidR="00BF198D" w14:paraId="76E3DEAA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424F801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F80B97C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产出指标数量指标推进双高各工程建设任务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02166F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13CE4B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276976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777D08E2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7951A37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A9B97D1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产出指标质量指标各工程年度验收合格率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24D9FF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4476F7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250808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6FDABA45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B3024E8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76D2B7F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成本指标经济成本指标年度建设财政资金投入率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00E17A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35C0F6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4406E1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7DFE9D00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2E572B9F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653DE75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效益指标可持续影响指标在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双高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校验收基础上，持续推进教育教学改革和专业建设，促进学院教学工作高质量发展。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E9AEF4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8DFA93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CB8C8D8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2D4A4883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31CBD9F6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B69E2A4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效益指标社会效益指标提高人才培养质量、办学水平提升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561441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31BA2C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CF88CBA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5FE3F7EF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6773CE9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EF141C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效益指标社会效益指标助力北京乡村振兴战略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2B8502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1127CC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5364F1D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7288EDC6" w14:textId="77777777">
        <w:trPr>
          <w:trHeight w:val="454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1A754C1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教育教学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34BCE8B5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2022—2023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年度院级教改课题结题、验收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704C2C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≤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599B6D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51E419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06350C3C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6F7AC8DC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76A16DF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2024—2025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年度院级教改课题立项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5EC009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7D1660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2C30E2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1698A246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B92CC46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3898C2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产出指标数量指标开展教研活动次数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0BE2AB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7F1AE0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E60C2A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7B4EACD2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66A07D9F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AB29E1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产出指标数量指标年度申报现有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1+X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证书（含等级）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339182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3B92D3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97795F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7D5F0241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9A8A9A3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8CA1A6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产出指标数量指标市级以上教改课题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880FA9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823F71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B64F50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12B29534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013C67A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87AA9CD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产出指标数量指标完成教学工作量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D5A6D2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508D91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120036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03F386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学时</w:t>
            </w:r>
          </w:p>
        </w:tc>
      </w:tr>
      <w:tr w:rsidR="00BF198D" w14:paraId="03C52EB4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460103E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9D75D5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产出指标数量指标学生实习责任险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8DD4B2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3EADF4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8189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BDDFA3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4E8F2CF0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4F3B73BA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87A277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产出指标质量指标确保日常教学工作顺利进行，教学改革工作有序开展，教师教学能力大赛有所收获。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A74825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2A7CF2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C5C0437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0E4EAC74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56051771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E88F9DB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产出指标质量指标推进产教融合，密切校企合作，加强校企合作效果评估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86A3FF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465406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44ACFDC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5536EB7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EFA8A57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3B6E5C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满意度指标服务对象满意度指标在校师生满意度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2BE9A6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DE005A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0A839B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646BC1E8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709B0F3F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025B6E8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效益指标可持续影响指标促进教学管理的平稳有效进行，深化教育教学改革，提升人才培养质量。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92D482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CE2C33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252A697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527637D2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34CAE989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7036F2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效益指标可持续影响指标实践教学管理规范有序运行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E74ABE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BEEAEA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46A8E2C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0F105CD0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7CB5B678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D05873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效益指标社会效益指标持续推进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农业中关村园区市域产教联合体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建设，完成年度任务。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857F3C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0E9F80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AFD9E74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740766B9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198221A9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A0C2FD0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效益指标社会效益指标促进标准输出，加强农业类院校的沟通与交流，提高学院声誉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83D9DD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4165A8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A9F5750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14F1C6AB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10A2122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科技项目管理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74786ABC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产出指标数量指标各类科研成果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90651A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1847FA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FECCF4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项</w:t>
            </w:r>
          </w:p>
        </w:tc>
      </w:tr>
      <w:tr w:rsidR="00BF198D" w14:paraId="047CEABB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AC41C94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A8D330C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产出指标数量指标科研项目结项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2E396E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3569A2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255B77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项</w:t>
            </w:r>
          </w:p>
        </w:tc>
      </w:tr>
      <w:tr w:rsidR="00BF198D" w14:paraId="29D0B0D4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A4FCD43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894AE7D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产出指标数量指标科研项目立项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8A2BB5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B6534C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ABAE24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项</w:t>
            </w:r>
          </w:p>
        </w:tc>
      </w:tr>
      <w:tr w:rsidR="00BF198D" w14:paraId="454048E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EFB893D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B6CEFF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产出指标数量指标培训技术人员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D5528C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C7CEDC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CB97BB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15AA676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D92D021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1C8290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产出指标数量指标推广技术、引进品种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293EE8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915E61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C7A256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7D17B4D4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E3B1656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560550F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产出指标质量指标课题验收通过率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1CF182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91FF0C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7A23F2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28F75DC5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2A959B1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3311A4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效益指标社会效益指标培养技术骨干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B6992F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99E517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C3F546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名</w:t>
            </w:r>
          </w:p>
        </w:tc>
      </w:tr>
      <w:tr w:rsidR="00BF198D" w14:paraId="5A2384B1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0A3EE68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052C1F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效益指标社会效益指标培养学生双创能力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90AFE5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78BB5A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6D34091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76BB204B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8BA57F8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1C82F0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效益指标社会效益指标提高科技成果转化水平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874743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726B6E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D3AE284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77B9858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D531B13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0545A26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效益指标社会效益指标提升教师的科研能力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A2AE9A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E60C5A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9ABCAD4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2E1AB21D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1064A39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师资队伍建设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2D6A2938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产出指标数量指标公开招聘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05823B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884843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6EDCEA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0364BC1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F1B878A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2B997E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产出指标数量指标国培项目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D95278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137E42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8A9ACF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761CF3F7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7CC34B7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2A92F8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产出指标数量指标教师企业实践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EAC659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03184C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346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56157B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75957DBA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592D8E7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DB22E1A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产出指标数量指标科级及以下岗位聘任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8E3E86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6412CA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782319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2CA56896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1575EAA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4224EB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产出指标数量指标培训教师数量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521771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6D7775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50334A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7EF6ED94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46CF1F3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B4A66B4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产出指标数量指标培育名师大师骨干教师数量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195655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F19F93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0D8454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32372E3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4DCA7C1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2DAFABD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产出指标数量指标新入职人员人事档案数字化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3AE990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044698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5F3F04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卷</w:t>
            </w:r>
          </w:p>
        </w:tc>
      </w:tr>
      <w:tr w:rsidR="00BF198D" w14:paraId="40B59E43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5B18F27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118754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产出指标数量指标信息系统维护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EC09CA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E7EEC5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F2B527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62ECB050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59248E4D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049A40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产出指标数量指标运行国家级、市级行业职业教育秘书处数量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23E4C5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F3FEA3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CBDE12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40C939C9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4185FFC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F64C955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产出指标数量指标职称评审申报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DE0F3E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817DEE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8E7B53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2B5A83E2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CDE38A3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07877C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产出指标质量指标培训合格率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BE8084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97BF27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E8399A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50360AEB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E72ABBE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BD62890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产出指标质量指标师德考核合格率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7C1215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004D97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3CC279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0C82C442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7DEE19D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1DB5454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双师型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教师占比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020409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14FCB1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06B9F8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75BA6FCF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78E5AF3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1EEC5DD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效益指标社会效益指标国家级名师工作室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F7C857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AA8888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EC8EFB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3CFC1D77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8F26034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2F7C8CF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效益指标社会效益指标市级教学创新团队培养培育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26DC91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55188B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37B4BA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5C5FE0DA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62928F15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1631FFA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效益指标社会效益指标提升教师双师素质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80C656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6F93F2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0AACCD0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768FFC99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8A90112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94B0F51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效益指标社会效益指标中层单位、工作人员年度考核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2FA472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5FDEAB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730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006C51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1774D3E8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0B086F8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特高专业群建设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228812CA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产出指标时效指标各工程年度建设任务时间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1E2644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5036FB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CAEAD3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年</w:t>
            </w:r>
          </w:p>
        </w:tc>
      </w:tr>
      <w:tr w:rsidR="00BF198D" w14:paraId="537243FF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0E989AD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0FB74CF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产出指标数量指标推进特高各工程建设任务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FDDDFC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CCDB6E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EC8EB4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1695D4E1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B4517DE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97A42B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产出指标质量指标各工程年度验收合格率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AD813C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B71BB4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D3C1B1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4A4100EB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A61BBBB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AEB8C40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成本指标经济成本指标年度建设财政资金投入率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3DD9E9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63AB61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B0259A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73611F1B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3E671E43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A219071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效益指标可持续影响指标持续开展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特高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校验收后学校各大工程后续建设工作，加强第二批、第三批专业群等特高校建设。擦亮都市现代农业职业教育品牌，引领全国农业职业教育改革。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48AA68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450847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3680C46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76D7E80B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3537E7BA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FB56F38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效益指标社会效益指标专业群结构布局更加优化，深化产教合作，形成产教融合育人新模式，培养服务都市农业一流高技能人才。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8E4509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26DB5E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503A5A1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2D948628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1AA17D6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相关培训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3AD69698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产出指标时效指标任务终期完成度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DF7210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478F82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636EE6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3E6F6504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22FE5C9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8C35F96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产出指标数量指标培养各类干部人次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1917F8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E5CDA0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1600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054C65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6305C1B2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5008817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0B6FE3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产出指标质量指标通过教学质量评估，培训合格率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F7C505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8F096D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958DF6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0F35DB85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016BB898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51D91C8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效益指标社会效益指标建设学习型、服务性、创新性的农村基层组织，同时落实人才强农战略，打造一支高素质农村基层干部人才队伍。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E825E6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881D7B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30A625B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6EBC9699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2FF11399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54D09C5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效益指标社会效益指标进一步提升基层干部抓党建促乡村振兴能力，助力北京市乡村振兴战略实施。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483682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C517CA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A42795C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03E7F284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5CA2361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学生教育管理与服务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1C31776A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产出指标数量指标高校征兵工作征集人数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9A7DBF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F6C731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B8780B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58782195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66319EE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EF8FE34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产出指标数量指标举办各项活动次数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1BBCC1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D72029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9F4417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0BDB749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6B52A39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D46184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产出指标数量指标开展学生教育管理活动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90A890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3F6F45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EED35D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项</w:t>
            </w:r>
          </w:p>
        </w:tc>
      </w:tr>
      <w:tr w:rsidR="00BF198D" w14:paraId="237CFBE9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C80112A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72F0E8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产出指标数量指标心理健康节宣传教育活动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5E9632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B8949D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7EEBDE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162E9E3A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642A14A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160D61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产出指标数量指标心理课覆盖率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926FDE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D2A9A6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FC1FB5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3E03BAC3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BF98565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19387D6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产出指标质量指标各类活动参与率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0824F4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D36590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E60D2B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6B99597D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AD797A8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06A2BE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满意度指标服务对象满意度指标咨询学生满意度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FF86CE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FE9035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94946E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523D6954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6CF10149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647B7A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效益指标社会效益指标高校征兵工作覆盖率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A99F90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27C929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E65207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6BDDC642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17EF8F3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2E91FF5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效益指标社会效益指标心理普查覆盖率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738A23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7A7BD9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B99B02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76724D43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63A4BE6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学生资助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354D310F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产出指标时效指标资助经费发放及时率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53A5D5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99C1D4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AE28AA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4552CF74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7EF2B01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2D9C5F0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产出指标数量指标困难学生资助覆盖率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BA7C2D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E81FAF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361639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78BB5182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2E753BA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7DC0A7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产出指标数量指标资助人数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3E3503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EFBB93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5600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0DCE17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1692FF4D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26DD96B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75ADE3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效益指标社会效益指标学生因学费问题失学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E32234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D0ED62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1F517C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4A01FC2D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12EC08A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招生就业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66EA8960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产出指标数量指标毕业生就业去向落实率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B30EEB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42423F3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A1BFCD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43DE6386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F34854D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2F39DB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产出指标数量指标各类比赛辅导培训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390DD6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A78A68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026B17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7DA4DD5E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415C7818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05CEEA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产出指标数量指标各类招生简章制作完成率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DE0864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6AC1B2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35DA18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27EEA5A0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6D82AA1C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6F7FA5D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产出指标数量指标生涯规划（或就业指导、创新创业）课程教师培训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80BC3B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1469696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91D50F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24B95FFA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F29A56B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DB20EE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产出指标数量指标完成招生计划指标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C4F713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078E7F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64F43C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0049E5FC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AD4C096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E2B2940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产出指标质量指标毕业生专业与工作相关度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41ABB55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3510A7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2F57D5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500FC76D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F2B3110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442F747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产出指标质量指标创新创业大赛市级以上获奖项目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A549A9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7D1772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0E8FA2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项</w:t>
            </w:r>
          </w:p>
        </w:tc>
      </w:tr>
      <w:tr w:rsidR="00BF198D" w14:paraId="071C0571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B821A50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5E572CB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满意度指标服务对象满意度指标用人单位满意度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876BC0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6AAE4B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A34273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5FEF8020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469D4A92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392F623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效益指标社会效益指标组建招生团队，完善招生简章，丰富招生宣传形式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1390FD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414FB2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A010F46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7672784B" w14:textId="77777777">
        <w:trPr>
          <w:trHeight w:val="454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4D377613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综合事务管理与服务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7DF559E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产出指标数量指标财政专项事前评估、绩效监控、绩效自评覆盖率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62E532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01F0CC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96B8F0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4D595897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7F4BCD04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2D0707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产出指标数量指标采购图书册数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36DED2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FEACA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14308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0C3878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册</w:t>
            </w:r>
          </w:p>
        </w:tc>
      </w:tr>
      <w:tr w:rsidR="00BF198D" w14:paraId="2D9E1E37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24B4FC8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B6210AF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产出指标数量指标筹措年度预算资金总量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50C3EE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32E6C2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9C06BE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亿元</w:t>
            </w:r>
          </w:p>
        </w:tc>
      </w:tr>
      <w:tr w:rsidR="00BF198D" w14:paraId="7741C31C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7491DF1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E8C86ED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产出指标数量指标公物仓资产明细按季度上传微盘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9F9945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17E86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5C1CBC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次</w:t>
            </w:r>
          </w:p>
        </w:tc>
      </w:tr>
      <w:tr w:rsidR="00BF198D" w14:paraId="0C01A801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8078544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E216FFA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产出指标数量指标开展审计项目个数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3508F3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0EA40A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FACA96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个</w:t>
            </w:r>
          </w:p>
        </w:tc>
      </w:tr>
      <w:tr w:rsidR="00BF198D" w14:paraId="2E362B8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5670C3AC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A9F4B9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产出指标数量指标年度资产盘点报告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041799F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BD2E36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F10CD6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份</w:t>
            </w:r>
          </w:p>
        </w:tc>
      </w:tr>
      <w:tr w:rsidR="00BF198D" w14:paraId="42E26EBB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92FC14B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09506E25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产出指标数量指标评选优秀授课教师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82CEDE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C81440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48CF693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680790BB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2E310B20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59A7D60B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产出指标数量指标组织学生评价、督导评价、系部评价和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教务评价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C218F4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2F8A75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ED8946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52EC54AE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2151C13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22A4CF8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产出指标质量指标图书资源实用性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6CAD23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BEB441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EA51F83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7BFB33EB" w14:textId="77777777">
        <w:trPr>
          <w:trHeight w:val="324"/>
        </w:trPr>
        <w:tc>
          <w:tcPr>
            <w:tcW w:w="834" w:type="pct"/>
            <w:vMerge/>
            <w:shd w:val="clear" w:color="auto" w:fill="auto"/>
            <w:vAlign w:val="center"/>
          </w:tcPr>
          <w:p w14:paraId="34AF5804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786E75CF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产出指标质量指标预算执行、决算编报及预算申报编报质量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401FF82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6122DCB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2863CC6E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38B23D1F" w14:textId="77777777">
        <w:trPr>
          <w:trHeight w:val="454"/>
        </w:trPr>
        <w:tc>
          <w:tcPr>
            <w:tcW w:w="834" w:type="pct"/>
            <w:vMerge/>
            <w:shd w:val="clear" w:color="auto" w:fill="auto"/>
            <w:vAlign w:val="center"/>
          </w:tcPr>
          <w:p w14:paraId="40046DE9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B1786F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产出指标质量指标执行招标采购法律法规及年度任务完成情况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73C39F7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5443F66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63178CA4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4102B1F3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30DDA78B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129D2C72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效益指标社会效益指标审计问题整改落实率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124ED3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6121385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0406E5F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F198D" w14:paraId="536029CC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6F963D5E" w14:textId="77777777" w:rsidR="00BF198D" w:rsidRDefault="00BF198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251D033E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效益指标社会效益指标预算管理信息化水平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1FF882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D212BA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1ACD442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5CB774BB" w14:textId="77777777">
        <w:trPr>
          <w:trHeight w:val="312"/>
        </w:trPr>
        <w:tc>
          <w:tcPr>
            <w:tcW w:w="834" w:type="pct"/>
            <w:vMerge w:val="restart"/>
            <w:shd w:val="clear" w:color="auto" w:fill="auto"/>
            <w:vAlign w:val="center"/>
          </w:tcPr>
          <w:p w14:paraId="4A3DCEC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村务人才培养</w:t>
            </w:r>
          </w:p>
        </w:tc>
        <w:tc>
          <w:tcPr>
            <w:tcW w:w="2739" w:type="pct"/>
            <w:shd w:val="clear" w:color="auto" w:fill="auto"/>
            <w:vAlign w:val="center"/>
          </w:tcPr>
          <w:p w14:paraId="27874398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产出指标数量指标调研、咨询、服务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3EF6D0F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395464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141960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人次</w:t>
            </w:r>
          </w:p>
        </w:tc>
      </w:tr>
      <w:tr w:rsidR="00BF198D" w14:paraId="62B3C28B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111DAE68" w14:textId="77777777" w:rsidR="00BF198D" w:rsidRDefault="00BF198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A6EA49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产出指标数量指标分院评定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7CCE01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≥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8149EB4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5B3E4EE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所</w:t>
            </w:r>
          </w:p>
        </w:tc>
      </w:tr>
      <w:tr w:rsidR="00BF198D" w14:paraId="7C279528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06D8FA17" w14:textId="77777777" w:rsidR="00BF198D" w:rsidRDefault="00BF198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495344B9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产出指标数量指标培训乡村管理人才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C49D28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＝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7C97DA1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72820D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人</w:t>
            </w:r>
          </w:p>
        </w:tc>
      </w:tr>
      <w:tr w:rsidR="00BF198D" w14:paraId="553F4E80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2215F006" w14:textId="77777777" w:rsidR="00BF198D" w:rsidRDefault="00BF198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96E7620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效益指标社会效益指标促进乡村产业发展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EA14231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3300377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7489E52E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F198D" w14:paraId="6F003C67" w14:textId="77777777">
        <w:trPr>
          <w:trHeight w:val="312"/>
        </w:trPr>
        <w:tc>
          <w:tcPr>
            <w:tcW w:w="834" w:type="pct"/>
            <w:vMerge/>
            <w:shd w:val="clear" w:color="auto" w:fill="auto"/>
            <w:vAlign w:val="center"/>
          </w:tcPr>
          <w:p w14:paraId="6B8F2E41" w14:textId="77777777" w:rsidR="00BF198D" w:rsidRDefault="00BF198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39" w:type="pct"/>
            <w:shd w:val="clear" w:color="auto" w:fill="auto"/>
            <w:vAlign w:val="center"/>
          </w:tcPr>
          <w:p w14:paraId="6EAB480A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效益指标社会效益指标提升培训人才素质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51289B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定性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29CA4C99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高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19B5A6A4" w14:textId="77777777" w:rsidR="00BF198D" w:rsidRDefault="00BF19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3DBCF3A5" w14:textId="77777777" w:rsidR="00BF198D" w:rsidRDefault="00F716BD">
      <w:pPr>
        <w:numPr>
          <w:ilvl w:val="0"/>
          <w:numId w:val="1"/>
        </w:numPr>
        <w:adjustRightInd w:val="0"/>
        <w:snapToGrid w:val="0"/>
        <w:spacing w:line="577" w:lineRule="exact"/>
        <w:ind w:firstLineChars="200" w:firstLine="640"/>
        <w:outlineLvl w:val="0"/>
        <w:rPr>
          <w:rFonts w:ascii="Times New Roman" w:eastAsia="黑体" w:hAnsi="Times New Roman" w:cs="Times New Roman"/>
          <w:bCs/>
          <w:sz w:val="32"/>
          <w:szCs w:val="32"/>
        </w:rPr>
      </w:pPr>
      <w:bookmarkStart w:id="15" w:name="_Toc18324"/>
      <w:bookmarkStart w:id="16" w:name="_Toc102158221"/>
      <w:bookmarkStart w:id="17" w:name="_Toc19122"/>
      <w:bookmarkStart w:id="18" w:name="_Toc22630"/>
      <w:bookmarkStart w:id="19" w:name="_Toc19312"/>
      <w:r>
        <w:rPr>
          <w:rFonts w:ascii="Times New Roman" w:eastAsia="黑体" w:hAnsi="Times New Roman" w:cs="Times New Roman"/>
          <w:bCs/>
          <w:sz w:val="32"/>
          <w:szCs w:val="32"/>
        </w:rPr>
        <w:t>当年预算执行情况</w:t>
      </w:r>
      <w:bookmarkEnd w:id="15"/>
      <w:bookmarkEnd w:id="16"/>
      <w:bookmarkEnd w:id="17"/>
      <w:bookmarkEnd w:id="18"/>
      <w:bookmarkEnd w:id="19"/>
    </w:p>
    <w:p w14:paraId="21E5BA9D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2024年全年预算数50342.46万元，其中：基本支出预算45038.78万元，占比89.46%；项目支出预算4973.39万元，占比9.88%；经营支出预算330.29万元，占比0.66%。</w:t>
      </w:r>
    </w:p>
    <w:p w14:paraId="0D1BDFAA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截至2024年12月31日，总体支出49436.21万元，其中，基本支出45014.65万元，项目支出4091.27万元，经营支出330.29万元。部门预算执行率为98.20%，具体预算执行情况如下表。</w:t>
      </w:r>
    </w:p>
    <w:p w14:paraId="5D48EFD0" w14:textId="77777777" w:rsidR="00BF198D" w:rsidRDefault="00F716BD">
      <w:pPr>
        <w:adjustRightInd w:val="0"/>
        <w:snapToGrid w:val="0"/>
        <w:spacing w:line="577" w:lineRule="exact"/>
        <w:jc w:val="center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sz w:val="28"/>
          <w:szCs w:val="28"/>
        </w:rPr>
        <w:t>表</w:t>
      </w:r>
      <w:r>
        <w:rPr>
          <w:rFonts w:ascii="Times New Roman" w:eastAsia="黑体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黑体" w:hAnsi="Times New Roman" w:cs="Times New Roman"/>
          <w:color w:val="000000"/>
          <w:sz w:val="28"/>
          <w:szCs w:val="28"/>
        </w:rPr>
        <w:t>：农职院</w:t>
      </w:r>
      <w:r>
        <w:rPr>
          <w:rFonts w:ascii="Times New Roman" w:eastAsia="黑体" w:hAnsi="Times New Roman" w:cs="Times New Roman"/>
          <w:color w:val="000000"/>
          <w:sz w:val="28"/>
          <w:szCs w:val="28"/>
        </w:rPr>
        <w:t>2024</w:t>
      </w:r>
      <w:r>
        <w:rPr>
          <w:rFonts w:ascii="Times New Roman" w:eastAsia="黑体" w:hAnsi="Times New Roman" w:cs="Times New Roman"/>
          <w:color w:val="000000"/>
          <w:sz w:val="28"/>
          <w:szCs w:val="28"/>
        </w:rPr>
        <w:t>年部门预算执行情况表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622"/>
        <w:gridCol w:w="1806"/>
        <w:gridCol w:w="1807"/>
        <w:gridCol w:w="1807"/>
        <w:gridCol w:w="1480"/>
      </w:tblGrid>
      <w:tr w:rsidR="00BF198D" w14:paraId="5AFE7A2D" w14:textId="77777777">
        <w:trPr>
          <w:cantSplit/>
          <w:trHeight w:val="380"/>
          <w:tblHeader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F405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5A0A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119AA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DCB5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4BD5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预算执行率</w:t>
            </w:r>
          </w:p>
        </w:tc>
      </w:tr>
      <w:tr w:rsidR="00BF198D" w14:paraId="5A7B6D79" w14:textId="77777777">
        <w:trPr>
          <w:cantSplit/>
          <w:trHeight w:val="312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6A6E3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A7815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47023.29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DCBB4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45038.78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12F42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45014.65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C759E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99.95%</w:t>
            </w:r>
          </w:p>
        </w:tc>
      </w:tr>
      <w:tr w:rsidR="00BF198D" w14:paraId="49D5C53A" w14:textId="77777777">
        <w:trPr>
          <w:cantSplit/>
          <w:trHeight w:val="312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E766F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21"/>
                <w:rFonts w:ascii="Times New Roman" w:hAnsi="Times New Roman" w:cs="Times New Roman" w:hint="default"/>
              </w:rPr>
              <w:t xml:space="preserve">    </w:t>
            </w:r>
            <w:r>
              <w:rPr>
                <w:rStyle w:val="font21"/>
                <w:rFonts w:ascii="Times New Roman" w:hAnsi="Times New Roman" w:cs="Times New Roman" w:hint="default"/>
              </w:rPr>
              <w:t>人员经费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C19F1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32897.70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5AA38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32612.39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7E294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32597.45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EB2DA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99.95%</w:t>
            </w:r>
          </w:p>
        </w:tc>
      </w:tr>
      <w:tr w:rsidR="00BF198D" w14:paraId="58B8F22E" w14:textId="77777777">
        <w:trPr>
          <w:cantSplit/>
          <w:trHeight w:val="312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E4954" w14:textId="77777777" w:rsidR="00BF198D" w:rsidRDefault="00F716BD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21"/>
                <w:rFonts w:ascii="Times New Roman" w:hAnsi="Times New Roman" w:cs="Times New Roman" w:hint="default"/>
              </w:rPr>
              <w:t xml:space="preserve">    </w:t>
            </w:r>
            <w:r>
              <w:rPr>
                <w:rStyle w:val="font21"/>
                <w:rFonts w:ascii="Times New Roman" w:hAnsi="Times New Roman" w:cs="Times New Roman" w:hint="default"/>
              </w:rPr>
              <w:t>公用经费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10110C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14125.59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7D49C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12426.39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3CC24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12417.20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132B8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99.93%</w:t>
            </w:r>
          </w:p>
        </w:tc>
      </w:tr>
      <w:tr w:rsidR="00BF198D" w14:paraId="045DB9EF" w14:textId="77777777">
        <w:trPr>
          <w:cantSplit/>
          <w:trHeight w:val="312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89273" w14:textId="77777777" w:rsidR="00BF198D" w:rsidRDefault="00F716BD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9BE8C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3723.26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31248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4973.39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10DA2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4091.27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9C8A4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82.26%</w:t>
            </w:r>
          </w:p>
        </w:tc>
      </w:tr>
      <w:tr w:rsidR="00BF198D" w14:paraId="7852F39C" w14:textId="77777777">
        <w:trPr>
          <w:cantSplit/>
          <w:trHeight w:val="312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514BD" w14:textId="77777777" w:rsidR="00BF198D" w:rsidRDefault="00F716BD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D7B32" w14:textId="77777777" w:rsidR="00BF198D" w:rsidRDefault="00BF1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7FFDF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330.29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B5FC6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330.29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DD4F3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100.00%</w:t>
            </w:r>
          </w:p>
        </w:tc>
      </w:tr>
      <w:tr w:rsidR="00BF198D" w14:paraId="405AA267" w14:textId="77777777">
        <w:trPr>
          <w:cantSplit/>
          <w:trHeight w:val="312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DDDFD" w14:textId="77777777" w:rsidR="00BF198D" w:rsidRDefault="00F716BD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C9AD5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50746.54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3C1B6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50342.46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21A76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49436.21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CE319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98.20%</w:t>
            </w:r>
          </w:p>
        </w:tc>
      </w:tr>
      <w:tr w:rsidR="00BF198D" w14:paraId="7B54074F" w14:textId="77777777">
        <w:trPr>
          <w:cantSplit/>
          <w:trHeight w:val="312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60C57" w14:textId="77777777" w:rsidR="00BF198D" w:rsidRDefault="00F716BD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结余分配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F4CCF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BAA78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1AB0A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30F38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BF198D" w14:paraId="320025B9" w14:textId="77777777">
        <w:trPr>
          <w:cantSplit/>
          <w:trHeight w:val="312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B5A73" w14:textId="77777777" w:rsidR="00BF198D" w:rsidRDefault="00F716BD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年末结转和结余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A5F33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900.81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03DA6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2815.92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C6C2F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3722.17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BAB20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BF198D" w14:paraId="572B2B64" w14:textId="77777777">
        <w:trPr>
          <w:cantSplit/>
          <w:trHeight w:val="312"/>
          <w:jc w:val="center"/>
        </w:trPr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BBBF9" w14:textId="77777777" w:rsidR="00BF198D" w:rsidRDefault="00F716BD">
            <w:pPr>
              <w:widowControl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5F7ED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51647.35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84581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53158.38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5FED6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53158.38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2910F" w14:textId="77777777" w:rsidR="00BF198D" w:rsidRDefault="00F716BD">
            <w:pPr>
              <w:widowControl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</w:t>
            </w:r>
          </w:p>
        </w:tc>
      </w:tr>
    </w:tbl>
    <w:p w14:paraId="3616E878" w14:textId="77777777" w:rsidR="00BF198D" w:rsidRDefault="00F716BD">
      <w:pPr>
        <w:adjustRightInd w:val="0"/>
        <w:snapToGrid w:val="0"/>
        <w:spacing w:line="577" w:lineRule="exact"/>
        <w:ind w:firstLineChars="200" w:firstLine="640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bookmarkStart w:id="20" w:name="_Toc2417"/>
      <w:bookmarkStart w:id="21" w:name="_Toc28981"/>
      <w:bookmarkStart w:id="22" w:name="_Toc16269"/>
      <w:bookmarkStart w:id="23" w:name="_Toc16425"/>
      <w:bookmarkStart w:id="24" w:name="_Toc102158222"/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三、整体绩效目标实现情况</w:t>
      </w:r>
      <w:bookmarkEnd w:id="20"/>
      <w:bookmarkEnd w:id="21"/>
      <w:bookmarkEnd w:id="22"/>
      <w:bookmarkEnd w:id="23"/>
      <w:bookmarkEnd w:id="24"/>
    </w:p>
    <w:p w14:paraId="58815AA6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eastAsia="楷体" w:hAnsi="Times New Roman" w:cs="Times New Roman"/>
          <w:color w:val="000000" w:themeColor="text1"/>
          <w:sz w:val="32"/>
          <w:szCs w:val="32"/>
        </w:rPr>
      </w:pPr>
      <w:bookmarkStart w:id="25" w:name="_Toc2520"/>
      <w:bookmarkStart w:id="26" w:name="_Toc30702"/>
      <w:bookmarkStart w:id="27" w:name="_Toc27346"/>
      <w:bookmarkStart w:id="28" w:name="_Toc102158223"/>
      <w:bookmarkStart w:id="29" w:name="_Toc18991"/>
      <w:r>
        <w:rPr>
          <w:rFonts w:ascii="Times New Roman" w:eastAsia="楷体" w:hAnsi="Times New Roman" w:cs="Times New Roman"/>
          <w:color w:val="000000" w:themeColor="text1"/>
          <w:sz w:val="32"/>
          <w:szCs w:val="32"/>
        </w:rPr>
        <w:lastRenderedPageBreak/>
        <w:t>（一）产出完成情况分析</w:t>
      </w:r>
      <w:bookmarkEnd w:id="25"/>
      <w:bookmarkEnd w:id="26"/>
      <w:bookmarkEnd w:id="27"/>
      <w:bookmarkEnd w:id="28"/>
      <w:bookmarkEnd w:id="29"/>
    </w:p>
    <w:p w14:paraId="093A3063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bookmarkStart w:id="30" w:name="_Toc7682"/>
      <w:bookmarkStart w:id="31" w:name="_Toc1345"/>
      <w:bookmarkStart w:id="32" w:name="_Toc102158224"/>
      <w:bookmarkStart w:id="33" w:name="_Toc72439005"/>
      <w:bookmarkStart w:id="34" w:name="_Toc72438584"/>
      <w:bookmarkStart w:id="35" w:name="_Toc9472"/>
      <w:bookmarkStart w:id="36" w:name="_Toc102140643"/>
      <w:bookmarkStart w:id="37" w:name="_Toc1855"/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1.产出数量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138E5C1" w14:textId="77777777" w:rsidR="00BF198D" w:rsidRDefault="00F716BD">
      <w:pPr>
        <w:widowControl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2024年度农职院进一步深化落实年度重点工作实施，各项产出指标已基本按照计划完成。</w:t>
      </w:r>
    </w:p>
    <w:p w14:paraId="5A5EB035" w14:textId="77777777" w:rsidR="00BF198D" w:rsidRDefault="00F716BD" w:rsidP="00B2623F">
      <w:pPr>
        <w:widowControl/>
        <w:spacing w:line="577" w:lineRule="exact"/>
        <w:ind w:firstLineChars="200" w:firstLine="641"/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党风党建方面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，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加强干部队伍建设，组织处级干部、基层党务干部、统战对象、积极分子、组织发展对象培训班7次，2024年下发12次学习材料，要求基层党委、党总支、直属党支部组织学习，累计156次。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强化理论学习，筑牢思想根基，党委组织业务学习讨论次数20次，组织各项党建及理论学习及活动次数126次，组织党日主题活动43次，参与人次4000余人次，组织参加思政课集体备课5次，定期研判思想政治工作1次、研判意识形态工作4次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三是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围绕学院中心工作开展主题宣传，全年院报出刊10期，推送党纪教育、典型案例等46期，进行校外宣传11次。</w:t>
      </w:r>
    </w:p>
    <w:p w14:paraId="4E1FCC47" w14:textId="77777777" w:rsidR="00BF198D" w:rsidRDefault="00F716BD" w:rsidP="00B2623F">
      <w:pPr>
        <w:pStyle w:val="3"/>
        <w:adjustRightInd w:val="0"/>
        <w:snapToGrid w:val="0"/>
        <w:spacing w:line="577" w:lineRule="exact"/>
        <w:ind w:leftChars="0" w:left="0"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教育教学方面，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开展课程教学近1200门，涉及四个校区263个班级教学任务，完成全年工作量142919学时，开展教研活动合计356次。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完成年度申报现有1+X证书（含等级）17个，完成市级以上教改课题合计18个，完成2024-2025年度院级教改课题立项合计6个，2022-2023年度院级教改课题结题、验收合计49个。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三是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深化校企合作，学院充分发挥工程师学院的引领作用，自立项以来创新形成人才培养模式4个，共同参与行业企业标准制定16个，产教融合型课程数量33门、合作开发活页式、工作手册式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教材27部，在实习方面，全校落实学生实习责任保险合计30640人。</w:t>
      </w:r>
    </w:p>
    <w:p w14:paraId="7702B3BD" w14:textId="77777777" w:rsidR="00BF198D" w:rsidRDefault="00F716BD" w:rsidP="00B2623F">
      <w:pPr>
        <w:adjustRightInd w:val="0"/>
        <w:snapToGrid w:val="0"/>
        <w:spacing w:line="577" w:lineRule="exact"/>
        <w:ind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师资队伍建设方面，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开展人才引进工作，完成科级及以下岗位聘任683人。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开展师资队伍建设，培育名师大师骨干教师12名、培训教师数量273人次、完成教师企业实践349人次、完成国培项目培训190人，完成56名教职工职称评聘工作，评选优秀授课教师37人。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三是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完成信息系统维护2个、新入职人员人事档案数字10卷。四是完成了2个国家级、市级行业职业教育秘书处的运行工作，依托国家级名师挂牌工作室1个。</w:t>
      </w:r>
    </w:p>
    <w:p w14:paraId="041D0C8D" w14:textId="77777777" w:rsidR="00BF198D" w:rsidRDefault="00F716BD" w:rsidP="00B2623F">
      <w:pPr>
        <w:adjustRightInd w:val="0"/>
        <w:snapToGrid w:val="0"/>
        <w:spacing w:line="577" w:lineRule="exact"/>
        <w:ind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学生教育管理与服务方面，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开展学生教育管理活动6项，组织各项学生活动100余次，各项活动参与率超过95%，学生咨询满意度超95%，进一步提高大学生思想政治教育工作和人才培养工作。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深化心理健康教育，探索大学生心理健康节活动新模式，实现心理普查覆盖率99.9%，心理课覆盖率100%，组织心理健康节宣传教育活动1409人次。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三是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开展学生资助工作，资助人数约7740人次，困难学生资助覆盖率大于95%，经费及时发放率大于95%，确保无学生因家庭经济困难而失学。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四是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开展征兵工作，实现征兵工作覆盖率100%，高校征兵工作征集人数19人。</w:t>
      </w:r>
    </w:p>
    <w:p w14:paraId="57BC8A92" w14:textId="77777777" w:rsidR="00BF198D" w:rsidRDefault="00F716BD" w:rsidP="00B2623F">
      <w:pPr>
        <w:pStyle w:val="3"/>
        <w:adjustRightInd w:val="0"/>
        <w:snapToGrid w:val="0"/>
        <w:spacing w:line="577" w:lineRule="exact"/>
        <w:ind w:leftChars="0" w:left="0"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招生就业方面，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各类招生简章制作完成率100%，2024年学校招生总计划3033人，实际录取新生3397人，其中中职学段录取新生1020人，高职学段录取新生2377人，计划完成率达到112%。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积极推进就业，毕业生就业去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向落实率达到95.28%，用人单位满意度95.35%。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三是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开展生涯规划（或就业指导、创新创业）课程教师培训120余人次，各类比赛辅导培训800余人次。</w:t>
      </w:r>
    </w:p>
    <w:p w14:paraId="1272A6E8" w14:textId="77777777" w:rsidR="00BF198D" w:rsidRDefault="00F716BD" w:rsidP="00B2623F">
      <w:pPr>
        <w:adjustRightInd w:val="0"/>
        <w:snapToGrid w:val="0"/>
        <w:spacing w:line="577" w:lineRule="exact"/>
        <w:ind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科技项目管理方面，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加强科学研究，完成课题研究任务，完成科研项目立项51项，科研结项43项，各类科研成果65项，课题通过验收的项目占比高达90.91%，培训技术人员3130人、技术骨干97人，推广新技术29项，专利转让2项，实现学校科技成果转化零的突破。</w:t>
      </w:r>
    </w:p>
    <w:p w14:paraId="2A51C4F3" w14:textId="77777777" w:rsidR="00BF198D" w:rsidRDefault="00F716BD" w:rsidP="00B2623F">
      <w:pPr>
        <w:pStyle w:val="3"/>
        <w:adjustRightInd w:val="0"/>
        <w:snapToGrid w:val="0"/>
        <w:spacing w:line="577" w:lineRule="exact"/>
        <w:ind w:leftChars="0" w:left="0" w:firstLineChars="200" w:firstLine="641"/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双高特高方面，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学校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双高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建设经费预算到位率达到 109.28%，预算执行率达到105.67%，双高专业群7个项目建设通过验收；特高专业群各工程建设10个任务通过验收，完成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特高校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自评报告、审计报告、典型案例和数据填报等验收准备工作，高质量完成专家组进校复核验收工作</w:t>
      </w:r>
      <w:r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。</w:t>
      </w:r>
    </w:p>
    <w:p w14:paraId="463DAC58" w14:textId="77777777" w:rsidR="00BF198D" w:rsidRDefault="00F716BD" w:rsidP="00B2623F">
      <w:pPr>
        <w:adjustRightInd w:val="0"/>
        <w:snapToGrid w:val="0"/>
        <w:spacing w:line="577" w:lineRule="exact"/>
        <w:ind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改善办学条件方面，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整理档案数量4000余卷，档案数字化超8700卷，档案利用卷次超500卷。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多种途径加强信息化宣传、培训和指导并加强信息化建设，完成师生信息素养培训11000人次，完成信息系统等保安全测评2个，更新信息点293个，完成信息中心管理与服务流程120个，同时保证技术服务费年增长率低于20%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三是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完成院内基地实习、实训及科研工作的统筹安排、协调推进，各园区完成6102学时，41051人次实习实训服务，完成24个班，689人，144课时的农业劳动实践课程，提供实验动物10759只/次。</w:t>
      </w:r>
    </w:p>
    <w:p w14:paraId="651B6C9D" w14:textId="77777777" w:rsidR="00BF198D" w:rsidRDefault="00F716BD" w:rsidP="00B2623F">
      <w:pPr>
        <w:pStyle w:val="3"/>
        <w:adjustRightInd w:val="0"/>
        <w:snapToGrid w:val="0"/>
        <w:spacing w:line="577" w:lineRule="exact"/>
        <w:ind w:leftChars="0" w:left="0" w:firstLineChars="200" w:firstLine="641"/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lastRenderedPageBreak/>
        <w:t>综合事务管理与服务方面，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开展财务管理工作，财政专项事前评估、绩效监控、绩效自评覆盖率100%，筹措年度预算资金总量4.6亿。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开展审计工作，2024年学院开展审计项目17个，审计问题整改落实率超85%。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三是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加强学院国有资产的规范管理和日常监督，完成四校区和学校资产盘点报告，完成4个公物仓资产明细表。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四是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推进教学评价工作，组织学生评价、督导评价、系部评价和教务评价558人。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五是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提升预算管理信息化水平，预约报销系统正式上线运行，平稳运行一年。</w:t>
      </w:r>
    </w:p>
    <w:p w14:paraId="7B655D68" w14:textId="32EE6DE0" w:rsidR="00BF198D" w:rsidRDefault="00F716BD" w:rsidP="00B2623F">
      <w:pPr>
        <w:pStyle w:val="3"/>
        <w:adjustRightInd w:val="0"/>
        <w:snapToGrid w:val="0"/>
        <w:spacing w:line="577" w:lineRule="exact"/>
        <w:ind w:leftChars="0" w:left="0"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广播电视教育方面，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组织推进农民素质教育工作，参加中央校组织的全国农民教育培训宣介活动1次，培训农民人数234人，招收农民中职学历学生713人。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召开体系工作总结部署会及京津冀农广校协同工作研讨会，参会人员70人。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三是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完成毕业生手续办理，2024年完成毕业生手续办理1075人，其中毕业1069人，退学</w:t>
      </w:r>
      <w:r w:rsidR="001E6838"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人。</w:t>
      </w: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四是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征订中央农广校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一报一刊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1100份，并及时下发给各区分校，用于宣传学习。</w:t>
      </w:r>
    </w:p>
    <w:p w14:paraId="41070EEB" w14:textId="2F1AD6B3" w:rsidR="00BF198D" w:rsidRDefault="00F716BD" w:rsidP="00B2623F">
      <w:pPr>
        <w:pStyle w:val="3"/>
        <w:adjustRightInd w:val="0"/>
        <w:snapToGrid w:val="0"/>
        <w:spacing w:line="577" w:lineRule="exact"/>
        <w:ind w:leftChars="0" w:left="0"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bookmarkStart w:id="38" w:name="_Toc29677"/>
      <w:bookmarkStart w:id="39" w:name="_Toc28104"/>
      <w:bookmarkStart w:id="40" w:name="_Toc8588"/>
      <w:bookmarkStart w:id="41" w:name="_Toc102158225"/>
      <w:bookmarkStart w:id="42" w:name="_Toc23455"/>
      <w:bookmarkStart w:id="43" w:name="_Toc102140644"/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国际交流与合作方面，一是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开展国际学术交流，接待国外院校、机构来院教学科研学习交流5次，师生赴国外交流人次32人次。</w:t>
      </w: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开展国际培训，选派资深教师团队赴</w:t>
      </w:r>
      <w:r w:rsidR="0057311F"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国外院校</w:t>
      </w:r>
      <w:bookmarkStart w:id="44" w:name="_GoBack"/>
      <w:bookmarkEnd w:id="44"/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开展嫁接、鱼菜共生系统操作、动物胰腺超声检查等现代农业技能培训，增设农业技术培训中心1个。</w:t>
      </w:r>
    </w:p>
    <w:p w14:paraId="66CABE0D" w14:textId="77777777" w:rsidR="00BF198D" w:rsidRDefault="00F716BD" w:rsidP="00B2623F">
      <w:pPr>
        <w:adjustRightInd w:val="0"/>
        <w:snapToGrid w:val="0"/>
        <w:spacing w:line="577" w:lineRule="exact"/>
        <w:ind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其他方面，一是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推动安全教育和建设，完成安全教育宣传活动120余次，创造良好校园消防环境，根据办学调整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需要，完成人员、物资、设备等转移搬运工作进度超90%。</w:t>
      </w: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二是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服务乡村人才振兴、产业振兴，开展调研、咨询、服务200人次，培训乡村管理人才56人，完成分院评定1所，评定实训基地50个、田间学校49所</w:t>
      </w:r>
      <w:r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b/>
          <w:color w:val="000000" w:themeColor="text1"/>
          <w:sz w:val="32"/>
          <w:szCs w:val="32"/>
        </w:rPr>
        <w:t>三是</w:t>
      </w:r>
      <w:r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开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展各类基层干部人才培训，培养各类干部2136人，共培训人次4299人次。</w:t>
      </w:r>
    </w:p>
    <w:p w14:paraId="296AC324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2"/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产出质量</w:t>
      </w:r>
      <w:bookmarkEnd w:id="38"/>
      <w:bookmarkEnd w:id="39"/>
      <w:bookmarkEnd w:id="40"/>
      <w:bookmarkEnd w:id="41"/>
      <w:bookmarkEnd w:id="42"/>
      <w:bookmarkEnd w:id="43"/>
    </w:p>
    <w:p w14:paraId="0F715ABB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农职院多措并举统筹推进年度重点工作贯彻落实。常规教育教学工作规范有序，人才培养效果良好。各实训基地及园区的日常管理维护和服务高效有序，学生实践能力保障有力。持续开展师资队伍培训工作，学校教师教育教学能力水平显著提升。学校各项工作机制健全、制度完善，信息设备运维与媒体资源服务保运行安全有序，工作推动有序有力。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年各项工作产出质量较好。</w:t>
      </w:r>
    </w:p>
    <w:p w14:paraId="7D21A8F0" w14:textId="77777777" w:rsidR="00BF198D" w:rsidRDefault="00F716BD">
      <w:pPr>
        <w:tabs>
          <w:tab w:val="left" w:pos="2880"/>
          <w:tab w:val="left" w:pos="3240"/>
        </w:tabs>
        <w:adjustRightInd w:val="0"/>
        <w:snapToGrid w:val="0"/>
        <w:spacing w:line="577" w:lineRule="exact"/>
        <w:ind w:firstLineChars="200" w:firstLine="640"/>
        <w:outlineLvl w:val="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45" w:name="_Toc8669"/>
      <w:bookmarkStart w:id="46" w:name="_Toc72439007"/>
      <w:bookmarkStart w:id="47" w:name="_Toc31977"/>
      <w:bookmarkStart w:id="48" w:name="_Toc16626"/>
      <w:bookmarkStart w:id="49" w:name="_Toc102140645"/>
      <w:bookmarkStart w:id="50" w:name="_Toc72438586"/>
      <w:bookmarkStart w:id="51" w:name="_Toc102158226"/>
      <w:bookmarkStart w:id="52" w:name="_Toc31202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产出进度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14:paraId="45E75D08" w14:textId="77777777" w:rsidR="00BF198D" w:rsidRDefault="00F716BD">
      <w:pPr>
        <w:tabs>
          <w:tab w:val="left" w:pos="2880"/>
          <w:tab w:val="left" w:pos="3240"/>
        </w:tabs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农职院党风党建、教育教学、师资队伍建设、改善办学条件、科技项目管理、招生就业、学生教育管理与服务、特高和双高专业群建设等各项工作任务按照进度计划开展，根据工作变化，及时做出经费预算调整，支出进度与工作进度相匹配。产出进度符合整体绩效目标要求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1811FBAA" w14:textId="77777777" w:rsidR="00BF198D" w:rsidRDefault="00F716BD">
      <w:pPr>
        <w:widowControl/>
        <w:tabs>
          <w:tab w:val="left" w:pos="2880"/>
          <w:tab w:val="left" w:pos="3240"/>
        </w:tabs>
        <w:adjustRightInd w:val="0"/>
        <w:snapToGrid w:val="0"/>
        <w:spacing w:line="577" w:lineRule="exact"/>
        <w:ind w:firstLineChars="200" w:firstLine="640"/>
        <w:outlineLvl w:val="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53" w:name="_Toc24322"/>
      <w:bookmarkStart w:id="54" w:name="_Toc102140646"/>
      <w:bookmarkStart w:id="55" w:name="_Toc29002"/>
      <w:bookmarkStart w:id="56" w:name="_Toc22010"/>
      <w:bookmarkStart w:id="57" w:name="_Toc72438587"/>
      <w:bookmarkStart w:id="58" w:name="_Toc102158227"/>
      <w:bookmarkStart w:id="59" w:name="_Toc10288"/>
      <w:bookmarkStart w:id="60" w:name="_Toc72439008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产出成本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5B8860D3" w14:textId="77777777" w:rsidR="00BF198D" w:rsidRDefault="00F716BD">
      <w:pPr>
        <w:widowControl/>
        <w:tabs>
          <w:tab w:val="left" w:pos="2880"/>
          <w:tab w:val="left" w:pos="3240"/>
        </w:tabs>
        <w:adjustRightInd w:val="0"/>
        <w:snapToGrid w:val="0"/>
        <w:spacing w:line="577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61" w:name="_Toc3337"/>
      <w:bookmarkStart w:id="62" w:name="_Toc24647"/>
      <w:bookmarkStart w:id="63" w:name="_Toc102158228"/>
      <w:bookmarkStart w:id="64" w:name="_Toc24723"/>
      <w:bookmarkStart w:id="65" w:name="_Toc21599"/>
      <w:r>
        <w:rPr>
          <w:rFonts w:ascii="Times New Roman" w:eastAsia="仿宋_GB2312" w:hAnsi="Times New Roman" w:cs="Times New Roman"/>
          <w:sz w:val="32"/>
          <w:szCs w:val="32"/>
        </w:rPr>
        <w:t>在委托业务方面，按照部门内部控制采购审批程序确定委托合同价格，合理控制部门经费支出成本；同时在部门预算执行过程中，采取厉行节约措施，有效控制各项费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用支出，委托业务实际经费支出严格按合同执行，经费支出符合部门履职范围，部门总体资金支出控制在预算范围内，未出现超支情况，部门整体成本控制情况较好。</w:t>
      </w:r>
    </w:p>
    <w:p w14:paraId="1BD6BFDD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eastAsia="楷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" w:hAnsi="Times New Roman" w:cs="Times New Roman"/>
          <w:color w:val="000000" w:themeColor="text1"/>
          <w:sz w:val="32"/>
          <w:szCs w:val="32"/>
        </w:rPr>
        <w:t>（二）效果实现情况分析</w:t>
      </w:r>
      <w:bookmarkEnd w:id="61"/>
      <w:bookmarkEnd w:id="62"/>
      <w:bookmarkEnd w:id="63"/>
      <w:bookmarkEnd w:id="64"/>
      <w:bookmarkEnd w:id="65"/>
    </w:p>
    <w:p w14:paraId="5A850990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2"/>
        <w:rPr>
          <w:rFonts w:ascii="Times New Roman" w:eastAsia="仿宋_GB2312" w:hAnsi="Times New Roman" w:cs="Times New Roman"/>
          <w:bCs/>
          <w:sz w:val="32"/>
          <w:szCs w:val="32"/>
        </w:rPr>
      </w:pPr>
      <w:bookmarkStart w:id="66" w:name="_Toc20392"/>
      <w:bookmarkStart w:id="67" w:name="_Toc72439010"/>
      <w:bookmarkStart w:id="68" w:name="_Toc102140648"/>
      <w:bookmarkStart w:id="69" w:name="_Toc72438589"/>
      <w:bookmarkStart w:id="70" w:name="_Toc29125"/>
      <w:bookmarkStart w:id="71" w:name="_Toc9147"/>
      <w:bookmarkStart w:id="72" w:name="_Toc1557"/>
      <w:bookmarkStart w:id="73" w:name="_Toc102158229"/>
      <w:r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经济效益</w:t>
      </w:r>
    </w:p>
    <w:p w14:paraId="3313AAF9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2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从履职及目标完成情况来看，总体实现经济效益好。各部门能够按照预算来抓好成本控制，强化勤俭办事的意识，注重节约开支，年度开支控制在预算规定的范围内；学校科研成果转化收入和社会培训收入实现了新突破；各项工作的分工负责部门均能够按照制度和各自的目标来抓好落实，注重了预算资金的使用效益。</w:t>
      </w:r>
    </w:p>
    <w:p w14:paraId="2DC61ED1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2"/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bCs/>
          <w:color w:val="000000" w:themeColor="text1"/>
          <w:sz w:val="32"/>
          <w:szCs w:val="32"/>
        </w:rPr>
        <w:t>社会效益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3B39C616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74" w:name="_Toc161"/>
      <w:bookmarkStart w:id="75" w:name="_Toc32317"/>
      <w:bookmarkStart w:id="76" w:name="_Toc72438590"/>
      <w:bookmarkStart w:id="77" w:name="_Toc72439011"/>
      <w:bookmarkStart w:id="78" w:name="_Toc31183"/>
      <w:bookmarkStart w:id="79" w:name="_Toc102140649"/>
      <w:bookmarkStart w:id="80" w:name="_Toc14344"/>
      <w:bookmarkStart w:id="81" w:name="_Toc102158230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党建引领激发新动能</w:t>
      </w:r>
    </w:p>
    <w:p w14:paraId="1FD476EF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党的政治建设坚强有力。坚持把党的政治建设摆在首位，严格落实“第一议题”制度，全面落实意识形态工作责任制，完善党校体系，建立常态化学习机制和书记例会制度，引导全校干部师生持续筑牢思想根基。胜利召开学校第四次党代会，选举新一届“两委”，擘画未来发展宏伟蓝图。</w:t>
      </w:r>
    </w:p>
    <w:p w14:paraId="241A900E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党建工作水平显著提升。强化基层党组织建设，成立“聚焦纪律教育改进作风”专班，认真组织开展党纪学习教育，统筹推进党性教育、纪法教育、廉洁教育，使其融入日常、抓在经常。完成党组织及工会换届，成立党外知识分子联谊会，健全大统战格局，党的领导纵深全方位推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进。获批全国党建工作样板支部、北京高校党建工作标杆院系、样板支部培育创建单位各1个，入选北京高校教师党支部书记“强国行”专项行动团队。</w:t>
      </w:r>
    </w:p>
    <w:p w14:paraId="1A4AF26C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办学治校取得新成效</w:t>
      </w:r>
    </w:p>
    <w:p w14:paraId="21D5D94D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专业建设高质量推进。完成国家“双高”、北京市第二批“特高”项目终期验收。围绕产教融合高质量、办学能力高水平目标，持续优化“五位一体”现代职业教育体系，成功组建4个行业产教融合共同体，新增国家级在线精品课程1门，成功获批文旅部“提质培优行动计划”教改项目，“新双高”“一校一策”申报扎实推进。直面产业需求，获批4个新专业，撤销3个不符合新时代农业农村现代化发展专业，在校生规模达到8113人。</w:t>
      </w:r>
    </w:p>
    <w:p w14:paraId="4127E078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国内外合作交流蓬勃发展。深入推进校地、校政、校校、校企合作，促进存量协议走深走实，积极开拓新领域，全年签订合作协议11份。国外合作交流聚焦职教出海战略，新增国际合作院校5家，增设海外技术培训中心1个。建设中法友谊园，组织国际化职教建设标准研讨，联合泰国分院共同申报“中国—东盟千校携手计划”项目，第3次荣获“中泰职业技术教育国际合作突出贡献奖”，12名教师入选农业农村部海外技术援助项目专家，北京占比50%，全国占比1/3，职教出海影响力持续增强。</w:t>
      </w:r>
    </w:p>
    <w:p w14:paraId="6E866137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师资队伍能力建设再上新台阶。通过内培外引和教师能力提升工程，师资队伍整体质量和水平得到进一步提升。高照全教授获评全国优秀教师。教师团队在北京市职业院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校教学能力比赛中全部获奖，斩获一等奖5项、二等奖3项、三等奖1项；在首届北京市职规赛教学赛道和“我心中的花园城市”科普大赛中获三等奖。</w:t>
      </w:r>
    </w:p>
    <w:p w14:paraId="2BEED697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）人才培养跃上新高度</w:t>
      </w:r>
    </w:p>
    <w:p w14:paraId="0AEA8519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三全育人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特色鲜明，精准奖助暖心育人，心理健康关爱育人，志愿服务实践育人。学生技术技能不断提升，学生团队13个赛项入围世界职业院校技能大赛总决赛，斩获1金、2银、5铜佳绩；在首届北京职业院校学生讲思政课比赛中获一等奖1项，二等奖2项；在第八届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一带一路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暨金砖国家技能发展与技术创新大赛中获一等奖和三等奖；在第十四届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挑战杯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中国大学生创业计划竞赛主体赛国赛上获铜奖；2名学生荣获北京市乡村振兴青年。学校招生总数位列全市第一，在校生规模达到8113人，就业率达95.28%，招生与就业工作均居市属高职院校前列。</w:t>
      </w:r>
    </w:p>
    <w:p w14:paraId="75777AA1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（4）科研与社会服务实现高水平</w:t>
      </w:r>
    </w:p>
    <w:p w14:paraId="4AA82598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科研科普能力持续提升。积极融入市级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大科普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体系，北京青少年科普教育基地揭牌成立，在长阳农场挂牌专家工作站，举办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农职大讲堂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20期，学习型讲座10余次，荣获市农业农村局、园林绿化局科普讲解大赛双项优秀组织奖。强化科技援藏援蒙援疆，西藏尼木农业科技服务示范基地揭牌。2项专利所有权成功转让，实现科技成果转化零的突破。</w:t>
      </w:r>
    </w:p>
    <w:p w14:paraId="296FFFAA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社会服务水平不断增强。积极加入首都园林绿化科技创新联盟，首次获批园林绿化科技创新项目、花园城市建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设项目各1项，成功举办北京家庭园艺嘉年华暨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兰韵农职、大美首都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兰展。积极打造服务首都乡村振兴的乡村干部和乡村能人摇篮，成立首家北京乡村振兴学院直属工作站，新挂牌2家科技小院，开展科技服务1600余人次，高水平办好美丽乡村建设、现代农业产业技术体系、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耕耘者振兴计划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等培训任务，全年共组织培训33期4759人次，实现培训收入596万元，培训数量收益创历史新高。</w:t>
      </w:r>
    </w:p>
    <w:p w14:paraId="1A7B8066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（5）综合治理和服务能力稳提升</w:t>
      </w:r>
    </w:p>
    <w:p w14:paraId="0DA0F8EC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综合服务保障能力提质增效，学校安全稳定工作基础得到夯实。坚持系统思维、破立并举，制定</w:t>
      </w:r>
      <w:bookmarkStart w:id="82" w:name="_Hlk176545397"/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《社会服务收入绩效考核管理办法》《绩效工作管理办法》《校办企业管理办法》</w:t>
      </w:r>
      <w:bookmarkEnd w:id="82"/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《处级领导干部经济责任审计实施办法》等16个制度文件，推动依法治校、依规治校。校区资源调配一盘棋推进，资产管理更加规范，预算编制更加精准、校企边界更加清晰、审计监督更加有力、平安校园更加稳固，治理效能持续提升。</w:t>
      </w:r>
    </w:p>
    <w:p w14:paraId="79D25A0D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3.</w:t>
      </w:r>
      <w:bookmarkStart w:id="83" w:name="_Toc11970"/>
      <w:bookmarkStart w:id="84" w:name="_Toc5098"/>
      <w:bookmarkStart w:id="85" w:name="_Toc102158231"/>
      <w:bookmarkStart w:id="86" w:name="_Toc29201"/>
      <w:bookmarkStart w:id="87" w:name="_Toc469"/>
      <w:bookmarkEnd w:id="74"/>
      <w:bookmarkEnd w:id="75"/>
      <w:bookmarkEnd w:id="76"/>
      <w:bookmarkEnd w:id="77"/>
      <w:bookmarkEnd w:id="78"/>
      <w:bookmarkEnd w:id="79"/>
      <w:bookmarkEnd w:id="80"/>
      <w:bookmarkEnd w:id="81"/>
      <w:r>
        <w:rPr>
          <w:rFonts w:ascii="仿宋_GB2312" w:eastAsia="仿宋_GB2312" w:hAnsi="仿宋_GB2312" w:cs="仿宋_GB2312" w:hint="eastAsia"/>
          <w:sz w:val="32"/>
          <w:szCs w:val="32"/>
        </w:rPr>
        <w:t>环境效益</w:t>
      </w:r>
    </w:p>
    <w:p w14:paraId="6BF73EC5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全年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持续推进绿色学校和节约型校园建设，获首批北京市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绿色学校创建达标校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”，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绿色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校园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管理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见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成效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。深入推进校园周边环境改造，对周边环境起到示范和引领作用。</w:t>
      </w:r>
    </w:p>
    <w:p w14:paraId="608C8268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服务对象满意度</w:t>
      </w:r>
    </w:p>
    <w:p w14:paraId="34F10728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根据《北京农业职业学院2024年度高等职业教育质量年度报告》以及对教职工的满意度调查情况，在校学生满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意度为94.84%，教职工满意度为93.57%，用人单位满意度为98.84%，家长满意度为98.24%。在校师生、用人单位以及家长对学校满意度均在90%以上，满意度情况较好。近日，根据阳光高考网公布的数据，我校在2025年中国高职（专科）院校满意度评价中综合满意度、环境满意度、生活满意度排名蝉联全市第一。</w:t>
      </w:r>
    </w:p>
    <w:p w14:paraId="7D4B26BF" w14:textId="77777777" w:rsidR="00BF198D" w:rsidRDefault="00BF198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</w:p>
    <w:p w14:paraId="326968FE" w14:textId="77777777" w:rsidR="00BF198D" w:rsidRDefault="00F716BD">
      <w:pPr>
        <w:adjustRightInd w:val="0"/>
        <w:snapToGrid w:val="0"/>
        <w:spacing w:line="577" w:lineRule="exact"/>
        <w:ind w:firstLineChars="200" w:firstLine="640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四、预算管理情况</w:t>
      </w:r>
      <w:bookmarkEnd w:id="83"/>
      <w:bookmarkEnd w:id="84"/>
      <w:bookmarkEnd w:id="85"/>
      <w:bookmarkEnd w:id="86"/>
      <w:bookmarkEnd w:id="87"/>
    </w:p>
    <w:p w14:paraId="2D502619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eastAsia="楷体" w:hAnsi="Times New Roman" w:cs="Times New Roman"/>
          <w:color w:val="000000" w:themeColor="text1"/>
          <w:sz w:val="32"/>
          <w:szCs w:val="32"/>
        </w:rPr>
      </w:pPr>
      <w:bookmarkStart w:id="88" w:name="_Toc26686"/>
      <w:bookmarkStart w:id="89" w:name="_Toc12062"/>
      <w:bookmarkStart w:id="90" w:name="_Toc26852"/>
      <w:bookmarkStart w:id="91" w:name="_Toc31587"/>
      <w:bookmarkStart w:id="92" w:name="_Toc102158232"/>
      <w:r>
        <w:rPr>
          <w:rFonts w:ascii="Times New Roman" w:eastAsia="楷体" w:hAnsi="Times New Roman" w:cs="Times New Roman"/>
          <w:color w:val="000000" w:themeColor="text1"/>
          <w:sz w:val="32"/>
          <w:szCs w:val="32"/>
        </w:rPr>
        <w:t>（一）财务管理</w:t>
      </w:r>
      <w:bookmarkEnd w:id="88"/>
      <w:bookmarkEnd w:id="89"/>
      <w:bookmarkEnd w:id="90"/>
      <w:bookmarkEnd w:id="91"/>
      <w:bookmarkEnd w:id="92"/>
    </w:p>
    <w:p w14:paraId="534F496C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bookmarkStart w:id="93" w:name="_Toc102140652"/>
      <w:bookmarkStart w:id="94" w:name="_Toc12034"/>
      <w:bookmarkStart w:id="95" w:name="_Toc72439014"/>
      <w:bookmarkStart w:id="96" w:name="_Toc102158233"/>
      <w:bookmarkStart w:id="97" w:name="_Toc72438593"/>
      <w:bookmarkStart w:id="98" w:name="_Toc25902"/>
      <w:bookmarkStart w:id="99" w:name="_Toc26121"/>
      <w:bookmarkStart w:id="100" w:name="_Toc8643"/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1.财务管理制度健全性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082DA532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农职院制定了《北京农业职业学院内控手册（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修订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）》，制定制度包括《财务审批管理办法（修订）》《北京农业职业学院预算管理办法（试行）》《北京农业职业学院固定资产管理办法》《北京农业职业学院采购及招标管理办法（修订）》《北京农业职业学院合同管理办法（试行）》《北京农业职业学院政府采购项目履约验收工作管理规定（试行）》等，部门财务管理制度较为健全，为部门资金使用管理提供有效制度保障。</w:t>
      </w:r>
    </w:p>
    <w:p w14:paraId="3B1EA7DC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bookmarkStart w:id="101" w:name="_Toc4101"/>
      <w:bookmarkStart w:id="102" w:name="_Toc31386"/>
      <w:bookmarkStart w:id="103" w:name="_Toc72439015"/>
      <w:bookmarkStart w:id="104" w:name="_Toc102158234"/>
      <w:bookmarkStart w:id="105" w:name="_Toc72438594"/>
      <w:bookmarkStart w:id="106" w:name="_Toc18022"/>
      <w:bookmarkStart w:id="107" w:name="_Toc16585"/>
      <w:bookmarkStart w:id="108" w:name="_Toc102140653"/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2.资金使用合规和安全性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14AC3B1E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农职院部门预算资金管理按照各管理制度执行，通过部门财务抽查凭证，未发现截留、挤占、挪用、虚列支出等情况，资金使用合规性较好。会计核算方面，对项目资金进行单独建账、单独核算，会计凭证资料保存完整、装订规范。</w:t>
      </w:r>
    </w:p>
    <w:p w14:paraId="17E88EDE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3.会计基础信息的完整性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br/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      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农职院提供的会计信息涵盖预算编制、预算执行、决算管理、会计核算、资产管理、采购管理、项目管理、合同管理、重大决策管理等全流程数据；内容包括会计报表、会计账簿、重要会计凭证、政府财务报告、资产年报、预算绩效管理材料等。会计信息数据来源规范、核算准确、佐证充分。会计信息实现了预算、核算、决算一体化管理，确保了绩效指标与会计数据的逻辑一致性。同时，学校将会计信息质量纳入部门考核，推动业财融合，为绩效评价提供了真实、完整的数据基础，充分保障了学校资源优化和高质量发展。</w:t>
      </w:r>
    </w:p>
    <w:p w14:paraId="32C5079F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eastAsia="楷体" w:hAnsi="Times New Roman" w:cs="Times New Roman"/>
          <w:color w:val="000000" w:themeColor="text1"/>
          <w:sz w:val="32"/>
          <w:szCs w:val="32"/>
          <w:highlight w:val="yellow"/>
        </w:rPr>
      </w:pPr>
      <w:bookmarkStart w:id="109" w:name="_Toc23038"/>
      <w:bookmarkStart w:id="110" w:name="_Toc6926"/>
      <w:bookmarkStart w:id="111" w:name="_Toc26524"/>
      <w:bookmarkStart w:id="112" w:name="_Toc24215"/>
      <w:bookmarkStart w:id="113" w:name="_Toc102158235"/>
      <w:r>
        <w:rPr>
          <w:rFonts w:ascii="Times New Roman" w:eastAsia="楷体" w:hAnsi="Times New Roman" w:cs="Times New Roman"/>
          <w:color w:val="000000" w:themeColor="text1"/>
          <w:sz w:val="32"/>
          <w:szCs w:val="32"/>
        </w:rPr>
        <w:t>（二）资产管理</w:t>
      </w:r>
      <w:bookmarkEnd w:id="109"/>
      <w:bookmarkEnd w:id="110"/>
      <w:bookmarkEnd w:id="111"/>
      <w:bookmarkEnd w:id="112"/>
      <w:bookmarkEnd w:id="113"/>
    </w:p>
    <w:p w14:paraId="3A4BD3BE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1.持续推进制度建设，强化国有资产管理。进一步规范土地房屋的出租出借行为，明确土地出租（出借）审批程序。为规范校办企业管理，优化治理结构，提升治理能力，制定了《校办企业管理办法（试行）》（京农职政〔2024〕23号）、《对外投资管理办法（试行）》（京农职政〔2024〕33号）等管理办法。</w:t>
      </w:r>
    </w:p>
    <w:p w14:paraId="3CBFC26D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2.加强资产日常管理。充分发挥资产公物仓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蓄水池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作用，收回闲置或低运转的资产，每个季度上传公物仓资产清单至企业微盘，根据教职工申领需求，优先调配公物仓资产使用，同时加大校区间余缺调剂力度，促进资产共享共用，提高资产的使用率。坚持预算管理与采购管理相结合，按照《行政事业单位资产配置标准》按需配置。严格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资产入账审核，加快资产报废处置工作。在机构调整和聘任后，积极稳步进行资源调配，并组织33个中层单位完成2024年度资产盘点工作。完成资产月报、年报、产权登记等资产数据统计及报表上报。</w:t>
      </w:r>
    </w:p>
    <w:p w14:paraId="1A83D51B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3.持续推进信息化建设。为保持与财政系统资产管理信息系统同步，完成学校资产管理信息系统升级，完善系统功能，优化部门和人员数据库，调整业务审批流，实现单点登录，规范线上申报及审批流程。</w:t>
      </w:r>
    </w:p>
    <w:p w14:paraId="3DEA884F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 xml:space="preserve">4.规范操作，确保资产报废回收安全。在资产报废环节确定报废资产回收工作的院方责任人和安全员，与报废资产回收单位签订安全协议，明确安全责任主体和责任人，对进场人员进行安全培训，监督作业人员持证上岗。使用明火时按规定办理动火证。四个校区在资产供货、调拨转运时，及时与使用单位、使用人沟通，采取措施切实保证国有资产安全。 </w:t>
      </w:r>
    </w:p>
    <w:p w14:paraId="106529D0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5.统筹资源调配，拓展资源空间。根据学院四校区功能定位，调查摸底全校办公、教学、食宿等资源，按照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节约、高效、廉洁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原则，制定调整、搬迁工作方案并牵头组织实施，完成15个中层单位130余人5000多平方米的办公室、实验实训室、活动室及仓储空间的调整任务，保障了四校区新布局的实现，为教育教学的平稳运行发挥了重要的支撑保障作用。</w:t>
      </w:r>
    </w:p>
    <w:p w14:paraId="1C22CF3B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6.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规范资产出租出借管理，促进国有资产保值增值。</w:t>
      </w:r>
      <w:bookmarkStart w:id="114" w:name="_Hlk185971246"/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一是广泛开展调研，摸清学校可经营性资产底数；二是开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lastRenderedPageBreak/>
        <w:t>展价格评估，以比选方式优选1家评估公司进行市场价格评估；三是进行公开招租，先后开展了5批21项可经营性资产公开招租工作，包括配套服务用房、自助</w:t>
      </w:r>
      <w:r>
        <w:rPr>
          <w:rFonts w:ascii="仿宋_GB2312" w:eastAsia="仿宋_GB2312" w:hAnsi="仿宋" w:hint="eastAsia"/>
          <w:sz w:val="32"/>
          <w:szCs w:val="32"/>
        </w:rPr>
        <w:t>机柜服务、通信基站等。</w:t>
      </w:r>
      <w:bookmarkEnd w:id="114"/>
    </w:p>
    <w:p w14:paraId="19C0AECD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eastAsia="楷体" w:hAnsi="Times New Roman" w:cs="Times New Roman"/>
          <w:color w:val="000000" w:themeColor="text1"/>
          <w:sz w:val="32"/>
          <w:szCs w:val="32"/>
        </w:rPr>
      </w:pPr>
      <w:bookmarkStart w:id="115" w:name="_Toc29170"/>
      <w:bookmarkStart w:id="116" w:name="_Toc22188"/>
      <w:bookmarkStart w:id="117" w:name="_Toc26545"/>
      <w:bookmarkStart w:id="118" w:name="_Toc102158236"/>
      <w:bookmarkStart w:id="119" w:name="_Toc103195545"/>
      <w:bookmarkStart w:id="120" w:name="_Toc16234"/>
      <w:r>
        <w:rPr>
          <w:rFonts w:ascii="Times New Roman" w:eastAsia="楷体" w:hAnsi="Times New Roman" w:cs="Times New Roman"/>
          <w:color w:val="000000" w:themeColor="text1"/>
          <w:sz w:val="32"/>
          <w:szCs w:val="32"/>
        </w:rPr>
        <w:t>（三）绩效管理</w:t>
      </w:r>
      <w:bookmarkEnd w:id="115"/>
      <w:bookmarkEnd w:id="116"/>
      <w:bookmarkEnd w:id="117"/>
      <w:bookmarkEnd w:id="118"/>
      <w:bookmarkEnd w:id="119"/>
      <w:bookmarkEnd w:id="120"/>
    </w:p>
    <w:p w14:paraId="3B19E6B1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1.开展项目事前绩效评估。农职院根据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先有项目立项，再申请财政资金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的相关要求，开展了新增项目事前绩效评估工作，并出具事前绩效评估报告，促进预算绩效管理端口前置。</w:t>
      </w:r>
    </w:p>
    <w:p w14:paraId="2A6DF765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2.加强绩效目标管理。农职院加大绩效目标审核力度，对2024年度的预算绩效目标填报进行指导，提出完善各指标内容的意见和建议，完成了绩效目标填报工作。</w:t>
      </w:r>
    </w:p>
    <w:p w14:paraId="385690E1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3.加强绩效跟踪检查。全年绩效跟踪按季度开展，以各单位预算申报材料、财务资料、绩效目标申报表等资料为依据，以绩效目标为核心，围绕绩效目标的完成情况、预算执行情况开展工作，检查绩效目标实现程度，及时发现项目预算执行中的问题，提出整改建议及要求。</w:t>
      </w:r>
    </w:p>
    <w:p w14:paraId="7D4B22B1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4.开展部门绩效评价。农职院依据《北京市财政局关于2025年预算绩效管理工作的通知》（京财绩效〔2025〕245号）要求，对部门2024年所有填报绩效目标的项目开展了绩效自评，并及时报送绩效自评成果，不断推动了部门预算绩效管理工作。</w:t>
      </w:r>
    </w:p>
    <w:p w14:paraId="406A67E1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5.强化绩效结果应用。农职院将绩效评价结果作为部门改进预算管理、以后年度编制预算和安排财政资金的重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lastRenderedPageBreak/>
        <w:t>要依据，建立健全资金分配与绩效评价结果挂钩机制。制定并实施了《北京农业职业学院预算绩效考核管理办法》，强化预算绩效结果考核奖惩，落实绩效评价发现问题的整改工作，督促项目单位坚持问题导向，针对评价反映的问题，通过加强绩效目标管理、完善制度办法、提高预算管理水平等具体措施进行整改。</w:t>
      </w:r>
    </w:p>
    <w:p w14:paraId="6E5803E4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eastAsia="楷体" w:hAnsi="Times New Roman" w:cs="Times New Roman"/>
          <w:color w:val="000000" w:themeColor="text1"/>
          <w:sz w:val="32"/>
          <w:szCs w:val="32"/>
        </w:rPr>
      </w:pPr>
      <w:bookmarkStart w:id="121" w:name="_Toc29605"/>
      <w:bookmarkStart w:id="122" w:name="_Toc102158237"/>
      <w:bookmarkStart w:id="123" w:name="_Toc8350"/>
      <w:bookmarkStart w:id="124" w:name="_Toc25938"/>
      <w:bookmarkStart w:id="125" w:name="_Toc103195546"/>
      <w:bookmarkStart w:id="126" w:name="_Toc20944"/>
      <w:r>
        <w:rPr>
          <w:rFonts w:ascii="Times New Roman" w:eastAsia="楷体" w:hAnsi="Times New Roman" w:cs="Times New Roman"/>
          <w:color w:val="000000" w:themeColor="text1"/>
          <w:sz w:val="32"/>
          <w:szCs w:val="32"/>
        </w:rPr>
        <w:t>（四）结转结余率</w:t>
      </w:r>
      <w:bookmarkEnd w:id="121"/>
      <w:bookmarkEnd w:id="122"/>
      <w:bookmarkEnd w:id="123"/>
      <w:bookmarkEnd w:id="124"/>
      <w:bookmarkEnd w:id="125"/>
      <w:bookmarkEnd w:id="126"/>
    </w:p>
    <w:p w14:paraId="7889AD9B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2024年农职院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  <w:lang w:eastAsia="zh-Hans"/>
        </w:rPr>
        <w:t>年末结转结余资金总额为3722.1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7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  <w:lang w:eastAsia="zh-Hans"/>
        </w:rPr>
        <w:t>万元，全年支出预算数为50342.46万元，资金结转结余率为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7.39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  <w:lang w:eastAsia="zh-Hans"/>
        </w:rPr>
        <w:t>%；2023年农职院年末结转结余资金总额为2703.75万元，全年支出预算数为50708.64万元，资金结转结余率为5.33%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。2024年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  <w:lang w:eastAsia="zh-Hans"/>
        </w:rPr>
        <w:t>度部门结转结余率较上一年度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增加2.06%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  <w:lang w:eastAsia="zh-Hans"/>
        </w:rPr>
        <w:t>。</w:t>
      </w:r>
      <w:bookmarkStart w:id="127" w:name="_Toc949"/>
      <w:bookmarkStart w:id="128" w:name="_Toc14660"/>
      <w:bookmarkStart w:id="129" w:name="_Toc103195547"/>
      <w:bookmarkStart w:id="130" w:name="_Toc30234"/>
      <w:bookmarkStart w:id="131" w:name="_Toc30593"/>
      <w:bookmarkStart w:id="132" w:name="_Toc102158238"/>
    </w:p>
    <w:p w14:paraId="67235848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（五）部门预决算差异率</w:t>
      </w:r>
      <w:bookmarkEnd w:id="127"/>
      <w:bookmarkEnd w:id="128"/>
      <w:bookmarkEnd w:id="129"/>
      <w:bookmarkEnd w:id="130"/>
      <w:bookmarkEnd w:id="131"/>
      <w:bookmarkEnd w:id="132"/>
    </w:p>
    <w:p w14:paraId="3B773FA8" w14:textId="70B300BB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2024年农职院年初预算数为50746.54万元，部门年度决算数为49436.21万元，部门预决算差异率为2.58%，部门预决算差异率控制情况较好。</w:t>
      </w:r>
    </w:p>
    <w:p w14:paraId="54367136" w14:textId="77777777" w:rsidR="00BF198D" w:rsidRDefault="00F716BD">
      <w:pPr>
        <w:adjustRightInd w:val="0"/>
        <w:snapToGrid w:val="0"/>
        <w:spacing w:line="577" w:lineRule="exact"/>
        <w:ind w:firstLineChars="200" w:firstLine="640"/>
        <w:jc w:val="left"/>
        <w:outlineLvl w:val="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bookmarkStart w:id="133" w:name="_Toc7825"/>
      <w:bookmarkStart w:id="134" w:name="_Toc23619"/>
      <w:bookmarkStart w:id="135" w:name="_Toc103195548"/>
      <w:bookmarkStart w:id="136" w:name="_Toc102158239"/>
      <w:bookmarkStart w:id="137" w:name="_Toc24436"/>
      <w:bookmarkStart w:id="138" w:name="_Toc17315"/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五、总体评价结论</w:t>
      </w:r>
      <w:bookmarkEnd w:id="133"/>
      <w:bookmarkEnd w:id="134"/>
      <w:bookmarkEnd w:id="135"/>
      <w:bookmarkEnd w:id="136"/>
      <w:bookmarkEnd w:id="137"/>
      <w:bookmarkEnd w:id="138"/>
    </w:p>
    <w:p w14:paraId="05FF841C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eastAsia="楷体" w:hAnsi="Times New Roman" w:cs="Times New Roman"/>
          <w:color w:val="000000" w:themeColor="text1"/>
          <w:sz w:val="32"/>
          <w:szCs w:val="32"/>
        </w:rPr>
      </w:pPr>
      <w:bookmarkStart w:id="139" w:name="_Toc103195549"/>
      <w:bookmarkStart w:id="140" w:name="_Toc102158240"/>
      <w:bookmarkStart w:id="141" w:name="_Toc3028"/>
      <w:bookmarkStart w:id="142" w:name="_Toc1567"/>
      <w:bookmarkStart w:id="143" w:name="_Toc6889"/>
      <w:bookmarkStart w:id="144" w:name="_Toc11741"/>
      <w:bookmarkStart w:id="145" w:name="_Hlk72426764"/>
      <w:r>
        <w:rPr>
          <w:rFonts w:ascii="Times New Roman" w:eastAsia="楷体" w:hAnsi="Times New Roman" w:cs="Times New Roman"/>
          <w:color w:val="000000" w:themeColor="text1"/>
          <w:sz w:val="32"/>
          <w:szCs w:val="32"/>
        </w:rPr>
        <w:t>（一）评价得分情况</w:t>
      </w:r>
      <w:bookmarkEnd w:id="139"/>
      <w:bookmarkEnd w:id="140"/>
      <w:bookmarkEnd w:id="141"/>
      <w:bookmarkEnd w:id="142"/>
      <w:bookmarkEnd w:id="143"/>
      <w:bookmarkEnd w:id="144"/>
    </w:p>
    <w:bookmarkEnd w:id="145"/>
    <w:p w14:paraId="00746445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2024年农职院部门整体绩效评价得分为94.08分，综合评价等级为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“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优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，各一级指标得分情况如下：</w:t>
      </w:r>
    </w:p>
    <w:p w14:paraId="77C75FD2" w14:textId="77777777" w:rsidR="00BF198D" w:rsidRDefault="00F716BD">
      <w:pPr>
        <w:adjustRightInd w:val="0"/>
        <w:snapToGrid w:val="0"/>
        <w:spacing w:line="577" w:lineRule="exact"/>
        <w:jc w:val="center"/>
        <w:rPr>
          <w:rFonts w:ascii="Times New Roman" w:eastAsia="黑体" w:hAnsi="Times New Roman" w:cs="Times New Roman"/>
          <w:color w:val="000000" w:themeColor="text1"/>
          <w:sz w:val="22"/>
        </w:rPr>
      </w:pPr>
      <w:r>
        <w:rPr>
          <w:rFonts w:ascii="Times New Roman" w:eastAsia="黑体" w:hAnsi="Times New Roman" w:cs="Times New Roman"/>
          <w:bCs/>
          <w:color w:val="000000" w:themeColor="text1"/>
          <w:sz w:val="28"/>
          <w:szCs w:val="28"/>
        </w:rPr>
        <w:t>表</w:t>
      </w:r>
      <w:r>
        <w:rPr>
          <w:rFonts w:ascii="Times New Roman" w:eastAsia="黑体" w:hAnsi="Times New Roman" w:cs="Times New Roman"/>
          <w:bCs/>
          <w:color w:val="000000" w:themeColor="text1"/>
          <w:sz w:val="28"/>
          <w:szCs w:val="28"/>
        </w:rPr>
        <w:t>5:2024</w:t>
      </w:r>
      <w:r>
        <w:rPr>
          <w:rFonts w:ascii="Times New Roman" w:eastAsia="黑体" w:hAnsi="Times New Roman" w:cs="Times New Roman"/>
          <w:bCs/>
          <w:color w:val="000000" w:themeColor="text1"/>
          <w:sz w:val="28"/>
          <w:szCs w:val="28"/>
        </w:rPr>
        <w:t>年北京农业职业学院部门整体绩效得分情况表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335"/>
        <w:gridCol w:w="1675"/>
        <w:gridCol w:w="2073"/>
        <w:gridCol w:w="2073"/>
      </w:tblGrid>
      <w:tr w:rsidR="00BF198D" w14:paraId="1A55C290" w14:textId="77777777">
        <w:trPr>
          <w:cantSplit/>
          <w:trHeight w:val="454"/>
          <w:tblHeader/>
          <w:jc w:val="center"/>
        </w:trPr>
        <w:tc>
          <w:tcPr>
            <w:tcW w:w="2335" w:type="dxa"/>
            <w:vAlign w:val="center"/>
          </w:tcPr>
          <w:p w14:paraId="7D52126F" w14:textId="77777777" w:rsidR="00BF198D" w:rsidRDefault="00F716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一级指标</w:t>
            </w:r>
          </w:p>
        </w:tc>
        <w:tc>
          <w:tcPr>
            <w:tcW w:w="1675" w:type="dxa"/>
            <w:vAlign w:val="center"/>
          </w:tcPr>
          <w:p w14:paraId="30C57F1D" w14:textId="77777777" w:rsidR="00BF198D" w:rsidRDefault="00F716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分值</w:t>
            </w:r>
          </w:p>
        </w:tc>
        <w:tc>
          <w:tcPr>
            <w:tcW w:w="2073" w:type="dxa"/>
            <w:vAlign w:val="center"/>
          </w:tcPr>
          <w:p w14:paraId="5DFEAEE2" w14:textId="77777777" w:rsidR="00BF198D" w:rsidRDefault="00F716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2073" w:type="dxa"/>
            <w:vAlign w:val="center"/>
          </w:tcPr>
          <w:p w14:paraId="79C11B15" w14:textId="77777777" w:rsidR="00BF198D" w:rsidRDefault="00F716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得分率</w:t>
            </w:r>
          </w:p>
        </w:tc>
      </w:tr>
      <w:tr w:rsidR="00BF198D" w14:paraId="2259111F" w14:textId="77777777">
        <w:trPr>
          <w:cantSplit/>
          <w:trHeight w:val="454"/>
          <w:jc w:val="center"/>
        </w:trPr>
        <w:tc>
          <w:tcPr>
            <w:tcW w:w="2335" w:type="dxa"/>
            <w:vAlign w:val="center"/>
          </w:tcPr>
          <w:p w14:paraId="379F6A3B" w14:textId="77777777" w:rsidR="00BF198D" w:rsidRDefault="00F71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当年预算执行情况</w:t>
            </w:r>
          </w:p>
        </w:tc>
        <w:tc>
          <w:tcPr>
            <w:tcW w:w="1675" w:type="dxa"/>
            <w:vAlign w:val="center"/>
          </w:tcPr>
          <w:p w14:paraId="34BFB641" w14:textId="77777777" w:rsidR="00BF198D" w:rsidRDefault="00F716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73" w:type="dxa"/>
            <w:vAlign w:val="center"/>
          </w:tcPr>
          <w:p w14:paraId="508A174E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19.64</w:t>
            </w:r>
          </w:p>
        </w:tc>
        <w:tc>
          <w:tcPr>
            <w:tcW w:w="2073" w:type="dxa"/>
            <w:vAlign w:val="center"/>
          </w:tcPr>
          <w:p w14:paraId="7B5BEA0B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98.20%</w:t>
            </w:r>
          </w:p>
        </w:tc>
      </w:tr>
      <w:tr w:rsidR="00BF198D" w14:paraId="4B18B8C6" w14:textId="77777777">
        <w:trPr>
          <w:cantSplit/>
          <w:trHeight w:val="454"/>
          <w:jc w:val="center"/>
        </w:trPr>
        <w:tc>
          <w:tcPr>
            <w:tcW w:w="2335" w:type="dxa"/>
            <w:vAlign w:val="center"/>
          </w:tcPr>
          <w:p w14:paraId="0632AAAE" w14:textId="77777777" w:rsidR="00BF198D" w:rsidRDefault="00F71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整体绩效目标实现情况</w:t>
            </w:r>
          </w:p>
        </w:tc>
        <w:tc>
          <w:tcPr>
            <w:tcW w:w="1675" w:type="dxa"/>
            <w:vAlign w:val="center"/>
          </w:tcPr>
          <w:p w14:paraId="38B11085" w14:textId="77777777" w:rsidR="00BF198D" w:rsidRDefault="00F716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073" w:type="dxa"/>
            <w:vAlign w:val="center"/>
          </w:tcPr>
          <w:p w14:paraId="5FDED02C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55.24</w:t>
            </w:r>
          </w:p>
        </w:tc>
        <w:tc>
          <w:tcPr>
            <w:tcW w:w="2073" w:type="dxa"/>
            <w:vAlign w:val="center"/>
          </w:tcPr>
          <w:p w14:paraId="441C63A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92.07%</w:t>
            </w:r>
          </w:p>
        </w:tc>
      </w:tr>
      <w:tr w:rsidR="00BF198D" w14:paraId="405F9C1A" w14:textId="77777777">
        <w:trPr>
          <w:cantSplit/>
          <w:trHeight w:val="454"/>
          <w:jc w:val="center"/>
        </w:trPr>
        <w:tc>
          <w:tcPr>
            <w:tcW w:w="2335" w:type="dxa"/>
            <w:vAlign w:val="center"/>
          </w:tcPr>
          <w:p w14:paraId="29C539D3" w14:textId="77777777" w:rsidR="00BF198D" w:rsidRDefault="00F71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预算管理情况</w:t>
            </w:r>
          </w:p>
        </w:tc>
        <w:tc>
          <w:tcPr>
            <w:tcW w:w="1675" w:type="dxa"/>
            <w:vAlign w:val="center"/>
          </w:tcPr>
          <w:p w14:paraId="25DD694A" w14:textId="77777777" w:rsidR="00BF198D" w:rsidRDefault="00F716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73" w:type="dxa"/>
            <w:vAlign w:val="center"/>
          </w:tcPr>
          <w:p w14:paraId="78050BBD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19.2</w:t>
            </w:r>
          </w:p>
        </w:tc>
        <w:tc>
          <w:tcPr>
            <w:tcW w:w="2073" w:type="dxa"/>
            <w:vAlign w:val="center"/>
          </w:tcPr>
          <w:p w14:paraId="26C2D3C8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96.00%</w:t>
            </w:r>
          </w:p>
        </w:tc>
      </w:tr>
      <w:tr w:rsidR="00BF198D" w14:paraId="329651CE" w14:textId="77777777">
        <w:trPr>
          <w:cantSplit/>
          <w:trHeight w:val="454"/>
          <w:jc w:val="center"/>
        </w:trPr>
        <w:tc>
          <w:tcPr>
            <w:tcW w:w="2335" w:type="dxa"/>
            <w:vAlign w:val="center"/>
          </w:tcPr>
          <w:p w14:paraId="5DB5CA83" w14:textId="77777777" w:rsidR="00BF198D" w:rsidRDefault="00F716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合计</w:t>
            </w:r>
          </w:p>
        </w:tc>
        <w:tc>
          <w:tcPr>
            <w:tcW w:w="1675" w:type="dxa"/>
            <w:vAlign w:val="center"/>
          </w:tcPr>
          <w:p w14:paraId="272A39CC" w14:textId="77777777" w:rsidR="00BF198D" w:rsidRDefault="00F716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73" w:type="dxa"/>
            <w:vAlign w:val="center"/>
          </w:tcPr>
          <w:p w14:paraId="51185960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94.08</w:t>
            </w:r>
          </w:p>
        </w:tc>
        <w:tc>
          <w:tcPr>
            <w:tcW w:w="2073" w:type="dxa"/>
            <w:vAlign w:val="center"/>
          </w:tcPr>
          <w:p w14:paraId="3098F306" w14:textId="77777777" w:rsidR="00BF198D" w:rsidRDefault="00F716BD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94.08%</w:t>
            </w:r>
          </w:p>
        </w:tc>
      </w:tr>
    </w:tbl>
    <w:p w14:paraId="4F6427EE" w14:textId="77777777" w:rsidR="00BF198D" w:rsidRDefault="00F716BD">
      <w:pPr>
        <w:numPr>
          <w:ilvl w:val="0"/>
          <w:numId w:val="2"/>
        </w:numPr>
        <w:adjustRightInd w:val="0"/>
        <w:snapToGrid w:val="0"/>
        <w:spacing w:line="577" w:lineRule="exact"/>
        <w:ind w:firstLineChars="200" w:firstLine="640"/>
        <w:outlineLvl w:val="1"/>
        <w:rPr>
          <w:rFonts w:ascii="Times New Roman" w:eastAsia="楷体" w:hAnsi="Times New Roman" w:cs="Times New Roman"/>
          <w:sz w:val="32"/>
          <w:szCs w:val="32"/>
        </w:rPr>
      </w:pPr>
      <w:bookmarkStart w:id="146" w:name="_Toc20355"/>
      <w:bookmarkStart w:id="147" w:name="_Toc7779"/>
      <w:bookmarkStart w:id="148" w:name="_Toc103195550"/>
      <w:bookmarkStart w:id="149" w:name="_Toc7060"/>
      <w:bookmarkStart w:id="150" w:name="_Toc31195"/>
      <w:bookmarkStart w:id="151" w:name="_Toc102158241"/>
      <w:r>
        <w:rPr>
          <w:rFonts w:ascii="Times New Roman" w:eastAsia="楷体" w:hAnsi="Times New Roman" w:cs="Times New Roman"/>
          <w:sz w:val="32"/>
          <w:szCs w:val="32"/>
        </w:rPr>
        <w:t>存在的问题及原因分析</w:t>
      </w:r>
      <w:bookmarkEnd w:id="146"/>
      <w:bookmarkEnd w:id="147"/>
      <w:bookmarkEnd w:id="148"/>
      <w:bookmarkEnd w:id="149"/>
      <w:bookmarkEnd w:id="150"/>
      <w:bookmarkEnd w:id="151"/>
    </w:p>
    <w:p w14:paraId="64C40C8C" w14:textId="77777777" w:rsidR="00BF198D" w:rsidRDefault="00F716BD" w:rsidP="00B2623F">
      <w:pPr>
        <w:adjustRightInd w:val="0"/>
        <w:snapToGrid w:val="0"/>
        <w:spacing w:line="577" w:lineRule="exact"/>
        <w:ind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1.部分部门整体绩效目标未完成</w:t>
      </w:r>
    </w:p>
    <w:p w14:paraId="0F6DF4F1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部分部门整体绩效目标部分部门整体绩效目标受到外部因素的影响，未达到年初所设定绩效指标值，项目实施计划性有待提高。例如：由于部分学生生病错过测试、拒绝测试等原因未参加心理测评，导致心理普查覆盖率未达到100%</w:t>
      </w:r>
      <w:r>
        <w:rPr>
          <w:rFonts w:ascii="仿宋_GB2312" w:eastAsia="仿宋_GB2312" w:hAnsiTheme="minorHAnsi" w:cstheme="minorBidi" w:hint="eastAsia"/>
          <w:color w:val="000000" w:themeColor="text1"/>
          <w:sz w:val="32"/>
          <w:szCs w:val="32"/>
        </w:rPr>
        <w:t>；</w:t>
      </w:r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2024年原计划年度申报现有1+X证书（含等级）18个，由于植保无人机职业技能等级证书可直接申报高级，当年未按照计划进行申报初级，申报1+X证书数量实际完成17个。</w:t>
      </w:r>
    </w:p>
    <w:p w14:paraId="6F068889" w14:textId="77777777" w:rsidR="00BF198D" w:rsidRDefault="00F716BD" w:rsidP="00B2623F">
      <w:pPr>
        <w:adjustRightInd w:val="0"/>
        <w:snapToGrid w:val="0"/>
        <w:spacing w:line="577" w:lineRule="exact"/>
        <w:ind w:firstLineChars="200" w:firstLine="641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r>
        <w:rPr>
          <w:rFonts w:ascii="仿宋_GB2312" w:eastAsia="仿宋_GB2312" w:hAnsiTheme="minorHAnsi" w:cstheme="minorBidi"/>
          <w:b/>
          <w:bCs/>
          <w:color w:val="000000" w:themeColor="text1"/>
          <w:sz w:val="32"/>
          <w:szCs w:val="32"/>
        </w:rPr>
        <w:t>2.项目预算执行率偏低，部门结转结余率增加</w:t>
      </w:r>
    </w:p>
    <w:p w14:paraId="114B5C18" w14:textId="77777777" w:rsidR="00BF198D" w:rsidRDefault="00F716BD">
      <w:pPr>
        <w:adjustRightInd w:val="0"/>
        <w:snapToGrid w:val="0"/>
        <w:spacing w:line="577" w:lineRule="exact"/>
        <w:ind w:firstLineChars="200" w:firstLine="640"/>
        <w:rPr>
          <w:rFonts w:ascii="仿宋_GB2312" w:eastAsia="仿宋_GB2312" w:hAnsiTheme="minorHAnsi" w:cstheme="minorBidi"/>
          <w:color w:val="000000" w:themeColor="text1"/>
          <w:sz w:val="32"/>
          <w:szCs w:val="32"/>
        </w:rPr>
      </w:pPr>
      <w:bookmarkStart w:id="152" w:name="_Toc31004"/>
      <w:bookmarkStart w:id="153" w:name="_Toc102158242"/>
      <w:bookmarkStart w:id="154" w:name="_Toc103195551"/>
      <w:bookmarkStart w:id="155" w:name="_Toc801"/>
      <w:bookmarkStart w:id="156" w:name="_Toc7821"/>
      <w:bookmarkStart w:id="157" w:name="_Toc72439026"/>
      <w:bookmarkStart w:id="158" w:name="_Toc26401"/>
      <w:r>
        <w:rPr>
          <w:rFonts w:ascii="仿宋_GB2312" w:eastAsia="仿宋_GB2312" w:hAnsiTheme="minorHAnsi" w:cstheme="minorBidi"/>
          <w:color w:val="000000" w:themeColor="text1"/>
          <w:sz w:val="32"/>
          <w:szCs w:val="32"/>
        </w:rPr>
        <w:t>农职院2024年度单位整体预算执行率为98.20%，其中基本支出预算执行率99.95%，项目支出预算执行率82.26%。由于受央财资金滚动积累以及年中追加的市级财政项目影响，导致当年项目预算执行率不高。由于2024年非财政拨款结余和财政项目结转增加，导致部门资金结转结余率较上一年度增加2%。</w:t>
      </w:r>
    </w:p>
    <w:p w14:paraId="503263E4" w14:textId="77777777" w:rsidR="00BF198D" w:rsidRDefault="00F716BD">
      <w:pPr>
        <w:adjustRightInd w:val="0"/>
        <w:snapToGrid w:val="0"/>
        <w:spacing w:line="577" w:lineRule="exact"/>
        <w:ind w:firstLineChars="200" w:firstLine="640"/>
        <w:outlineLvl w:val="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六、措施建议</w:t>
      </w:r>
      <w:bookmarkEnd w:id="152"/>
      <w:bookmarkEnd w:id="153"/>
      <w:bookmarkEnd w:id="154"/>
      <w:bookmarkEnd w:id="155"/>
      <w:bookmarkEnd w:id="156"/>
      <w:bookmarkEnd w:id="157"/>
      <w:bookmarkEnd w:id="158"/>
    </w:p>
    <w:p w14:paraId="49B2BF1A" w14:textId="77777777" w:rsidR="00BF198D" w:rsidRDefault="00F716BD" w:rsidP="00B2623F">
      <w:pPr>
        <w:adjustRightInd w:val="0"/>
        <w:snapToGrid w:val="0"/>
        <w:spacing w:line="577" w:lineRule="exact"/>
        <w:ind w:firstLineChars="200" w:firstLine="641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一是</w:t>
      </w:r>
      <w:r>
        <w:rPr>
          <w:rFonts w:ascii="Times New Roman" w:eastAsia="仿宋_GB2312" w:hAnsi="Times New Roman" w:cs="Times New Roman"/>
          <w:sz w:val="32"/>
          <w:szCs w:val="32"/>
        </w:rPr>
        <w:t>今后在编制绩效指标时，加强需求调研及前期论证，对实施过程中可能出现的潜在风险合理预判，结合预期进展，预计投入等情况，确定绩效指标的具体数值，提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升绩效目标科学合理性。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二是</w:t>
      </w:r>
      <w:r>
        <w:rPr>
          <w:rFonts w:ascii="Times New Roman" w:eastAsia="仿宋_GB2312" w:hAnsi="Times New Roman" w:cs="Times New Roman"/>
          <w:sz w:val="32"/>
          <w:szCs w:val="32"/>
        </w:rPr>
        <w:t>持续跟踪绩效目标的完成情况，确保每项任务都能够按时按质完成，加强对项目执行进度和效果的分析工作，对于发现偏离的及时采取措施进行纠正。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三是</w:t>
      </w:r>
      <w:r>
        <w:rPr>
          <w:rFonts w:ascii="Times New Roman" w:eastAsia="仿宋_GB2312" w:hAnsi="Times New Roman" w:cs="Times New Roman"/>
          <w:sz w:val="32"/>
          <w:szCs w:val="32"/>
        </w:rPr>
        <w:t>加强对结转结余资金的盘活利用，督促项目负责人按照项目合同执行进度，根据预算安排加快非财政拨款结余消化。</w:t>
      </w:r>
    </w:p>
    <w:p w14:paraId="4E59A9EA" w14:textId="77777777" w:rsidR="00BF198D" w:rsidRDefault="00BF198D">
      <w:pPr>
        <w:adjustRightInd w:val="0"/>
        <w:snapToGrid w:val="0"/>
        <w:spacing w:line="577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184E0116" w14:textId="77777777" w:rsidR="00BF198D" w:rsidRDefault="00BF198D">
      <w:pPr>
        <w:adjustRightInd w:val="0"/>
        <w:snapToGrid w:val="0"/>
        <w:spacing w:line="577" w:lineRule="exact"/>
        <w:rPr>
          <w:rFonts w:ascii="Times New Roman" w:eastAsia="仿宋_GB2312" w:hAnsi="Times New Roman" w:cs="Times New Roman"/>
          <w:sz w:val="32"/>
          <w:szCs w:val="32"/>
        </w:rPr>
        <w:sectPr w:rsidR="00BF198D">
          <w:footerReference w:type="default" r:id="rId11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tbl>
      <w:tblPr>
        <w:tblW w:w="9610" w:type="dxa"/>
        <w:tblInd w:w="98" w:type="dxa"/>
        <w:tblLook w:val="04A0" w:firstRow="1" w:lastRow="0" w:firstColumn="1" w:lastColumn="0" w:noHBand="0" w:noVBand="1"/>
      </w:tblPr>
      <w:tblGrid>
        <w:gridCol w:w="1025"/>
        <w:gridCol w:w="1320"/>
        <w:gridCol w:w="2743"/>
        <w:gridCol w:w="1392"/>
        <w:gridCol w:w="1110"/>
        <w:gridCol w:w="980"/>
        <w:gridCol w:w="1040"/>
      </w:tblGrid>
      <w:tr w:rsidR="00BF198D" w14:paraId="4C26484C" w14:textId="77777777">
        <w:trPr>
          <w:trHeight w:val="300"/>
        </w:trPr>
        <w:tc>
          <w:tcPr>
            <w:tcW w:w="9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24277" w14:textId="77777777" w:rsidR="00BF198D" w:rsidRDefault="00F716BD">
            <w:pPr>
              <w:widowControl/>
              <w:jc w:val="left"/>
              <w:textAlignment w:val="top"/>
              <w:rPr>
                <w:rFonts w:ascii="黑体" w:eastAsia="黑体" w:hAnsi="宋体" w:cs="黑体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font71"/>
                <w:lang w:bidi="ar"/>
              </w:rPr>
              <w:lastRenderedPageBreak/>
              <w:t>附件</w:t>
            </w:r>
          </w:p>
        </w:tc>
      </w:tr>
      <w:tr w:rsidR="00BF198D" w14:paraId="49784D8E" w14:textId="77777777">
        <w:trPr>
          <w:trHeight w:val="435"/>
        </w:trPr>
        <w:tc>
          <w:tcPr>
            <w:tcW w:w="96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F2B83" w14:textId="77777777" w:rsidR="00BF198D" w:rsidRDefault="00F716BD">
            <w:pPr>
              <w:widowControl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  <w:sz w:val="34"/>
                <w:szCs w:val="34"/>
              </w:rPr>
            </w:pPr>
            <w:r>
              <w:rPr>
                <w:rStyle w:val="font81"/>
                <w:lang w:bidi="ar"/>
              </w:rPr>
              <w:t>2024年度部门整体绩效评价指标体系评分表</w:t>
            </w:r>
          </w:p>
        </w:tc>
      </w:tr>
      <w:tr w:rsidR="00BF198D" w14:paraId="63FA4E26" w14:textId="77777777">
        <w:trPr>
          <w:trHeight w:val="575"/>
        </w:trPr>
        <w:tc>
          <w:tcPr>
            <w:tcW w:w="9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95583" w14:textId="77777777" w:rsidR="00BF198D" w:rsidRDefault="00F716BD">
            <w:pPr>
              <w:widowControl/>
              <w:jc w:val="left"/>
              <w:textAlignment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font91"/>
                <w:lang w:bidi="ar"/>
              </w:rPr>
              <w:t>一、当年预算执行情况(20分)</w:t>
            </w:r>
          </w:p>
        </w:tc>
      </w:tr>
      <w:tr w:rsidR="00BF198D" w14:paraId="5A54BA03" w14:textId="77777777">
        <w:trPr>
          <w:trHeight w:val="740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631A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一级指标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0929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二级指标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BB6C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预算数</w:t>
            </w:r>
            <w:r>
              <w:rPr>
                <w:rStyle w:val="font101"/>
                <w:lang w:bidi="ar"/>
              </w:rPr>
              <w:br/>
              <w:t>(万元)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EDBD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执行数</w:t>
            </w:r>
            <w:r>
              <w:rPr>
                <w:rStyle w:val="font101"/>
                <w:lang w:bidi="ar"/>
              </w:rPr>
              <w:br/>
              <w:t>(万元)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BC67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预算执</w:t>
            </w:r>
            <w:r>
              <w:rPr>
                <w:rStyle w:val="font101"/>
                <w:lang w:bidi="ar"/>
              </w:rPr>
              <w:br/>
              <w:t>行率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2F415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分值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4644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得分</w:t>
            </w:r>
          </w:p>
        </w:tc>
      </w:tr>
      <w:tr w:rsidR="00BF198D" w14:paraId="19544E1A" w14:textId="77777777">
        <w:trPr>
          <w:trHeight w:val="1030"/>
        </w:trPr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255E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当年预算</w:t>
            </w:r>
            <w:r>
              <w:rPr>
                <w:rStyle w:val="font101"/>
                <w:lang w:bidi="ar"/>
              </w:rPr>
              <w:br/>
              <w:t>执行情况</w:t>
            </w:r>
            <w:r>
              <w:rPr>
                <w:rStyle w:val="font101"/>
                <w:lang w:bidi="ar"/>
              </w:rPr>
              <w:br/>
              <w:t>(20)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6A72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资金总体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1D32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50342.46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1038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49436.21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00B4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98.20%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CD4D2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20.00 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935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19.64 </w:t>
            </w:r>
          </w:p>
        </w:tc>
      </w:tr>
      <w:tr w:rsidR="00BF198D" w14:paraId="0EBA8E30" w14:textId="77777777">
        <w:trPr>
          <w:trHeight w:val="104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EBC66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4880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基本支出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CE89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45038.78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D8B1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45014.65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B589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99.95%</w:t>
            </w: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B3372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D4EB2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BF198D" w14:paraId="7FB44D08" w14:textId="77777777">
        <w:trPr>
          <w:trHeight w:val="104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71BCB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334C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项目支出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13880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4973.39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1973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4091.27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1C666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82.26%</w:t>
            </w: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926F3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D66F9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BF198D" w14:paraId="75FCD3BC" w14:textId="77777777">
        <w:trPr>
          <w:trHeight w:val="1045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80214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72E9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其他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0A4A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330.29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9B0C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330.29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FF425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12A07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5771E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BF198D" w14:paraId="55A56CC4" w14:textId="77777777">
        <w:trPr>
          <w:trHeight w:val="645"/>
        </w:trPr>
        <w:tc>
          <w:tcPr>
            <w:tcW w:w="9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CBA1F" w14:textId="77777777" w:rsidR="00BF198D" w:rsidRDefault="00F716BD">
            <w:pPr>
              <w:widowControl/>
              <w:jc w:val="left"/>
              <w:textAlignment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font91"/>
                <w:lang w:bidi="ar"/>
              </w:rPr>
              <w:t>二、整体绩效目标实现情况(60分)</w:t>
            </w:r>
          </w:p>
        </w:tc>
      </w:tr>
      <w:tr w:rsidR="00BF198D" w14:paraId="7C657EFF" w14:textId="77777777">
        <w:trPr>
          <w:trHeight w:val="570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FD47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一级指标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C99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二级指标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583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三级指标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B45F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指标值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6380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完成值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903C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分值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EE39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得分</w:t>
            </w:r>
          </w:p>
        </w:tc>
      </w:tr>
      <w:tr w:rsidR="00BF198D" w14:paraId="4C179640" w14:textId="77777777">
        <w:trPr>
          <w:trHeight w:val="740"/>
        </w:trPr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75672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整体绩效</w:t>
            </w:r>
            <w:r>
              <w:rPr>
                <w:rStyle w:val="font101"/>
                <w:lang w:bidi="ar"/>
              </w:rPr>
              <w:br/>
              <w:t>目标实现</w:t>
            </w:r>
            <w:r>
              <w:rPr>
                <w:rStyle w:val="font101"/>
                <w:lang w:bidi="ar"/>
              </w:rPr>
              <w:br/>
              <w:t>情况(60)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104C5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产出(30)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4AD0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党风党建工作完成率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CB8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8C15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2ABB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30900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</w:tr>
      <w:tr w:rsidR="00BF198D" w14:paraId="445FC284" w14:textId="77777777">
        <w:trPr>
          <w:trHeight w:val="75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14046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33D1E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634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教育教学工作完成率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EC6A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6B96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85.71%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121A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9C5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2.57 </w:t>
            </w:r>
          </w:p>
        </w:tc>
      </w:tr>
      <w:tr w:rsidR="00BF198D" w14:paraId="1569B2EB" w14:textId="77777777">
        <w:trPr>
          <w:trHeight w:val="682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3D0EE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E5FA7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0461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师资队伍建设工作完成率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F448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9AA4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03B3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50EA2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51BBF02D" w14:textId="77777777">
        <w:trPr>
          <w:trHeight w:val="682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BB110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028F6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A914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改善办学条件工作完成率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6A50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A9E9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8F825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13460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421BB38B" w14:textId="77777777">
        <w:trPr>
          <w:trHeight w:val="672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D9C9A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07B5F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FF2A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科技项目管理工作完成率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3FCA6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9F35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AB3C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6F57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7E3EADF2" w14:textId="77777777">
        <w:trPr>
          <w:trHeight w:val="74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CA219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160C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ABBD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招生就业工作完成率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33B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645A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F9F5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2866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74B1DCDE" w14:textId="77777777">
        <w:trPr>
          <w:trHeight w:val="682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57BFA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1435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0DB9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学生教育管理与服务工作完成率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711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ABED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88.89%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D307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84AE5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2.67 </w:t>
            </w:r>
          </w:p>
        </w:tc>
      </w:tr>
      <w:tr w:rsidR="00BF198D" w14:paraId="3F9FA398" w14:textId="77777777">
        <w:trPr>
          <w:trHeight w:val="74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92994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7BA1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B0CE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特高和双高专业群建设</w:t>
            </w:r>
            <w:r>
              <w:rPr>
                <w:rStyle w:val="font101"/>
                <w:lang w:bidi="ar"/>
              </w:rPr>
              <w:br/>
              <w:t>工作完成率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CF52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93A7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26F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FD6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</w:tr>
      <w:tr w:rsidR="00BF198D" w14:paraId="0F55DE5B" w14:textId="77777777">
        <w:trPr>
          <w:trHeight w:val="75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F8A4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8FDC9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A9B5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其他方面工作完成率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4C4F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0403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1288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1DF6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</w:tr>
      <w:tr w:rsidR="00BF198D" w14:paraId="6C1F9DE9" w14:textId="77777777">
        <w:trPr>
          <w:trHeight w:val="73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0B4F7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6536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47F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质量达标情况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0AD1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达标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D914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达标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037C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1E5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</w:tr>
      <w:tr w:rsidR="00BF198D" w14:paraId="144770FA" w14:textId="77777777">
        <w:trPr>
          <w:trHeight w:val="735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E2067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E995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11612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完成及时性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33F1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及时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BD61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及时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2340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4108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</w:tr>
      <w:tr w:rsidR="00BF198D" w14:paraId="11BFB82A" w14:textId="77777777">
        <w:trPr>
          <w:trHeight w:val="735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60377" w14:textId="77777777" w:rsidR="00BF198D" w:rsidRDefault="00BF198D">
            <w:pPr>
              <w:jc w:val="left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5DA99" w14:textId="77777777" w:rsidR="00BF198D" w:rsidRDefault="00BF198D">
            <w:pPr>
              <w:jc w:val="left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E7B15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成本节约情况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137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良 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08A6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良 好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0DA5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0836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</w:tr>
      <w:tr w:rsidR="00BF198D" w14:paraId="580D0590" w14:textId="77777777">
        <w:trPr>
          <w:trHeight w:val="610"/>
        </w:trPr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382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续上页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71C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效果(30)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5EA6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党建水平显著提升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BC03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BB486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0BD4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D0852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28D52854" w14:textId="77777777">
        <w:trPr>
          <w:trHeight w:val="62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9609C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7E1B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8BF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教育教学改革取得成效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56E1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0E54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AAC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11686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791763B3" w14:textId="77777777">
        <w:trPr>
          <w:trHeight w:val="63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6889A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9D730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97C5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三全育人工作展现风采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7BF65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DB9F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E7D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6374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3CD662AB" w14:textId="77777777">
        <w:trPr>
          <w:trHeight w:val="62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3EE7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21B6A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E3E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师资队伍能力建设提高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2C68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C22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3E4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8BE5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4745B228" w14:textId="77777777">
        <w:trPr>
          <w:trHeight w:val="62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CE2B8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B4606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997E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科研科普能力持续提升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8C30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514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BE19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17E6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5326DA7C" w14:textId="77777777">
        <w:trPr>
          <w:trHeight w:val="63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8E75F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B7807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76F5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社会服务水平不断增强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594D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8270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4211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C320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22DB2976" w14:textId="77777777">
        <w:trPr>
          <w:trHeight w:val="62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D5B0A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1317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4523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国内外合作交流发展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0397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CB52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9A5A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5E23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6FDE2A9C" w14:textId="77777777">
        <w:trPr>
          <w:trHeight w:val="61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59286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F4312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58850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综合服务保障能力提质</w:t>
            </w:r>
            <w:r>
              <w:rPr>
                <w:rStyle w:val="font101"/>
                <w:lang w:bidi="ar"/>
              </w:rPr>
              <w:br/>
              <w:t>增效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53C6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F988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效益良好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39C2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B880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3.00 </w:t>
            </w:r>
          </w:p>
        </w:tc>
      </w:tr>
      <w:tr w:rsidR="00BF198D" w14:paraId="1BC9BC9C" w14:textId="77777777">
        <w:trPr>
          <w:trHeight w:val="64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EBA60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F6CD3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586F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在校学生满意度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30A2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A7D70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94.84%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48F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0.50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2AC5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0.50 </w:t>
            </w:r>
          </w:p>
        </w:tc>
      </w:tr>
      <w:tr w:rsidR="00BF198D" w14:paraId="48210257" w14:textId="77777777">
        <w:trPr>
          <w:trHeight w:val="62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413D8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D2C9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3592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家长满意度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E6D20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E4FB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98.24%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5EA0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0.50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FB54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0.50 </w:t>
            </w:r>
          </w:p>
        </w:tc>
      </w:tr>
      <w:tr w:rsidR="00BF198D" w14:paraId="66B5E3B8" w14:textId="77777777">
        <w:trPr>
          <w:trHeight w:val="63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ACD80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AE6C5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9D3B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教职工满意度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72F8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90%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DA89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93.57%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A8F3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0.50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77006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0.50 </w:t>
            </w:r>
          </w:p>
        </w:tc>
      </w:tr>
      <w:tr w:rsidR="00BF198D" w14:paraId="148A69D3" w14:textId="77777777">
        <w:trPr>
          <w:trHeight w:val="615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EE213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0DC48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F2B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用人单位满意度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2B05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85%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1BF5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98.84%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1C94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0.50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8A932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0.50 </w:t>
            </w:r>
          </w:p>
        </w:tc>
      </w:tr>
      <w:tr w:rsidR="00BF198D" w14:paraId="0F8CF7F7" w14:textId="77777777">
        <w:trPr>
          <w:trHeight w:val="575"/>
        </w:trPr>
        <w:tc>
          <w:tcPr>
            <w:tcW w:w="9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58688" w14:textId="77777777" w:rsidR="00BF198D" w:rsidRDefault="00F716BD">
            <w:pPr>
              <w:widowControl/>
              <w:jc w:val="left"/>
              <w:textAlignment w:val="center"/>
              <w:rPr>
                <w:rFonts w:ascii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font91"/>
                <w:lang w:bidi="ar"/>
              </w:rPr>
              <w:t>三、预算管理情况(20分)</w:t>
            </w:r>
          </w:p>
        </w:tc>
      </w:tr>
      <w:tr w:rsidR="00BF198D" w14:paraId="1B2AC54B" w14:textId="77777777">
        <w:trPr>
          <w:trHeight w:val="600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6041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一级指标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382C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二级指标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26F6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三级指标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6A70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扣分原因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0C7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分值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47F1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得分</w:t>
            </w:r>
          </w:p>
        </w:tc>
      </w:tr>
      <w:tr w:rsidR="00BF198D" w14:paraId="6C41AD39" w14:textId="77777777">
        <w:trPr>
          <w:trHeight w:val="1330"/>
        </w:trPr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1B2E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预算管理</w:t>
            </w:r>
            <w:r>
              <w:rPr>
                <w:rStyle w:val="font101"/>
                <w:lang w:bidi="ar"/>
              </w:rPr>
              <w:br/>
              <w:t>情况</w:t>
            </w:r>
            <w:r>
              <w:rPr>
                <w:rStyle w:val="font101"/>
                <w:lang w:bidi="ar"/>
              </w:rPr>
              <w:br/>
              <w:t>(20)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7B2D6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财务管理</w:t>
            </w:r>
            <w:r>
              <w:rPr>
                <w:rStyle w:val="font101"/>
                <w:lang w:bidi="ar"/>
              </w:rPr>
              <w:br/>
              <w:t>(4)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02D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财务管理制度健全性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7BAF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font112"/>
                <w:lang w:bidi="ar"/>
              </w:rPr>
              <w:t>——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6468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1.00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928F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1.00 </w:t>
            </w:r>
          </w:p>
        </w:tc>
      </w:tr>
      <w:tr w:rsidR="00BF198D" w14:paraId="6A9EBA32" w14:textId="77777777">
        <w:trPr>
          <w:trHeight w:val="235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5F736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DE03B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B3152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资金使用合规性和安全性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CB8C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font112"/>
                <w:lang w:bidi="ar"/>
              </w:rPr>
              <w:t>——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3BD0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2918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2.00 </w:t>
            </w:r>
          </w:p>
        </w:tc>
      </w:tr>
      <w:tr w:rsidR="00BF198D" w14:paraId="142FA268" w14:textId="77777777">
        <w:trPr>
          <w:trHeight w:val="115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D9EA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3AA7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6E93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会计基础信息完善性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BF27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Style w:val="font121"/>
                <w:lang w:bidi="ar"/>
              </w:rPr>
              <w:t>——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83FDB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1.00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65AD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1.00 </w:t>
            </w:r>
          </w:p>
        </w:tc>
      </w:tr>
      <w:tr w:rsidR="00BF198D" w14:paraId="653CD5A6" w14:textId="77777777">
        <w:trPr>
          <w:trHeight w:val="241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C6D86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EA6C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资产管理</w:t>
            </w:r>
            <w:r>
              <w:rPr>
                <w:rStyle w:val="font101"/>
                <w:lang w:bidi="ar"/>
              </w:rPr>
              <w:br/>
              <w:t>(4)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FBAD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资产管理规范性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1A81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Style w:val="font112"/>
                <w:lang w:bidi="ar"/>
              </w:rPr>
              <w:t>——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66A80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12873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4.00 </w:t>
            </w:r>
          </w:p>
        </w:tc>
      </w:tr>
      <w:tr w:rsidR="00BF198D" w14:paraId="1D4C75FC" w14:textId="77777777">
        <w:trPr>
          <w:trHeight w:val="1215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C1DB0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4DD7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绩效管理</w:t>
            </w:r>
            <w:r>
              <w:rPr>
                <w:rStyle w:val="font101"/>
                <w:lang w:bidi="ar"/>
              </w:rPr>
              <w:br/>
              <w:t>(4)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DC89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绩效管理情况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8028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32"/>
                <w:szCs w:val="32"/>
              </w:rPr>
            </w:pPr>
            <w:r>
              <w:rPr>
                <w:rStyle w:val="font121"/>
                <w:lang w:bidi="ar"/>
              </w:rPr>
              <w:t>——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C81E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47AD6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4.00 </w:t>
            </w:r>
          </w:p>
        </w:tc>
      </w:tr>
      <w:tr w:rsidR="00BF198D" w14:paraId="1537CA1C" w14:textId="77777777">
        <w:trPr>
          <w:trHeight w:val="585"/>
        </w:trPr>
        <w:tc>
          <w:tcPr>
            <w:tcW w:w="1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31395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续上页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49354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指标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2469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2023年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14C5E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2024年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C7A6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分值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C4E6B" w14:textId="77777777" w:rsidR="00BF198D" w:rsidRDefault="00F716B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得分</w:t>
            </w:r>
          </w:p>
        </w:tc>
      </w:tr>
      <w:tr w:rsidR="00BF198D" w14:paraId="1FC8C442" w14:textId="77777777">
        <w:trPr>
          <w:trHeight w:val="194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1360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4885F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结转结余率</w:t>
            </w:r>
            <w:r>
              <w:rPr>
                <w:rStyle w:val="font101"/>
                <w:lang w:bidi="ar"/>
              </w:rPr>
              <w:br/>
              <w:t>(4)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756A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5.33%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48D48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7.39%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53222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09874" w14:textId="77777777" w:rsidR="00BF198D" w:rsidRDefault="00F716B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3.20 </w:t>
            </w:r>
          </w:p>
        </w:tc>
      </w:tr>
      <w:tr w:rsidR="00BF198D" w14:paraId="28EBC8A7" w14:textId="77777777">
        <w:trPr>
          <w:trHeight w:val="1640"/>
        </w:trPr>
        <w:tc>
          <w:tcPr>
            <w:tcW w:w="1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53C04" w14:textId="77777777" w:rsidR="00BF198D" w:rsidRDefault="00BF198D">
            <w:pPr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90FCC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部门预决算差</w:t>
            </w:r>
            <w:r>
              <w:rPr>
                <w:rStyle w:val="font101"/>
                <w:lang w:bidi="ar"/>
              </w:rPr>
              <w:br/>
              <w:t>异率</w:t>
            </w:r>
            <w:r>
              <w:rPr>
                <w:rStyle w:val="font101"/>
                <w:lang w:bidi="ar"/>
              </w:rPr>
              <w:br/>
              <w:t>(4)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30F01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2.26%</w:t>
            </w:r>
          </w:p>
        </w:tc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072E0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2.58%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F470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E7299" w14:textId="77777777" w:rsidR="00BF198D" w:rsidRDefault="00F716B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4.00 </w:t>
            </w:r>
          </w:p>
        </w:tc>
      </w:tr>
      <w:tr w:rsidR="00BF198D" w14:paraId="713ABF19" w14:textId="77777777">
        <w:trPr>
          <w:trHeight w:val="605"/>
        </w:trPr>
        <w:tc>
          <w:tcPr>
            <w:tcW w:w="7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FBA79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Style w:val="font101"/>
                <w:lang w:bidi="ar"/>
              </w:rPr>
              <w:t>合计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67BFD" w14:textId="77777777" w:rsidR="00BF198D" w:rsidRDefault="00F716B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100.00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D5523" w14:textId="77777777" w:rsidR="00BF198D" w:rsidRDefault="00F716BD">
            <w:pPr>
              <w:widowControl/>
              <w:ind w:firstLineChars="100" w:firstLine="200"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94.08 </w:t>
            </w:r>
          </w:p>
        </w:tc>
      </w:tr>
    </w:tbl>
    <w:p w14:paraId="5E0C8BF1" w14:textId="77777777" w:rsidR="00BF198D" w:rsidRDefault="00BF198D">
      <w:pPr>
        <w:adjustRightInd w:val="0"/>
        <w:snapToGrid w:val="0"/>
        <w:spacing w:line="577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BF198D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EE09E" w14:textId="77777777" w:rsidR="000E73A2" w:rsidRDefault="000E73A2">
      <w:r>
        <w:separator/>
      </w:r>
    </w:p>
  </w:endnote>
  <w:endnote w:type="continuationSeparator" w:id="0">
    <w:p w14:paraId="6EC69419" w14:textId="77777777" w:rsidR="000E73A2" w:rsidRDefault="000E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ACC68B61-CF22-4451-87DD-FD5937197D31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30AFCECF-F037-462F-8CC3-A465B3362B5C}"/>
    <w:embedBold r:id="rId3" w:subsetted="1" w:fontKey="{3FFBE8B3-53AC-461F-A23F-68349005FCCB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4" w:subsetted="1" w:fontKey="{D645EB22-334D-4FA2-BCD8-F77EECB0CFE3}"/>
    <w:embedBold r:id="rId5" w:subsetted="1" w:fontKey="{4F4E4671-C975-41F5-90A0-8D4A1D3C53D3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117C605D-4A29-41A5-9E9D-518288BB1340}"/>
  </w:font>
  <w:font w:name="方正公文小标宋">
    <w:charset w:val="86"/>
    <w:family w:val="auto"/>
    <w:pitch w:val="default"/>
    <w:sig w:usb0="A00002BF" w:usb1="38CF7CFA" w:usb2="00000016" w:usb3="00000000" w:csb0="00040001" w:csb1="00000000"/>
    <w:embedRegular r:id="rId7" w:subsetted="1" w:fontKey="{D0E48F1F-BD9B-45B6-8F64-B45A64DA5479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F128A" w14:textId="77777777" w:rsidR="00BF198D" w:rsidRDefault="00BF198D">
    <w:pPr>
      <w:pStyle w:val="a6"/>
      <w:jc w:val="center"/>
    </w:pPr>
  </w:p>
  <w:p w14:paraId="071E2C09" w14:textId="77777777" w:rsidR="00BF198D" w:rsidRDefault="00BF198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1FC28" w14:textId="77777777" w:rsidR="00BF198D" w:rsidRDefault="00F716B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7311F" w:rsidRPr="0057311F">
      <w:rPr>
        <w:noProof/>
        <w:lang w:val="zh-CN"/>
      </w:rPr>
      <w:t>14</w:t>
    </w:r>
    <w:r>
      <w:fldChar w:fldCharType="end"/>
    </w:r>
  </w:p>
  <w:p w14:paraId="5E216BF1" w14:textId="77777777" w:rsidR="00BF198D" w:rsidRDefault="00BF19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A93C1" w14:textId="77777777" w:rsidR="000E73A2" w:rsidRDefault="000E73A2">
      <w:r>
        <w:separator/>
      </w:r>
    </w:p>
  </w:footnote>
  <w:footnote w:type="continuationSeparator" w:id="0">
    <w:p w14:paraId="06660D94" w14:textId="77777777" w:rsidR="000E73A2" w:rsidRDefault="000E7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D90C4" w14:textId="77777777" w:rsidR="00BF198D" w:rsidRDefault="00BF198D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CB2327"/>
    <w:multiLevelType w:val="singleLevel"/>
    <w:tmpl w:val="9FCB232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84D"/>
    <w:rsid w:val="000E73A2"/>
    <w:rsid w:val="001E6838"/>
    <w:rsid w:val="00307EB5"/>
    <w:rsid w:val="0057311F"/>
    <w:rsid w:val="006463E6"/>
    <w:rsid w:val="00B2623F"/>
    <w:rsid w:val="00B3284D"/>
    <w:rsid w:val="00BF198D"/>
    <w:rsid w:val="00F716BD"/>
    <w:rsid w:val="00FF2858"/>
    <w:rsid w:val="00FF3E2D"/>
    <w:rsid w:val="0A7A193E"/>
    <w:rsid w:val="326C674A"/>
    <w:rsid w:val="35397663"/>
    <w:rsid w:val="3827089B"/>
    <w:rsid w:val="479B5B7B"/>
    <w:rsid w:val="4B642D02"/>
    <w:rsid w:val="504403A5"/>
    <w:rsid w:val="54476315"/>
    <w:rsid w:val="60D9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 w:qFormat="1"/>
    <w:lsdException w:name="footnote text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ind w:firstLineChars="200" w:firstLine="420"/>
    </w:pPr>
  </w:style>
  <w:style w:type="paragraph" w:styleId="a4">
    <w:name w:val="annotation text"/>
    <w:basedOn w:val="a"/>
    <w:link w:val="Char"/>
    <w:qFormat/>
    <w:pPr>
      <w:jc w:val="left"/>
    </w:pPr>
  </w:style>
  <w:style w:type="paragraph" w:styleId="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</w:style>
  <w:style w:type="paragraph" w:styleId="a8">
    <w:name w:val="footnote text"/>
    <w:basedOn w:val="a"/>
    <w:qFormat/>
    <w:pPr>
      <w:snapToGrid w:val="0"/>
      <w:jc w:val="left"/>
    </w:pPr>
    <w:rPr>
      <w:sz w:val="18"/>
    </w:rPr>
  </w:style>
  <w:style w:type="paragraph" w:styleId="2">
    <w:name w:val="toc 2"/>
    <w:basedOn w:val="a"/>
    <w:next w:val="a"/>
    <w:uiPriority w:val="39"/>
    <w:qFormat/>
    <w:pPr>
      <w:ind w:leftChars="200" w:left="420"/>
    </w:pPr>
  </w:style>
  <w:style w:type="paragraph" w:styleId="a9">
    <w:name w:val="annotation subject"/>
    <w:basedOn w:val="a4"/>
    <w:next w:val="a4"/>
    <w:link w:val="Char3"/>
    <w:qFormat/>
    <w:rPr>
      <w:b/>
      <w:bCs/>
    </w:rPr>
  </w:style>
  <w:style w:type="table" w:styleId="aa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qFormat/>
    <w:rPr>
      <w:i/>
    </w:rPr>
  </w:style>
  <w:style w:type="character" w:styleId="ac">
    <w:name w:val="Hyperlink"/>
    <w:basedOn w:val="a0"/>
    <w:uiPriority w:val="99"/>
    <w:qFormat/>
    <w:rPr>
      <w:color w:val="0563C1"/>
      <w:u w:val="single"/>
    </w:rPr>
  </w:style>
  <w:style w:type="character" w:styleId="ad">
    <w:name w:val="annotation reference"/>
    <w:basedOn w:val="a0"/>
    <w:qFormat/>
    <w:rPr>
      <w:sz w:val="21"/>
      <w:szCs w:val="21"/>
    </w:rPr>
  </w:style>
  <w:style w:type="character" w:styleId="ae">
    <w:name w:val="footnote reference"/>
    <w:basedOn w:val="a0"/>
    <w:qFormat/>
    <w:rPr>
      <w:vertAlign w:val="superscript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2">
    <w:name w:val="页眉 Char"/>
    <w:basedOn w:val="a0"/>
    <w:link w:val="a7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rFonts w:ascii="Calibri" w:eastAsia="宋体" w:hAnsi="Calibri" w:cs="宋体"/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5B6"/>
      <w:kern w:val="0"/>
      <w:sz w:val="32"/>
      <w:szCs w:val="32"/>
    </w:rPr>
  </w:style>
  <w:style w:type="character" w:customStyle="1" w:styleId="1Char">
    <w:name w:val="标题 1 Char"/>
    <w:basedOn w:val="a0"/>
    <w:link w:val="1"/>
    <w:qFormat/>
    <w:rPr>
      <w:rFonts w:ascii="Calibri" w:eastAsia="宋体" w:hAnsi="Calibri" w:cs="宋体"/>
      <w:b/>
      <w:bCs/>
      <w:kern w:val="44"/>
      <w:sz w:val="44"/>
      <w:szCs w:val="44"/>
    </w:rPr>
  </w:style>
  <w:style w:type="character" w:customStyle="1" w:styleId="style31">
    <w:name w:val="style31"/>
    <w:qFormat/>
    <w:rPr>
      <w:sz w:val="18"/>
      <w:szCs w:val="18"/>
    </w:rPr>
  </w:style>
  <w:style w:type="character" w:customStyle="1" w:styleId="Char0">
    <w:name w:val="批注框文本 Char"/>
    <w:basedOn w:val="a0"/>
    <w:link w:val="a5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批注文字 Char"/>
    <w:basedOn w:val="a0"/>
    <w:link w:val="a4"/>
    <w:qFormat/>
    <w:rPr>
      <w:rFonts w:ascii="Calibri" w:eastAsia="宋体" w:hAnsi="Calibri" w:cs="宋体"/>
      <w:kern w:val="2"/>
      <w:sz w:val="21"/>
      <w:szCs w:val="22"/>
    </w:rPr>
  </w:style>
  <w:style w:type="character" w:customStyle="1" w:styleId="Char3">
    <w:name w:val="批注主题 Char"/>
    <w:basedOn w:val="Char"/>
    <w:link w:val="a9"/>
    <w:qFormat/>
    <w:rPr>
      <w:rFonts w:ascii="Calibri" w:eastAsia="宋体" w:hAnsi="Calibri" w:cs="宋体"/>
      <w:b/>
      <w:bCs/>
      <w:kern w:val="2"/>
      <w:sz w:val="21"/>
      <w:szCs w:val="22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font71">
    <w:name w:val="font71"/>
    <w:basedOn w:val="a0"/>
    <w:qFormat/>
    <w:rPr>
      <w:rFonts w:ascii="黑体" w:eastAsia="黑体" w:hAnsi="宋体" w:cs="黑体"/>
      <w:b/>
      <w:bCs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/>
      <w:b/>
      <w:bCs/>
      <w:color w:val="000000"/>
      <w:sz w:val="34"/>
      <w:szCs w:val="34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/>
      <w:b/>
      <w:bCs/>
      <w:color w:val="000000"/>
      <w:sz w:val="20"/>
      <w:szCs w:val="20"/>
      <w:u w:val="none"/>
    </w:rPr>
  </w:style>
  <w:style w:type="character" w:customStyle="1" w:styleId="font101">
    <w:name w:val="font101"/>
    <w:basedOn w:val="a0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/>
      <w:color w:val="000000"/>
      <w:sz w:val="32"/>
      <w:szCs w:val="3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Normal Indent" w:uiPriority="99" w:qFormat="1"/>
    <w:lsdException w:name="footnote text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ind w:firstLineChars="200" w:firstLine="420"/>
    </w:pPr>
  </w:style>
  <w:style w:type="paragraph" w:styleId="a4">
    <w:name w:val="annotation text"/>
    <w:basedOn w:val="a"/>
    <w:link w:val="Char"/>
    <w:qFormat/>
    <w:pPr>
      <w:jc w:val="left"/>
    </w:pPr>
  </w:style>
  <w:style w:type="paragraph" w:styleId="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</w:style>
  <w:style w:type="paragraph" w:styleId="a8">
    <w:name w:val="footnote text"/>
    <w:basedOn w:val="a"/>
    <w:qFormat/>
    <w:pPr>
      <w:snapToGrid w:val="0"/>
      <w:jc w:val="left"/>
    </w:pPr>
    <w:rPr>
      <w:sz w:val="18"/>
    </w:rPr>
  </w:style>
  <w:style w:type="paragraph" w:styleId="2">
    <w:name w:val="toc 2"/>
    <w:basedOn w:val="a"/>
    <w:next w:val="a"/>
    <w:uiPriority w:val="39"/>
    <w:qFormat/>
    <w:pPr>
      <w:ind w:leftChars="200" w:left="420"/>
    </w:pPr>
  </w:style>
  <w:style w:type="paragraph" w:styleId="a9">
    <w:name w:val="annotation subject"/>
    <w:basedOn w:val="a4"/>
    <w:next w:val="a4"/>
    <w:link w:val="Char3"/>
    <w:qFormat/>
    <w:rPr>
      <w:b/>
      <w:bCs/>
    </w:rPr>
  </w:style>
  <w:style w:type="table" w:styleId="aa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qFormat/>
    <w:rPr>
      <w:i/>
    </w:rPr>
  </w:style>
  <w:style w:type="character" w:styleId="ac">
    <w:name w:val="Hyperlink"/>
    <w:basedOn w:val="a0"/>
    <w:uiPriority w:val="99"/>
    <w:qFormat/>
    <w:rPr>
      <w:color w:val="0563C1"/>
      <w:u w:val="single"/>
    </w:rPr>
  </w:style>
  <w:style w:type="character" w:styleId="ad">
    <w:name w:val="annotation reference"/>
    <w:basedOn w:val="a0"/>
    <w:qFormat/>
    <w:rPr>
      <w:sz w:val="21"/>
      <w:szCs w:val="21"/>
    </w:rPr>
  </w:style>
  <w:style w:type="character" w:styleId="ae">
    <w:name w:val="footnote reference"/>
    <w:basedOn w:val="a0"/>
    <w:qFormat/>
    <w:rPr>
      <w:vertAlign w:val="superscript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2">
    <w:name w:val="页眉 Char"/>
    <w:basedOn w:val="a0"/>
    <w:link w:val="a7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rFonts w:ascii="Calibri" w:eastAsia="宋体" w:hAnsi="Calibri" w:cs="宋体"/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5B6"/>
      <w:kern w:val="0"/>
      <w:sz w:val="32"/>
      <w:szCs w:val="32"/>
    </w:rPr>
  </w:style>
  <w:style w:type="character" w:customStyle="1" w:styleId="1Char">
    <w:name w:val="标题 1 Char"/>
    <w:basedOn w:val="a0"/>
    <w:link w:val="1"/>
    <w:qFormat/>
    <w:rPr>
      <w:rFonts w:ascii="Calibri" w:eastAsia="宋体" w:hAnsi="Calibri" w:cs="宋体"/>
      <w:b/>
      <w:bCs/>
      <w:kern w:val="44"/>
      <w:sz w:val="44"/>
      <w:szCs w:val="44"/>
    </w:rPr>
  </w:style>
  <w:style w:type="character" w:customStyle="1" w:styleId="style31">
    <w:name w:val="style31"/>
    <w:qFormat/>
    <w:rPr>
      <w:sz w:val="18"/>
      <w:szCs w:val="18"/>
    </w:rPr>
  </w:style>
  <w:style w:type="character" w:customStyle="1" w:styleId="Char0">
    <w:name w:val="批注框文本 Char"/>
    <w:basedOn w:val="a0"/>
    <w:link w:val="a5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批注文字 Char"/>
    <w:basedOn w:val="a0"/>
    <w:link w:val="a4"/>
    <w:qFormat/>
    <w:rPr>
      <w:rFonts w:ascii="Calibri" w:eastAsia="宋体" w:hAnsi="Calibri" w:cs="宋体"/>
      <w:kern w:val="2"/>
      <w:sz w:val="21"/>
      <w:szCs w:val="22"/>
    </w:rPr>
  </w:style>
  <w:style w:type="character" w:customStyle="1" w:styleId="Char3">
    <w:name w:val="批注主题 Char"/>
    <w:basedOn w:val="Char"/>
    <w:link w:val="a9"/>
    <w:qFormat/>
    <w:rPr>
      <w:rFonts w:ascii="Calibri" w:eastAsia="宋体" w:hAnsi="Calibri" w:cs="宋体"/>
      <w:b/>
      <w:bCs/>
      <w:kern w:val="2"/>
      <w:sz w:val="21"/>
      <w:szCs w:val="22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  <w:style w:type="character" w:customStyle="1" w:styleId="font71">
    <w:name w:val="font71"/>
    <w:basedOn w:val="a0"/>
    <w:qFormat/>
    <w:rPr>
      <w:rFonts w:ascii="黑体" w:eastAsia="黑体" w:hAnsi="宋体" w:cs="黑体"/>
      <w:b/>
      <w:bCs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/>
      <w:b/>
      <w:bCs/>
      <w:color w:val="000000"/>
      <w:sz w:val="34"/>
      <w:szCs w:val="34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/>
      <w:b/>
      <w:bCs/>
      <w:color w:val="000000"/>
      <w:sz w:val="20"/>
      <w:szCs w:val="20"/>
      <w:u w:val="none"/>
    </w:rPr>
  </w:style>
  <w:style w:type="character" w:customStyle="1" w:styleId="font101">
    <w:name w:val="font101"/>
    <w:basedOn w:val="a0"/>
    <w:qFormat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112">
    <w:name w:val="font112"/>
    <w:basedOn w:val="a0"/>
    <w:qFormat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/>
      <w:color w:val="00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4AF08-DE94-48E3-92A9-FF116E6F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32</Pages>
  <Words>3024</Words>
  <Characters>17243</Characters>
  <Application>Microsoft Office Word</Application>
  <DocSecurity>0</DocSecurity>
  <Lines>143</Lines>
  <Paragraphs>40</Paragraphs>
  <ScaleCrop>false</ScaleCrop>
  <Company>Microsoft</Company>
  <LinksUpToDate>false</LinksUpToDate>
  <CharactersWithSpaces>20227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mq</cp:lastModifiedBy>
  <cp:revision>17</cp:revision>
  <cp:lastPrinted>2025-03-24T05:38:00Z</cp:lastPrinted>
  <dcterms:created xsi:type="dcterms:W3CDTF">2022-05-17T08:12:00Z</dcterms:created>
  <dcterms:modified xsi:type="dcterms:W3CDTF">2025-08-23T11:48:00Z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31254298F5D8475F82AACD3B8DB20BB9_13</vt:lpwstr>
  </property>
  <property fmtid="{D5CDD505-2E9C-101B-9397-08002B2CF9AE}" pid="4" name="KSOTemplateDocerSaveRecord">
    <vt:lpwstr>eyJoZGlkIjoiMTEzZjliN2YxYTVlZWI0YWZiZjM1ZWIzYjEwNWY5OTUiLCJ1c2VySWQiOiIyNDQ3OTQ5NDIifQ==</vt:lpwstr>
  </property>
</Properties>
</file>