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wordWrap/>
        <w:topLinePunct w:val="0"/>
        <w:autoSpaceDE/>
        <w:autoSpaceDN/>
        <w:bidi w:val="0"/>
        <w:adjustRightInd/>
        <w:snapToGrid/>
        <w:spacing w:line="240" w:lineRule="auto"/>
        <w:ind w:left="0" w:firstLine="0" w:firstLineChars="0"/>
        <w:jc w:val="center"/>
        <w:textAlignment w:val="auto"/>
        <w:rPr>
          <w:rFonts w:ascii="宋体" w:hAnsi="宋体" w:eastAsia="宋体" w:cs="宋体"/>
          <w:b/>
          <w:bCs/>
          <w:sz w:val="52"/>
          <w:szCs w:val="52"/>
          <w:highlight w:val="none"/>
        </w:rPr>
      </w:pPr>
    </w:p>
    <w:p>
      <w:pPr>
        <w:keepNext w:val="0"/>
        <w:keepLines w:val="0"/>
        <w:pageBreakBefore w:val="0"/>
        <w:widowControl w:val="0"/>
        <w:wordWrap/>
        <w:topLinePunct w:val="0"/>
        <w:autoSpaceDE/>
        <w:autoSpaceDN/>
        <w:bidi w:val="0"/>
        <w:adjustRightInd/>
        <w:snapToGrid/>
        <w:spacing w:line="240" w:lineRule="auto"/>
        <w:ind w:left="0" w:firstLine="0" w:firstLineChars="0"/>
        <w:jc w:val="center"/>
        <w:textAlignment w:val="auto"/>
        <w:rPr>
          <w:rFonts w:ascii="宋体" w:hAnsi="宋体" w:eastAsia="宋体" w:cs="宋体"/>
          <w:b/>
          <w:bCs/>
          <w:sz w:val="52"/>
          <w:szCs w:val="52"/>
          <w:highlight w:val="none"/>
        </w:rPr>
      </w:pPr>
    </w:p>
    <w:p>
      <w:pPr>
        <w:keepNext w:val="0"/>
        <w:keepLines w:val="0"/>
        <w:pageBreakBefore w:val="0"/>
        <w:widowControl w:val="0"/>
        <w:wordWrap/>
        <w:topLinePunct w:val="0"/>
        <w:autoSpaceDE/>
        <w:autoSpaceDN/>
        <w:bidi w:val="0"/>
        <w:adjustRightInd/>
        <w:snapToGrid/>
        <w:spacing w:line="240" w:lineRule="auto"/>
        <w:ind w:left="0" w:firstLine="0" w:firstLineChars="0"/>
        <w:jc w:val="center"/>
        <w:textAlignment w:val="auto"/>
        <w:rPr>
          <w:rFonts w:ascii="宋体" w:hAnsi="宋体" w:eastAsia="宋体" w:cs="宋体"/>
          <w:b/>
          <w:bCs/>
          <w:sz w:val="52"/>
          <w:szCs w:val="52"/>
          <w:highlight w:val="none"/>
        </w:rPr>
      </w:pPr>
      <w:r>
        <w:rPr>
          <w:rFonts w:hint="eastAsia" w:ascii="宋体" w:hAnsi="宋体" w:eastAsia="宋体" w:cs="宋体"/>
          <w:b/>
          <w:bCs/>
          <w:sz w:val="52"/>
          <w:szCs w:val="52"/>
          <w:highlight w:val="none"/>
        </w:rPr>
        <w:t>北京市市级财政支出项目</w:t>
      </w:r>
    </w:p>
    <w:p>
      <w:pPr>
        <w:keepNext w:val="0"/>
        <w:keepLines w:val="0"/>
        <w:pageBreakBefore w:val="0"/>
        <w:widowControl w:val="0"/>
        <w:wordWrap/>
        <w:topLinePunct w:val="0"/>
        <w:autoSpaceDE/>
        <w:autoSpaceDN/>
        <w:bidi w:val="0"/>
        <w:adjustRightInd/>
        <w:snapToGrid/>
        <w:spacing w:line="240" w:lineRule="auto"/>
        <w:ind w:left="0" w:firstLine="0" w:firstLineChars="0"/>
        <w:jc w:val="center"/>
        <w:textAlignment w:val="auto"/>
        <w:rPr>
          <w:rFonts w:ascii="宋体" w:hAnsi="宋体" w:eastAsia="宋体" w:cs="宋体"/>
          <w:b/>
          <w:bCs/>
          <w:sz w:val="52"/>
          <w:szCs w:val="52"/>
          <w:highlight w:val="none"/>
        </w:rPr>
      </w:pPr>
      <w:r>
        <w:rPr>
          <w:rFonts w:hint="eastAsia" w:ascii="宋体" w:hAnsi="宋体" w:eastAsia="宋体" w:cs="宋体"/>
          <w:b/>
          <w:bCs/>
          <w:sz w:val="52"/>
          <w:szCs w:val="52"/>
          <w:highlight w:val="none"/>
        </w:rPr>
        <w:t>绩效评价报告</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highlight w:val="none"/>
        </w:rPr>
      </w:pPr>
    </w:p>
    <w:p>
      <w:pPr>
        <w:keepNext w:val="0"/>
        <w:keepLines w:val="0"/>
        <w:pageBreakBefore w:val="0"/>
        <w:widowControl w:val="0"/>
        <w:wordWrap/>
        <w:topLinePunct w:val="0"/>
        <w:autoSpaceDE/>
        <w:autoSpaceDN/>
        <w:bidi w:val="0"/>
        <w:adjustRightInd/>
        <w:snapToGrid/>
        <w:spacing w:line="240" w:lineRule="auto"/>
        <w:ind w:left="0" w:firstLine="0" w:firstLineChars="0"/>
        <w:textAlignment w:val="auto"/>
        <w:rPr>
          <w:rFonts w:ascii="宋体" w:hAnsi="宋体" w:eastAsia="宋体" w:cs="宋体"/>
          <w:highlight w:val="none"/>
          <w:u w:val="single"/>
        </w:rPr>
      </w:pPr>
      <w:r>
        <w:rPr>
          <w:rFonts w:hint="eastAsia" w:ascii="宋体" w:hAnsi="宋体" w:eastAsia="宋体" w:cs="宋体"/>
          <w:highlight w:val="none"/>
        </w:rPr>
        <w:t xml:space="preserve">主管部门 </w:t>
      </w:r>
      <w:r>
        <w:rPr>
          <w:rFonts w:hint="eastAsia" w:ascii="宋体" w:hAnsi="宋体" w:eastAsia="宋体" w:cs="宋体"/>
          <w:highlight w:val="none"/>
          <w:u w:val="single"/>
        </w:rPr>
        <w:t xml:space="preserve"> 北京市城市管理委员会                      </w:t>
      </w:r>
    </w:p>
    <w:p>
      <w:pPr>
        <w:keepNext w:val="0"/>
        <w:keepLines w:val="0"/>
        <w:pageBreakBefore w:val="0"/>
        <w:widowControl w:val="0"/>
        <w:wordWrap/>
        <w:topLinePunct w:val="0"/>
        <w:autoSpaceDE/>
        <w:autoSpaceDN/>
        <w:bidi w:val="0"/>
        <w:adjustRightInd/>
        <w:snapToGrid/>
        <w:spacing w:line="240" w:lineRule="auto"/>
        <w:ind w:left="0" w:firstLine="0" w:firstLineChars="0"/>
        <w:textAlignment w:val="auto"/>
        <w:rPr>
          <w:rFonts w:ascii="宋体" w:hAnsi="宋体" w:eastAsia="宋体" w:cs="宋体"/>
          <w:highlight w:val="none"/>
          <w:u w:val="single"/>
        </w:rPr>
      </w:pPr>
      <w:r>
        <w:rPr>
          <w:rFonts w:hint="eastAsia" w:ascii="宋体" w:hAnsi="宋体" w:eastAsia="宋体" w:cs="宋体"/>
          <w:highlight w:val="none"/>
        </w:rPr>
        <w:t xml:space="preserve">项目单位 </w:t>
      </w:r>
      <w:r>
        <w:rPr>
          <w:rFonts w:hint="eastAsia" w:ascii="宋体" w:hAnsi="宋体" w:eastAsia="宋体" w:cs="宋体"/>
          <w:highlight w:val="none"/>
          <w:u w:val="single"/>
        </w:rPr>
        <w:t xml:space="preserve"> 北京市环境卫生管理事务中心                </w:t>
      </w:r>
    </w:p>
    <w:p>
      <w:pPr>
        <w:keepNext w:val="0"/>
        <w:keepLines w:val="0"/>
        <w:pageBreakBefore w:val="0"/>
        <w:widowControl w:val="0"/>
        <w:wordWrap/>
        <w:topLinePunct w:val="0"/>
        <w:autoSpaceDE/>
        <w:autoSpaceDN/>
        <w:bidi w:val="0"/>
        <w:adjustRightInd/>
        <w:snapToGrid/>
        <w:spacing w:line="240" w:lineRule="auto"/>
        <w:ind w:left="0" w:hanging="1600" w:hangingChars="500"/>
        <w:textAlignment w:val="auto"/>
        <w:rPr>
          <w:rFonts w:ascii="宋体" w:hAnsi="宋体" w:eastAsia="宋体" w:cs="宋体"/>
          <w:highlight w:val="none"/>
          <w:u w:val="single"/>
        </w:rPr>
      </w:pPr>
      <w:r>
        <w:rPr>
          <w:rFonts w:hint="eastAsia" w:ascii="宋体" w:hAnsi="宋体" w:eastAsia="宋体" w:cs="宋体"/>
          <w:highlight w:val="none"/>
        </w:rPr>
        <w:t xml:space="preserve">项目名称 </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2024年北京市环境卫生管理事务中心等级保护测评服务                      </w:t>
      </w:r>
      <w:r>
        <w:rPr>
          <w:rFonts w:hint="eastAsia" w:ascii="宋体" w:hAnsi="宋体" w:eastAsia="宋体" w:cs="宋体"/>
          <w:highlight w:val="none"/>
          <w:u w:val="single"/>
        </w:rPr>
        <w:t xml:space="preserve">            </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highlight w:val="none"/>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highlight w:val="none"/>
        </w:rPr>
      </w:pPr>
    </w:p>
    <w:p>
      <w:pPr>
        <w:keepNext w:val="0"/>
        <w:keepLines w:val="0"/>
        <w:pageBreakBefore w:val="0"/>
        <w:widowControl w:val="0"/>
        <w:wordWrap/>
        <w:topLinePunct w:val="0"/>
        <w:autoSpaceDE/>
        <w:autoSpaceDN/>
        <w:bidi w:val="0"/>
        <w:adjustRightInd/>
        <w:snapToGrid/>
        <w:spacing w:line="240" w:lineRule="auto"/>
        <w:ind w:left="0" w:firstLine="0" w:firstLineChars="0"/>
        <w:jc w:val="center"/>
        <w:textAlignment w:val="auto"/>
        <w:rPr>
          <w:rFonts w:ascii="黑体" w:hAnsi="黑体" w:eastAsia="黑体" w:cs="黑体"/>
          <w:highlight w:val="none"/>
        </w:rPr>
      </w:pPr>
      <w:r>
        <w:rPr>
          <w:rFonts w:hint="eastAsia" w:ascii="黑体" w:hAnsi="黑体" w:eastAsia="黑体" w:cs="黑体"/>
          <w:highlight w:val="none"/>
        </w:rPr>
        <w:t>北京市城市管理委员会</w:t>
      </w:r>
    </w:p>
    <w:p>
      <w:pPr>
        <w:keepNext w:val="0"/>
        <w:keepLines w:val="0"/>
        <w:pageBreakBefore w:val="0"/>
        <w:widowControl w:val="0"/>
        <w:wordWrap/>
        <w:topLinePunct w:val="0"/>
        <w:autoSpaceDE/>
        <w:autoSpaceDN/>
        <w:bidi w:val="0"/>
        <w:adjustRightInd/>
        <w:snapToGrid/>
        <w:spacing w:line="240" w:lineRule="auto"/>
        <w:ind w:left="0" w:firstLine="0" w:firstLineChars="0"/>
        <w:jc w:val="center"/>
        <w:textAlignment w:val="auto"/>
        <w:rPr>
          <w:rFonts w:ascii="黑体" w:hAnsi="黑体" w:eastAsia="黑体" w:cs="黑体"/>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720" w:num="1"/>
          <w:docGrid w:type="lines" w:linePitch="312" w:charSpace="0"/>
        </w:sectPr>
      </w:pPr>
      <w:r>
        <w:rPr>
          <w:rFonts w:hint="eastAsia" w:ascii="黑体" w:hAnsi="黑体" w:eastAsia="黑体" w:cs="黑体"/>
          <w:highlight w:val="none"/>
          <w:lang w:eastAsia="zh-CN"/>
        </w:rPr>
        <w:t>二〇</w:t>
      </w:r>
      <w:r>
        <w:rPr>
          <w:rFonts w:hint="eastAsia" w:ascii="黑体" w:hAnsi="黑体" w:eastAsia="黑体" w:cs="黑体"/>
          <w:highlight w:val="none"/>
        </w:rPr>
        <w:t>二</w:t>
      </w:r>
      <w:r>
        <w:rPr>
          <w:rFonts w:hint="eastAsia" w:ascii="黑体" w:hAnsi="黑体" w:eastAsia="黑体" w:cs="黑体"/>
          <w:highlight w:val="none"/>
          <w:lang w:val="en-US" w:eastAsia="zh-CN"/>
        </w:rPr>
        <w:t>五</w:t>
      </w:r>
      <w:r>
        <w:rPr>
          <w:rFonts w:hint="eastAsia" w:ascii="黑体" w:hAnsi="黑体" w:eastAsia="黑体" w:cs="黑体"/>
          <w:highlight w:val="none"/>
        </w:rPr>
        <w:t>年</w:t>
      </w:r>
      <w:r>
        <w:rPr>
          <w:rFonts w:hint="eastAsia" w:ascii="黑体" w:hAnsi="黑体" w:eastAsia="黑体" w:cs="黑体"/>
          <w:highlight w:val="none"/>
          <w:lang w:val="en-US" w:eastAsia="zh-CN"/>
        </w:rPr>
        <w:t>四</w:t>
      </w:r>
      <w:r>
        <w:rPr>
          <w:rFonts w:hint="eastAsia" w:ascii="黑体" w:hAnsi="黑体" w:eastAsia="黑体" w:cs="黑体"/>
          <w:highlight w:val="none"/>
        </w:rPr>
        <w:t>月</w:t>
      </w:r>
    </w:p>
    <w:p>
      <w:pPr>
        <w:ind w:firstLine="0" w:firstLineChars="0"/>
        <w:jc w:val="center"/>
        <w:rPr>
          <w:b/>
          <w:bCs/>
          <w:highlight w:val="none"/>
        </w:rPr>
      </w:pPr>
      <w:r>
        <w:rPr>
          <w:rFonts w:hint="eastAsia"/>
          <w:b/>
          <w:bCs/>
          <w:sz w:val="44"/>
          <w:szCs w:val="44"/>
          <w:highlight w:val="none"/>
        </w:rPr>
        <w:t>目录</w:t>
      </w:r>
    </w:p>
    <w:p>
      <w:pPr>
        <w:pStyle w:val="11"/>
        <w:tabs>
          <w:tab w:val="right" w:leader="dot" w:pos="8306"/>
        </w:tabs>
      </w:pPr>
      <w:r>
        <w:rPr>
          <w:rFonts w:hint="eastAsia" w:ascii="宋体" w:hAnsi="宋体" w:eastAsia="宋体" w:cs="宋体"/>
          <w:sz w:val="44"/>
          <w:szCs w:val="44"/>
          <w:highlight w:val="none"/>
        </w:rPr>
        <w:fldChar w:fldCharType="begin"/>
      </w:r>
      <w:r>
        <w:rPr>
          <w:rFonts w:hint="eastAsia" w:ascii="宋体" w:hAnsi="宋体" w:eastAsia="宋体" w:cs="宋体"/>
          <w:sz w:val="44"/>
          <w:szCs w:val="44"/>
          <w:highlight w:val="none"/>
        </w:rPr>
        <w:instrText xml:space="preserve">TOC \o "1-2" \h \u </w:instrText>
      </w:r>
      <w:r>
        <w:rPr>
          <w:rFonts w:hint="eastAsia" w:ascii="宋体" w:hAnsi="宋体" w:eastAsia="宋体" w:cs="宋体"/>
          <w:sz w:val="44"/>
          <w:szCs w:val="44"/>
          <w:highlight w:val="none"/>
        </w:rPr>
        <w:fldChar w:fldCharType="separate"/>
      </w:r>
      <w:r>
        <w:rPr>
          <w:rFonts w:hint="eastAsia" w:ascii="宋体" w:hAnsi="宋体" w:eastAsia="宋体" w:cs="宋体"/>
          <w:szCs w:val="44"/>
          <w:highlight w:val="none"/>
        </w:rPr>
        <w:fldChar w:fldCharType="begin"/>
      </w:r>
      <w:r>
        <w:rPr>
          <w:rFonts w:hint="eastAsia" w:ascii="宋体" w:hAnsi="宋体" w:eastAsia="宋体" w:cs="宋体"/>
          <w:szCs w:val="44"/>
          <w:highlight w:val="none"/>
        </w:rPr>
        <w:instrText xml:space="preserve"> HYPERLINK \l _Toc27434 </w:instrText>
      </w:r>
      <w:r>
        <w:rPr>
          <w:rFonts w:hint="eastAsia" w:ascii="宋体" w:hAnsi="宋体" w:eastAsia="宋体" w:cs="宋体"/>
          <w:szCs w:val="44"/>
          <w:highlight w:val="none"/>
        </w:rPr>
        <w:fldChar w:fldCharType="separate"/>
      </w:r>
      <w:r>
        <w:rPr>
          <w:rFonts w:hint="eastAsia"/>
          <w:highlight w:val="none"/>
        </w:rPr>
        <w:t>一、基本情况</w:t>
      </w:r>
      <w:r>
        <w:tab/>
      </w:r>
      <w:r>
        <w:fldChar w:fldCharType="begin"/>
      </w:r>
      <w:r>
        <w:instrText xml:space="preserve"> PAGEREF _Toc27434 \h </w:instrText>
      </w:r>
      <w:r>
        <w:fldChar w:fldCharType="separate"/>
      </w:r>
      <w:r>
        <w:t>1</w:t>
      </w:r>
      <w:r>
        <w:fldChar w:fldCharType="end"/>
      </w:r>
      <w:r>
        <w:rPr>
          <w:rFonts w:hint="eastAsia" w:ascii="宋体" w:hAnsi="宋体" w:eastAsia="宋体" w:cs="宋体"/>
          <w:szCs w:val="44"/>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_Toc27082 </w:instrText>
      </w:r>
      <w:r>
        <w:rPr>
          <w:rFonts w:hint="eastAsia"/>
          <w:highlight w:val="none"/>
        </w:rPr>
        <w:fldChar w:fldCharType="separate"/>
      </w:r>
      <w:r>
        <w:rPr>
          <w:rFonts w:hint="eastAsia"/>
          <w:highlight w:val="none"/>
        </w:rPr>
        <w:t>（一）项目概况</w:t>
      </w:r>
      <w:r>
        <w:tab/>
      </w:r>
      <w:r>
        <w:fldChar w:fldCharType="begin"/>
      </w:r>
      <w:r>
        <w:instrText xml:space="preserve"> PAGEREF _Toc27082 \h </w:instrText>
      </w:r>
      <w:r>
        <w:fldChar w:fldCharType="separate"/>
      </w:r>
      <w:r>
        <w:t>1</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_Toc29267 </w:instrText>
      </w:r>
      <w:r>
        <w:rPr>
          <w:rFonts w:hint="eastAsia"/>
          <w:highlight w:val="none"/>
        </w:rPr>
        <w:fldChar w:fldCharType="separate"/>
      </w:r>
      <w:r>
        <w:rPr>
          <w:rFonts w:hint="eastAsia"/>
          <w:highlight w:val="none"/>
        </w:rPr>
        <w:t>（二）项目绩效目标</w:t>
      </w:r>
      <w:r>
        <w:tab/>
      </w:r>
      <w:r>
        <w:fldChar w:fldCharType="begin"/>
      </w:r>
      <w:r>
        <w:instrText xml:space="preserve"> PAGEREF _Toc29267 \h </w:instrText>
      </w:r>
      <w:r>
        <w:fldChar w:fldCharType="separate"/>
      </w:r>
      <w:r>
        <w:t>3</w:t>
      </w:r>
      <w:r>
        <w:fldChar w:fldCharType="end"/>
      </w:r>
      <w:r>
        <w:rPr>
          <w:rFonts w:hint="eastAsia"/>
          <w:highlight w:val="none"/>
        </w:rPr>
        <w:fldChar w:fldCharType="end"/>
      </w:r>
    </w:p>
    <w:p>
      <w:pPr>
        <w:pStyle w:val="11"/>
        <w:tabs>
          <w:tab w:val="right" w:leader="dot" w:pos="8306"/>
        </w:tabs>
      </w:pPr>
      <w:r>
        <w:rPr>
          <w:rFonts w:hint="eastAsia"/>
          <w:highlight w:val="none"/>
        </w:rPr>
        <w:fldChar w:fldCharType="begin"/>
      </w:r>
      <w:r>
        <w:rPr>
          <w:rFonts w:hint="eastAsia"/>
          <w:highlight w:val="none"/>
        </w:rPr>
        <w:instrText xml:space="preserve"> HYPERLINK \l _Toc27562 </w:instrText>
      </w:r>
      <w:r>
        <w:rPr>
          <w:rFonts w:hint="eastAsia"/>
          <w:highlight w:val="none"/>
        </w:rPr>
        <w:fldChar w:fldCharType="separate"/>
      </w:r>
      <w:r>
        <w:rPr>
          <w:rFonts w:hint="eastAsia"/>
          <w:highlight w:val="none"/>
        </w:rPr>
        <w:t>二、绩效评价工作开展情况</w:t>
      </w:r>
      <w:r>
        <w:tab/>
      </w:r>
      <w:r>
        <w:fldChar w:fldCharType="begin"/>
      </w:r>
      <w:r>
        <w:instrText xml:space="preserve"> PAGEREF _Toc27562 \h </w:instrText>
      </w:r>
      <w:r>
        <w:fldChar w:fldCharType="separate"/>
      </w:r>
      <w:r>
        <w:t>4</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_Toc9792 </w:instrText>
      </w:r>
      <w:r>
        <w:rPr>
          <w:rFonts w:hint="eastAsia"/>
          <w:highlight w:val="none"/>
        </w:rPr>
        <w:fldChar w:fldCharType="separate"/>
      </w:r>
      <w:r>
        <w:rPr>
          <w:rFonts w:hint="eastAsia"/>
          <w:highlight w:val="none"/>
        </w:rPr>
        <w:t>（一）绩效评价目的、对象和范围</w:t>
      </w:r>
      <w:r>
        <w:tab/>
      </w:r>
      <w:r>
        <w:fldChar w:fldCharType="begin"/>
      </w:r>
      <w:r>
        <w:instrText xml:space="preserve"> PAGEREF _Toc9792 \h </w:instrText>
      </w:r>
      <w:r>
        <w:fldChar w:fldCharType="separate"/>
      </w:r>
      <w:r>
        <w:t>4</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_Toc9306 </w:instrText>
      </w:r>
      <w:r>
        <w:rPr>
          <w:rFonts w:hint="eastAsia"/>
          <w:highlight w:val="none"/>
        </w:rPr>
        <w:fldChar w:fldCharType="separate"/>
      </w:r>
      <w:r>
        <w:rPr>
          <w:rFonts w:hint="eastAsia"/>
          <w:highlight w:val="none"/>
        </w:rPr>
        <w:t>（二）绩效评价原则、评价方法、评价指标体系</w:t>
      </w:r>
      <w:r>
        <w:tab/>
      </w:r>
      <w:r>
        <w:fldChar w:fldCharType="begin"/>
      </w:r>
      <w:r>
        <w:instrText xml:space="preserve"> PAGEREF _Toc9306 \h </w:instrText>
      </w:r>
      <w:r>
        <w:fldChar w:fldCharType="separate"/>
      </w:r>
      <w:r>
        <w:t>4</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_Toc31598 </w:instrText>
      </w:r>
      <w:r>
        <w:rPr>
          <w:rFonts w:hint="eastAsia"/>
          <w:highlight w:val="none"/>
        </w:rPr>
        <w:fldChar w:fldCharType="separate"/>
      </w:r>
      <w:r>
        <w:rPr>
          <w:rFonts w:hint="eastAsia"/>
          <w:highlight w:val="none"/>
        </w:rPr>
        <w:t>（三）绩效评价工作过程</w:t>
      </w:r>
      <w:r>
        <w:tab/>
      </w:r>
      <w:r>
        <w:fldChar w:fldCharType="begin"/>
      </w:r>
      <w:r>
        <w:instrText xml:space="preserve"> PAGEREF _Toc31598 \h </w:instrText>
      </w:r>
      <w:r>
        <w:fldChar w:fldCharType="separate"/>
      </w:r>
      <w:r>
        <w:t>6</w:t>
      </w:r>
      <w:r>
        <w:fldChar w:fldCharType="end"/>
      </w:r>
      <w:r>
        <w:rPr>
          <w:rFonts w:hint="eastAsia"/>
          <w:highlight w:val="none"/>
        </w:rPr>
        <w:fldChar w:fldCharType="end"/>
      </w:r>
    </w:p>
    <w:p>
      <w:pPr>
        <w:pStyle w:val="11"/>
        <w:tabs>
          <w:tab w:val="right" w:leader="dot" w:pos="8306"/>
        </w:tabs>
      </w:pPr>
      <w:r>
        <w:rPr>
          <w:rFonts w:hint="eastAsia"/>
          <w:highlight w:val="none"/>
        </w:rPr>
        <w:fldChar w:fldCharType="begin"/>
      </w:r>
      <w:r>
        <w:rPr>
          <w:rFonts w:hint="eastAsia"/>
          <w:highlight w:val="none"/>
        </w:rPr>
        <w:instrText xml:space="preserve"> HYPERLINK \l _Toc12603 </w:instrText>
      </w:r>
      <w:r>
        <w:rPr>
          <w:rFonts w:hint="eastAsia"/>
          <w:highlight w:val="none"/>
        </w:rPr>
        <w:fldChar w:fldCharType="separate"/>
      </w:r>
      <w:r>
        <w:rPr>
          <w:rFonts w:hint="eastAsia"/>
          <w:highlight w:val="none"/>
        </w:rPr>
        <w:t>三、综合评价情况及评价结论</w:t>
      </w:r>
      <w:r>
        <w:tab/>
      </w:r>
      <w:r>
        <w:fldChar w:fldCharType="begin"/>
      </w:r>
      <w:r>
        <w:instrText xml:space="preserve"> PAGEREF _Toc12603 \h </w:instrText>
      </w:r>
      <w:r>
        <w:fldChar w:fldCharType="separate"/>
      </w:r>
      <w:r>
        <w:t>8</w:t>
      </w:r>
      <w:r>
        <w:fldChar w:fldCharType="end"/>
      </w:r>
      <w:r>
        <w:rPr>
          <w:rFonts w:hint="eastAsia"/>
          <w:highlight w:val="none"/>
        </w:rPr>
        <w:fldChar w:fldCharType="end"/>
      </w:r>
    </w:p>
    <w:p>
      <w:pPr>
        <w:pStyle w:val="11"/>
        <w:tabs>
          <w:tab w:val="right" w:leader="dot" w:pos="8306"/>
        </w:tabs>
      </w:pPr>
      <w:r>
        <w:rPr>
          <w:rFonts w:hint="eastAsia"/>
          <w:highlight w:val="none"/>
        </w:rPr>
        <w:fldChar w:fldCharType="begin"/>
      </w:r>
      <w:r>
        <w:rPr>
          <w:rFonts w:hint="eastAsia"/>
          <w:highlight w:val="none"/>
        </w:rPr>
        <w:instrText xml:space="preserve"> HYPERLINK \l _Toc4389 </w:instrText>
      </w:r>
      <w:r>
        <w:rPr>
          <w:rFonts w:hint="eastAsia"/>
          <w:highlight w:val="none"/>
        </w:rPr>
        <w:fldChar w:fldCharType="separate"/>
      </w:r>
      <w:r>
        <w:rPr>
          <w:rFonts w:hint="eastAsia"/>
          <w:highlight w:val="none"/>
        </w:rPr>
        <w:t>四、绩效评价指标分析</w:t>
      </w:r>
      <w:r>
        <w:tab/>
      </w:r>
      <w:r>
        <w:fldChar w:fldCharType="begin"/>
      </w:r>
      <w:r>
        <w:instrText xml:space="preserve"> PAGEREF _Toc4389 \h </w:instrText>
      </w:r>
      <w:r>
        <w:fldChar w:fldCharType="separate"/>
      </w:r>
      <w:r>
        <w:t>9</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_Toc5664 </w:instrText>
      </w:r>
      <w:r>
        <w:rPr>
          <w:rFonts w:hint="eastAsia"/>
          <w:highlight w:val="none"/>
        </w:rPr>
        <w:fldChar w:fldCharType="separate"/>
      </w:r>
      <w:r>
        <w:rPr>
          <w:rFonts w:hint="eastAsia"/>
          <w:highlight w:val="none"/>
        </w:rPr>
        <w:t>（一）项目决策情况</w:t>
      </w:r>
      <w:r>
        <w:tab/>
      </w:r>
      <w:r>
        <w:fldChar w:fldCharType="begin"/>
      </w:r>
      <w:r>
        <w:instrText xml:space="preserve"> PAGEREF _Toc5664 \h </w:instrText>
      </w:r>
      <w:r>
        <w:fldChar w:fldCharType="separate"/>
      </w:r>
      <w:r>
        <w:t>9</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_Toc24310 </w:instrText>
      </w:r>
      <w:r>
        <w:rPr>
          <w:rFonts w:hint="eastAsia"/>
          <w:highlight w:val="none"/>
        </w:rPr>
        <w:fldChar w:fldCharType="separate"/>
      </w:r>
      <w:r>
        <w:rPr>
          <w:rFonts w:hint="eastAsia"/>
          <w:highlight w:val="none"/>
        </w:rPr>
        <w:t>（二）项目过程情况</w:t>
      </w:r>
      <w:r>
        <w:tab/>
      </w:r>
      <w:r>
        <w:fldChar w:fldCharType="begin"/>
      </w:r>
      <w:r>
        <w:instrText xml:space="preserve"> PAGEREF _Toc24310 \h </w:instrText>
      </w:r>
      <w:r>
        <w:fldChar w:fldCharType="separate"/>
      </w:r>
      <w:r>
        <w:t>11</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_Toc27476 </w:instrText>
      </w:r>
      <w:r>
        <w:rPr>
          <w:rFonts w:hint="eastAsia"/>
          <w:highlight w:val="none"/>
        </w:rPr>
        <w:fldChar w:fldCharType="separate"/>
      </w:r>
      <w:r>
        <w:rPr>
          <w:rFonts w:hint="eastAsia"/>
          <w:highlight w:val="none"/>
        </w:rPr>
        <w:t>（三）项目产出情况</w:t>
      </w:r>
      <w:r>
        <w:tab/>
      </w:r>
      <w:r>
        <w:fldChar w:fldCharType="begin"/>
      </w:r>
      <w:r>
        <w:instrText xml:space="preserve"> PAGEREF _Toc27476 \h </w:instrText>
      </w:r>
      <w:r>
        <w:fldChar w:fldCharType="separate"/>
      </w:r>
      <w:r>
        <w:t>12</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_Toc1806 </w:instrText>
      </w:r>
      <w:r>
        <w:rPr>
          <w:rFonts w:hint="eastAsia"/>
          <w:highlight w:val="none"/>
        </w:rPr>
        <w:fldChar w:fldCharType="separate"/>
      </w:r>
      <w:r>
        <w:rPr>
          <w:rFonts w:hint="eastAsia"/>
          <w:highlight w:val="none"/>
        </w:rPr>
        <w:t>（四）项目效益情况</w:t>
      </w:r>
      <w:r>
        <w:tab/>
      </w:r>
      <w:r>
        <w:fldChar w:fldCharType="begin"/>
      </w:r>
      <w:r>
        <w:instrText xml:space="preserve"> PAGEREF _Toc1806 \h </w:instrText>
      </w:r>
      <w:r>
        <w:fldChar w:fldCharType="separate"/>
      </w:r>
      <w:r>
        <w:t>13</w:t>
      </w:r>
      <w:r>
        <w:fldChar w:fldCharType="end"/>
      </w:r>
      <w:r>
        <w:rPr>
          <w:rFonts w:hint="eastAsia"/>
          <w:highlight w:val="none"/>
        </w:rPr>
        <w:fldChar w:fldCharType="end"/>
      </w:r>
    </w:p>
    <w:p>
      <w:pPr>
        <w:pStyle w:val="11"/>
        <w:tabs>
          <w:tab w:val="right" w:leader="dot" w:pos="8306"/>
        </w:tabs>
      </w:pPr>
      <w:r>
        <w:rPr>
          <w:rFonts w:hint="eastAsia"/>
          <w:highlight w:val="none"/>
        </w:rPr>
        <w:fldChar w:fldCharType="begin"/>
      </w:r>
      <w:r>
        <w:rPr>
          <w:rFonts w:hint="eastAsia"/>
          <w:highlight w:val="none"/>
        </w:rPr>
        <w:instrText xml:space="preserve"> HYPERLINK \l _Toc20754 </w:instrText>
      </w:r>
      <w:r>
        <w:rPr>
          <w:rFonts w:hint="eastAsia"/>
          <w:highlight w:val="none"/>
        </w:rPr>
        <w:fldChar w:fldCharType="separate"/>
      </w:r>
      <w:r>
        <w:rPr>
          <w:rFonts w:hint="eastAsia"/>
          <w:highlight w:val="none"/>
        </w:rPr>
        <w:t>五、主要经验及做法、存在的问题及原因分析</w:t>
      </w:r>
      <w:r>
        <w:tab/>
      </w:r>
      <w:r>
        <w:fldChar w:fldCharType="begin"/>
      </w:r>
      <w:r>
        <w:instrText xml:space="preserve"> PAGEREF _Toc20754 \h </w:instrText>
      </w:r>
      <w:r>
        <w:fldChar w:fldCharType="separate"/>
      </w:r>
      <w:r>
        <w:t>13</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_Toc15451 </w:instrText>
      </w:r>
      <w:r>
        <w:rPr>
          <w:rFonts w:hint="eastAsia"/>
          <w:highlight w:val="none"/>
        </w:rPr>
        <w:fldChar w:fldCharType="separate"/>
      </w:r>
      <w:r>
        <w:rPr>
          <w:rFonts w:hint="eastAsia"/>
          <w:highlight w:val="none"/>
        </w:rPr>
        <w:t>（一）主要经验及做法</w:t>
      </w:r>
      <w:r>
        <w:tab/>
      </w:r>
      <w:r>
        <w:fldChar w:fldCharType="begin"/>
      </w:r>
      <w:r>
        <w:instrText xml:space="preserve"> PAGEREF _Toc15451 \h </w:instrText>
      </w:r>
      <w:r>
        <w:fldChar w:fldCharType="separate"/>
      </w:r>
      <w:r>
        <w:t>13</w:t>
      </w:r>
      <w:r>
        <w:fldChar w:fldCharType="end"/>
      </w:r>
      <w:r>
        <w:rPr>
          <w:rFonts w:hint="eastAsia"/>
          <w:highlight w:val="none"/>
        </w:rPr>
        <w:fldChar w:fldCharType="end"/>
      </w:r>
    </w:p>
    <w:p>
      <w:pPr>
        <w:pStyle w:val="12"/>
        <w:tabs>
          <w:tab w:val="right" w:leader="dot" w:pos="8306"/>
        </w:tabs>
      </w:pPr>
      <w:r>
        <w:rPr>
          <w:rFonts w:hint="eastAsia"/>
          <w:highlight w:val="none"/>
        </w:rPr>
        <w:fldChar w:fldCharType="begin"/>
      </w:r>
      <w:r>
        <w:rPr>
          <w:rFonts w:hint="eastAsia"/>
          <w:highlight w:val="none"/>
        </w:rPr>
        <w:instrText xml:space="preserve"> HYPERLINK \l _Toc31665 </w:instrText>
      </w:r>
      <w:r>
        <w:rPr>
          <w:rFonts w:hint="eastAsia"/>
          <w:highlight w:val="none"/>
        </w:rPr>
        <w:fldChar w:fldCharType="separate"/>
      </w:r>
      <w:r>
        <w:rPr>
          <w:rFonts w:hint="eastAsia"/>
          <w:highlight w:val="none"/>
        </w:rPr>
        <w:t>（</w:t>
      </w:r>
      <w:r>
        <w:rPr>
          <w:rFonts w:hint="eastAsia"/>
          <w:highlight w:val="none"/>
          <w:lang w:val="en-US" w:eastAsia="zh-CN"/>
        </w:rPr>
        <w:t>二</w:t>
      </w:r>
      <w:r>
        <w:rPr>
          <w:rFonts w:hint="eastAsia"/>
          <w:highlight w:val="none"/>
        </w:rPr>
        <w:t>）存在的问题及原因分析</w:t>
      </w:r>
      <w:r>
        <w:tab/>
      </w:r>
      <w:r>
        <w:fldChar w:fldCharType="begin"/>
      </w:r>
      <w:r>
        <w:instrText xml:space="preserve"> PAGEREF _Toc31665 \h </w:instrText>
      </w:r>
      <w:r>
        <w:fldChar w:fldCharType="separate"/>
      </w:r>
      <w:r>
        <w:t>14</w:t>
      </w:r>
      <w:r>
        <w:fldChar w:fldCharType="end"/>
      </w:r>
      <w:r>
        <w:rPr>
          <w:rFonts w:hint="eastAsia"/>
          <w:highlight w:val="none"/>
        </w:rPr>
        <w:fldChar w:fldCharType="end"/>
      </w:r>
    </w:p>
    <w:p>
      <w:pPr>
        <w:pStyle w:val="11"/>
        <w:tabs>
          <w:tab w:val="right" w:leader="dot" w:pos="8306"/>
        </w:tabs>
      </w:pPr>
      <w:r>
        <w:rPr>
          <w:rFonts w:hint="eastAsia"/>
          <w:highlight w:val="none"/>
        </w:rPr>
        <w:fldChar w:fldCharType="begin"/>
      </w:r>
      <w:r>
        <w:rPr>
          <w:rFonts w:hint="eastAsia"/>
          <w:highlight w:val="none"/>
        </w:rPr>
        <w:instrText xml:space="preserve"> HYPERLINK \l _Toc25233 </w:instrText>
      </w:r>
      <w:r>
        <w:rPr>
          <w:rFonts w:hint="eastAsia"/>
          <w:highlight w:val="none"/>
        </w:rPr>
        <w:fldChar w:fldCharType="separate"/>
      </w:r>
      <w:r>
        <w:rPr>
          <w:rFonts w:hint="eastAsia"/>
          <w:highlight w:val="none"/>
        </w:rPr>
        <w:t>六、有关建议</w:t>
      </w:r>
      <w:r>
        <w:tab/>
      </w:r>
      <w:r>
        <w:fldChar w:fldCharType="begin"/>
      </w:r>
      <w:r>
        <w:instrText xml:space="preserve"> PAGEREF _Toc25233 \h </w:instrText>
      </w:r>
      <w:r>
        <w:fldChar w:fldCharType="separate"/>
      </w:r>
      <w:r>
        <w:t>14</w:t>
      </w:r>
      <w:r>
        <w:fldChar w:fldCharType="end"/>
      </w:r>
      <w:r>
        <w:rPr>
          <w:rFonts w:hint="eastAsia"/>
          <w:highlight w:val="none"/>
        </w:rPr>
        <w:fldChar w:fldCharType="end"/>
      </w:r>
    </w:p>
    <w:p>
      <w:pPr>
        <w:pStyle w:val="11"/>
        <w:tabs>
          <w:tab w:val="right" w:leader="dot" w:pos="8306"/>
        </w:tabs>
      </w:pPr>
      <w:r>
        <w:rPr>
          <w:rFonts w:hint="eastAsia"/>
          <w:highlight w:val="none"/>
        </w:rPr>
        <w:fldChar w:fldCharType="begin"/>
      </w:r>
      <w:r>
        <w:rPr>
          <w:rFonts w:hint="eastAsia"/>
          <w:highlight w:val="none"/>
        </w:rPr>
        <w:instrText xml:space="preserve"> HYPERLINK \l _Toc1532 </w:instrText>
      </w:r>
      <w:r>
        <w:rPr>
          <w:rFonts w:hint="eastAsia"/>
          <w:highlight w:val="none"/>
        </w:rPr>
        <w:fldChar w:fldCharType="separate"/>
      </w:r>
      <w:r>
        <w:rPr>
          <w:rFonts w:hint="eastAsia"/>
          <w:highlight w:val="none"/>
        </w:rPr>
        <w:t>七、其他需要说明的问题</w:t>
      </w:r>
      <w:r>
        <w:tab/>
      </w:r>
      <w:r>
        <w:fldChar w:fldCharType="begin"/>
      </w:r>
      <w:r>
        <w:instrText xml:space="preserve"> PAGEREF _Toc1532 \h </w:instrText>
      </w:r>
      <w:r>
        <w:fldChar w:fldCharType="separate"/>
      </w:r>
      <w:r>
        <w:t>15</w:t>
      </w:r>
      <w:r>
        <w:fldChar w:fldCharType="end"/>
      </w:r>
      <w:r>
        <w:rPr>
          <w:rFonts w:hint="eastAsia"/>
          <w:highlight w:val="none"/>
        </w:rPr>
        <w:fldChar w:fldCharType="end"/>
      </w:r>
    </w:p>
    <w:p>
      <w:pPr>
        <w:pStyle w:val="11"/>
        <w:tabs>
          <w:tab w:val="right" w:leader="dot" w:pos="8306"/>
        </w:tabs>
      </w:pPr>
      <w:r>
        <w:rPr>
          <w:rFonts w:hint="eastAsia"/>
          <w:highlight w:val="none"/>
        </w:rPr>
        <w:fldChar w:fldCharType="begin"/>
      </w:r>
      <w:r>
        <w:rPr>
          <w:rFonts w:hint="eastAsia"/>
          <w:highlight w:val="none"/>
        </w:rPr>
        <w:instrText xml:space="preserve"> HYPERLINK \l _Toc32651 </w:instrText>
      </w:r>
      <w:r>
        <w:rPr>
          <w:rFonts w:hint="eastAsia"/>
          <w:highlight w:val="none"/>
        </w:rPr>
        <w:fldChar w:fldCharType="separate"/>
      </w:r>
      <w:r>
        <w:rPr>
          <w:rFonts w:hint="eastAsia"/>
          <w:highlight w:val="none"/>
        </w:rPr>
        <w:t>八、附件</w:t>
      </w:r>
      <w:r>
        <w:tab/>
      </w:r>
      <w:r>
        <w:fldChar w:fldCharType="begin"/>
      </w:r>
      <w:r>
        <w:instrText xml:space="preserve"> PAGEREF _Toc32651 \h </w:instrText>
      </w:r>
      <w:r>
        <w:fldChar w:fldCharType="separate"/>
      </w:r>
      <w:r>
        <w:t>15</w:t>
      </w:r>
      <w:r>
        <w:fldChar w:fldCharType="end"/>
      </w:r>
      <w:r>
        <w:rPr>
          <w:rFonts w:hint="eastAsia"/>
          <w:highlight w:val="none"/>
        </w:rPr>
        <w:fldChar w:fldCharType="end"/>
      </w:r>
    </w:p>
    <w:p>
      <w:pPr>
        <w:bidi w:val="0"/>
        <w:rPr>
          <w:highlight w:val="none"/>
        </w:rPr>
      </w:pPr>
      <w:r>
        <w:rPr>
          <w:rFonts w:hint="eastAsia"/>
          <w:highlight w:val="none"/>
        </w:rPr>
        <w:fldChar w:fldCharType="end"/>
      </w:r>
    </w:p>
    <w:p>
      <w:pPr>
        <w:bidi w:val="0"/>
        <w:rPr>
          <w:highlight w:val="none"/>
        </w:rPr>
        <w:sectPr>
          <w:pgSz w:w="11906" w:h="16838"/>
          <w:pgMar w:top="1440" w:right="1800" w:bottom="1440" w:left="1800" w:header="851" w:footer="992" w:gutter="0"/>
          <w:cols w:space="425" w:num="1"/>
          <w:docGrid w:type="lines" w:linePitch="312" w:charSpace="0"/>
        </w:sectPr>
      </w:pPr>
    </w:p>
    <w:p>
      <w:pPr>
        <w:ind w:firstLine="0" w:firstLineChars="0"/>
        <w:jc w:val="center"/>
        <w:rPr>
          <w:rFonts w:ascii="宋体" w:hAnsi="宋体" w:eastAsia="宋体" w:cs="宋体"/>
          <w:b/>
          <w:bCs/>
          <w:sz w:val="44"/>
          <w:szCs w:val="44"/>
          <w:highlight w:val="none"/>
        </w:rPr>
      </w:pPr>
      <w:r>
        <w:rPr>
          <w:rFonts w:hint="eastAsia" w:ascii="宋体" w:hAnsi="宋体" w:eastAsia="宋体" w:cs="宋体"/>
          <w:b/>
          <w:bCs/>
          <w:sz w:val="44"/>
          <w:szCs w:val="44"/>
          <w:highlight w:val="none"/>
        </w:rPr>
        <w:t>北京市环境卫生管理事务中心</w:t>
      </w:r>
    </w:p>
    <w:p>
      <w:pPr>
        <w:ind w:firstLine="0" w:firstLineChars="0"/>
        <w:jc w:val="center"/>
        <w:rPr>
          <w:rFonts w:hint="eastAsia"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2024年北京市环境卫生管理事务中心</w:t>
      </w:r>
    </w:p>
    <w:p>
      <w:pPr>
        <w:ind w:firstLine="0" w:firstLineChars="0"/>
        <w:jc w:val="center"/>
        <w:rPr>
          <w:rFonts w:ascii="宋体" w:hAnsi="宋体" w:eastAsia="宋体" w:cs="宋体"/>
          <w:b/>
          <w:bCs/>
          <w:sz w:val="44"/>
          <w:szCs w:val="44"/>
          <w:highlight w:val="none"/>
        </w:rPr>
      </w:pPr>
      <w:r>
        <w:rPr>
          <w:rFonts w:hint="eastAsia" w:ascii="宋体" w:hAnsi="宋体" w:eastAsia="宋体" w:cs="宋体"/>
          <w:b/>
          <w:bCs/>
          <w:sz w:val="44"/>
          <w:szCs w:val="44"/>
          <w:highlight w:val="none"/>
          <w:lang w:val="en-US" w:eastAsia="zh-CN"/>
        </w:rPr>
        <w:t>等级保护测评服务项目</w:t>
      </w:r>
      <w:r>
        <w:rPr>
          <w:rFonts w:hint="eastAsia" w:ascii="宋体" w:hAnsi="宋体" w:eastAsia="宋体" w:cs="宋体"/>
          <w:b/>
          <w:bCs/>
          <w:sz w:val="44"/>
          <w:szCs w:val="44"/>
          <w:highlight w:val="none"/>
        </w:rPr>
        <w:t>绩效评价报告</w:t>
      </w:r>
    </w:p>
    <w:p>
      <w:pPr>
        <w:ind w:firstLine="640"/>
        <w:rPr>
          <w:highlight w:val="none"/>
        </w:rPr>
      </w:pPr>
    </w:p>
    <w:p>
      <w:pPr>
        <w:ind w:firstLine="640"/>
        <w:rPr>
          <w:highlight w:val="none"/>
        </w:rPr>
      </w:pPr>
      <w:r>
        <w:rPr>
          <w:rFonts w:hint="eastAsia"/>
          <w:highlight w:val="none"/>
        </w:rPr>
        <w:t>为深入贯彻落实《中共北京市委 北京市人民政府关于全面实施预算绩效管理的实施意见》（京发〔2019〕12号），加快建成全方位、全过程、全覆盖的预算绩效管理体系，切实增强部门支出责任和效率意识，提升财政资金使用效率和政府部门管理水平，根据《北京市项目支出绩效评价管理办法》（京财绩效〔2020〕2146号）、《北京市财政局关于开展202</w:t>
      </w:r>
      <w:r>
        <w:rPr>
          <w:rFonts w:hint="eastAsia"/>
          <w:highlight w:val="none"/>
          <w:lang w:val="en-US" w:eastAsia="zh-CN"/>
        </w:rPr>
        <w:t>5</w:t>
      </w:r>
      <w:r>
        <w:rPr>
          <w:rFonts w:hint="eastAsia"/>
          <w:highlight w:val="none"/>
        </w:rPr>
        <w:t>年预算绩效管理相关工作的函》等文件要求，北京市城市管理委员会（以下简称“市城市管理委”）成立项目绩效评价工作组，对北京市环境卫生管理事务中心</w:t>
      </w:r>
      <w:r>
        <w:rPr>
          <w:rFonts w:hint="eastAsia"/>
          <w:highlight w:val="none"/>
          <w:lang w:eastAsia="zh-CN"/>
        </w:rPr>
        <w:t>（</w:t>
      </w:r>
      <w:r>
        <w:rPr>
          <w:rFonts w:hint="eastAsia"/>
          <w:highlight w:val="none"/>
        </w:rPr>
        <w:t>以下简称“</w:t>
      </w:r>
      <w:r>
        <w:rPr>
          <w:rFonts w:hint="eastAsia"/>
          <w:highlight w:val="none"/>
          <w:lang w:val="en-US" w:eastAsia="zh-CN"/>
        </w:rPr>
        <w:t>环管中心</w:t>
      </w:r>
      <w:r>
        <w:rPr>
          <w:rFonts w:hint="eastAsia"/>
          <w:highlight w:val="none"/>
        </w:rPr>
        <w:t>”</w:t>
      </w:r>
      <w:r>
        <w:rPr>
          <w:rFonts w:hint="eastAsia"/>
          <w:highlight w:val="none"/>
          <w:lang w:eastAsia="zh-CN"/>
        </w:rPr>
        <w:t>）</w:t>
      </w:r>
      <w:r>
        <w:rPr>
          <w:rFonts w:hint="eastAsia"/>
          <w:highlight w:val="none"/>
        </w:rPr>
        <w:t>“</w:t>
      </w:r>
      <w:r>
        <w:rPr>
          <w:rFonts w:hint="eastAsia"/>
          <w:highlight w:val="none"/>
          <w:lang w:val="en-US" w:eastAsia="zh-CN"/>
        </w:rPr>
        <w:t>2024年北京市环境卫生管理事务中心等级保护测评服务</w:t>
      </w:r>
      <w:r>
        <w:rPr>
          <w:rFonts w:hint="eastAsia"/>
          <w:highlight w:val="none"/>
        </w:rPr>
        <w:t>”项目实施绩效评价，形成本绩效评价报告。</w:t>
      </w:r>
    </w:p>
    <w:p>
      <w:pPr>
        <w:pStyle w:val="4"/>
        <w:ind w:firstLine="643"/>
        <w:rPr>
          <w:highlight w:val="none"/>
        </w:rPr>
      </w:pPr>
      <w:bookmarkStart w:id="0" w:name="_Toc10421"/>
      <w:bookmarkStart w:id="1" w:name="_Toc27434"/>
      <w:r>
        <w:rPr>
          <w:rFonts w:hint="eastAsia"/>
          <w:highlight w:val="none"/>
        </w:rPr>
        <w:t>一、基本情况</w:t>
      </w:r>
      <w:bookmarkEnd w:id="0"/>
      <w:bookmarkEnd w:id="1"/>
    </w:p>
    <w:p>
      <w:pPr>
        <w:pStyle w:val="5"/>
        <w:ind w:firstLine="640"/>
        <w:rPr>
          <w:highlight w:val="none"/>
        </w:rPr>
      </w:pPr>
      <w:bookmarkStart w:id="2" w:name="_Toc15477"/>
      <w:bookmarkStart w:id="3" w:name="_Toc27082"/>
      <w:r>
        <w:rPr>
          <w:rFonts w:hint="eastAsia"/>
          <w:highlight w:val="none"/>
        </w:rPr>
        <w:t>（一）项目概况</w:t>
      </w:r>
      <w:bookmarkEnd w:id="2"/>
      <w:bookmarkEnd w:id="3"/>
    </w:p>
    <w:p>
      <w:pPr>
        <w:bidi w:val="0"/>
        <w:rPr>
          <w:rFonts w:hint="eastAsia"/>
          <w:highlight w:val="none"/>
        </w:rPr>
      </w:pPr>
      <w:r>
        <w:rPr>
          <w:rFonts w:hint="eastAsia"/>
          <w:highlight w:val="none"/>
          <w:lang w:val="en-US" w:eastAsia="zh-CN"/>
        </w:rPr>
        <w:t>1.</w:t>
      </w:r>
      <w:r>
        <w:rPr>
          <w:rFonts w:hint="eastAsia"/>
          <w:highlight w:val="none"/>
        </w:rPr>
        <w:t>项目背景</w:t>
      </w:r>
    </w:p>
    <w:p>
      <w:pPr>
        <w:ind w:firstLine="640"/>
        <w:rPr>
          <w:rFonts w:hint="eastAsia"/>
          <w:highlight w:val="none"/>
        </w:rPr>
      </w:pPr>
      <w:r>
        <w:rPr>
          <w:rFonts w:hint="eastAsia"/>
          <w:highlight w:val="none"/>
        </w:rPr>
        <w:t>北京市环境卫生管理事务中心隶属于北京市城市管理委员会，承担</w:t>
      </w:r>
      <w:r>
        <w:rPr>
          <w:rFonts w:hint="eastAsia"/>
          <w:highlight w:val="none"/>
          <w:lang w:val="en-US" w:eastAsia="zh-CN"/>
        </w:rPr>
        <w:t>北京</w:t>
      </w:r>
      <w:r>
        <w:rPr>
          <w:rFonts w:hint="eastAsia"/>
          <w:highlight w:val="none"/>
        </w:rPr>
        <w:t>市环境卫生及环卫设施管理方面的辅助性、事务性工作。具体工作任务是：负责全市环境卫生清扫保洁、生活垃圾日常管理、环卫设施日常运行检查考核和环卫数据信息统计管理、环卫作业定额编制修订和应用指导服务工作；承担特殊天气、重要节假日、重大活动环境卫生保障任务落实情况的监督检查和领导批办的环境卫生问题督办工作；以及协助研究制定环境卫生方面的政策、标准、规范、规划、计划和推进环境卫生管理年度计划、重点任务落实等工作和委</w:t>
      </w:r>
      <w:r>
        <w:rPr>
          <w:rFonts w:hint="eastAsia"/>
          <w:highlight w:val="none"/>
          <w:lang w:val="en-US" w:eastAsia="zh-CN"/>
        </w:rPr>
        <w:t>机关</w:t>
      </w:r>
      <w:r>
        <w:rPr>
          <w:rFonts w:hint="eastAsia"/>
          <w:highlight w:val="none"/>
        </w:rPr>
        <w:t>交办的其他事项。</w:t>
      </w:r>
    </w:p>
    <w:p>
      <w:pPr>
        <w:ind w:firstLine="640"/>
        <w:rPr>
          <w:rFonts w:hint="eastAsia"/>
          <w:highlight w:val="none"/>
        </w:rPr>
      </w:pPr>
      <w:r>
        <w:rPr>
          <w:rFonts w:hint="eastAsia"/>
          <w:highlight w:val="none"/>
        </w:rPr>
        <w:t>为实现</w:t>
      </w:r>
      <w:r>
        <w:rPr>
          <w:rFonts w:hint="eastAsia"/>
          <w:highlight w:val="none"/>
          <w:lang w:eastAsia="zh-CN"/>
        </w:rPr>
        <w:t>各项</w:t>
      </w:r>
      <w:r>
        <w:rPr>
          <w:rFonts w:hint="eastAsia"/>
          <w:highlight w:val="none"/>
        </w:rPr>
        <w:t>管理工作与城市现代化相适应，与经济社会发展相协调，与管理科学化相同步，</w:t>
      </w:r>
      <w:r>
        <w:rPr>
          <w:rFonts w:hint="eastAsia"/>
          <w:highlight w:val="none"/>
          <w:lang w:val="en-US" w:eastAsia="zh-CN"/>
        </w:rPr>
        <w:t>环管中心</w:t>
      </w:r>
      <w:r>
        <w:rPr>
          <w:rFonts w:hint="eastAsia"/>
          <w:highlight w:val="none"/>
        </w:rPr>
        <w:t>利用计算机、网络等技术加强信息的采集与管理，开发了北京环卫信息管理系统、北京市垃圾处理设施在线监控系统和北京市环境卫生管理事务中心内务管理系统。为此，由</w:t>
      </w:r>
      <w:r>
        <w:rPr>
          <w:rFonts w:hint="eastAsia"/>
          <w:highlight w:val="none"/>
          <w:lang w:val="en-US" w:eastAsia="zh-CN"/>
        </w:rPr>
        <w:t>北京市环境卫生管理事务中心</w:t>
      </w:r>
      <w:r>
        <w:rPr>
          <w:rFonts w:hint="eastAsia"/>
          <w:highlight w:val="none"/>
        </w:rPr>
        <w:t>申请“2024年北京市环境卫生管理事务中心等级保护测评服务”项目。</w:t>
      </w:r>
    </w:p>
    <w:p>
      <w:pPr>
        <w:bidi w:val="0"/>
        <w:rPr>
          <w:rFonts w:hint="eastAsia"/>
          <w:highlight w:val="none"/>
        </w:rPr>
      </w:pPr>
      <w:r>
        <w:rPr>
          <w:rFonts w:hint="eastAsia"/>
          <w:highlight w:val="none"/>
          <w:lang w:val="en-US" w:eastAsia="zh-CN"/>
        </w:rPr>
        <w:t>2.</w:t>
      </w:r>
      <w:r>
        <w:rPr>
          <w:rFonts w:hint="eastAsia"/>
          <w:highlight w:val="none"/>
        </w:rPr>
        <w:t>主要内容及实施情况</w:t>
      </w:r>
    </w:p>
    <w:p>
      <w:pPr>
        <w:bidi w:val="0"/>
        <w:rPr>
          <w:rFonts w:hint="eastAsia"/>
          <w:highlight w:val="none"/>
        </w:rPr>
      </w:pPr>
      <w:r>
        <w:rPr>
          <w:rFonts w:hint="eastAsia"/>
          <w:highlight w:val="none"/>
          <w:lang w:val="en-US" w:eastAsia="zh-CN"/>
        </w:rPr>
        <w:t>对北京环卫信息管理系统、北京市垃圾处理设施在线监控系统和北京市环境卫生管理事务中心内务管理系统开展一次等级保护测评服务。根据中心环卫行业管理职能要求，通过对北京环卫信息管理系统、北京市垃圾处理设施在线监控系统和北京市环境卫生管理事务中心内务管理系统实施等级保护测评工作，科学评估信息系统安全性能，持续推进信息安全技术和管理水平的不断提升，系统的稳定运行可为管理部门提供真实有效的数据依据，为相关决策提供有力的支撑。本项目于2024年10月31日前完成验收工作。</w:t>
      </w:r>
    </w:p>
    <w:p>
      <w:pPr>
        <w:bidi w:val="0"/>
        <w:rPr>
          <w:rFonts w:hint="eastAsia"/>
          <w:highlight w:val="none"/>
        </w:rPr>
      </w:pPr>
      <w:r>
        <w:rPr>
          <w:rFonts w:hint="eastAsia"/>
          <w:highlight w:val="none"/>
          <w:lang w:val="en-US" w:eastAsia="zh-CN"/>
        </w:rPr>
        <w:t>3.</w:t>
      </w:r>
      <w:r>
        <w:rPr>
          <w:rFonts w:hint="eastAsia"/>
          <w:highlight w:val="none"/>
        </w:rPr>
        <w:t>资金投入和使用情况等。</w:t>
      </w:r>
    </w:p>
    <w:p>
      <w:pPr>
        <w:bidi w:val="0"/>
        <w:ind w:firstLine="640"/>
        <w:rPr>
          <w:rFonts w:hint="eastAsia"/>
          <w:highlight w:val="none"/>
        </w:rPr>
      </w:pPr>
      <w:r>
        <w:rPr>
          <w:rFonts w:hint="eastAsia"/>
          <w:highlight w:val="none"/>
        </w:rPr>
        <w:t>“2024年北京市环境卫生管理事务中心等级保护测评服务”项目属于延续性工作，项目期至2024年10月31</w:t>
      </w:r>
      <w:r>
        <w:rPr>
          <w:rFonts w:hint="eastAsia"/>
          <w:highlight w:val="none"/>
          <w:lang w:eastAsia="zh-CN"/>
        </w:rPr>
        <w:t>日</w:t>
      </w:r>
      <w:r>
        <w:rPr>
          <w:rFonts w:hint="eastAsia"/>
          <w:highlight w:val="none"/>
        </w:rPr>
        <w:t>。该项目经预算评审，2024年市财政局最终批复该项目预算为21万元。项目实际到位资金21万元，资金到位率为100%。</w:t>
      </w:r>
    </w:p>
    <w:p>
      <w:pPr>
        <w:pStyle w:val="5"/>
        <w:ind w:firstLine="640"/>
        <w:rPr>
          <w:highlight w:val="none"/>
        </w:rPr>
      </w:pPr>
      <w:bookmarkStart w:id="4" w:name="_Toc23566"/>
      <w:bookmarkStart w:id="5" w:name="_Toc29267"/>
      <w:r>
        <w:rPr>
          <w:rFonts w:hint="eastAsia"/>
          <w:highlight w:val="none"/>
        </w:rPr>
        <w:t>（二）项目绩效目标</w:t>
      </w:r>
      <w:bookmarkEnd w:id="4"/>
      <w:bookmarkEnd w:id="5"/>
    </w:p>
    <w:p>
      <w:pPr>
        <w:bidi w:val="0"/>
        <w:rPr>
          <w:rFonts w:hint="eastAsia"/>
          <w:highlight w:val="none"/>
        </w:rPr>
      </w:pPr>
      <w:r>
        <w:rPr>
          <w:rFonts w:hint="eastAsia"/>
          <w:highlight w:val="none"/>
          <w:lang w:val="en-US" w:eastAsia="zh-CN"/>
        </w:rPr>
        <w:t>1.</w:t>
      </w:r>
      <w:r>
        <w:rPr>
          <w:rFonts w:hint="eastAsia"/>
          <w:highlight w:val="none"/>
        </w:rPr>
        <w:t>总体目标</w:t>
      </w:r>
    </w:p>
    <w:p>
      <w:pPr>
        <w:bidi w:val="0"/>
        <w:rPr>
          <w:rFonts w:hint="eastAsia"/>
          <w:highlight w:val="none"/>
        </w:rPr>
      </w:pPr>
      <w:r>
        <w:rPr>
          <w:rFonts w:hint="eastAsia"/>
          <w:highlight w:val="none"/>
        </w:rPr>
        <w:t>根据中心环卫行业管理职能要求，通过对北京市环境卫生管理事务中心的北京环卫信息管理系统、北京市垃圾处理设施在线监控系统和北京市环境卫生管理事务中心内务管理系统实施等级保护测评工作，科学评估信息系统安全性能，持续推进信息安全技术和管理水平的不断提升，系统的稳定运行为管理部门提供真实有效的数据依据，为相关决策提供有力的支撑。</w:t>
      </w:r>
    </w:p>
    <w:p>
      <w:pPr>
        <w:bidi w:val="0"/>
        <w:rPr>
          <w:rFonts w:hint="eastAsia"/>
          <w:highlight w:val="none"/>
        </w:rPr>
      </w:pPr>
      <w:r>
        <w:rPr>
          <w:rFonts w:hint="eastAsia"/>
          <w:highlight w:val="none"/>
          <w:lang w:val="en-US" w:eastAsia="zh-CN"/>
        </w:rPr>
        <w:t>2.项目</w:t>
      </w:r>
      <w:r>
        <w:rPr>
          <w:rFonts w:hint="eastAsia"/>
          <w:highlight w:val="none"/>
        </w:rPr>
        <w:t>阶段性目标。</w:t>
      </w:r>
    </w:p>
    <w:p>
      <w:pPr>
        <w:bidi w:val="0"/>
        <w:ind w:firstLine="640"/>
        <w:rPr>
          <w:highlight w:val="none"/>
        </w:rPr>
      </w:pPr>
      <w:r>
        <w:rPr>
          <w:rFonts w:hint="eastAsia"/>
          <w:highlight w:val="none"/>
          <w:lang w:val="en-US" w:eastAsia="zh-CN"/>
        </w:rPr>
        <w:t>数量指标：等级保护测评系统数量3个；提供系统测评报告3份；每个系统需完成2次测评；等保二级系统测评指标数为164项。</w:t>
      </w:r>
    </w:p>
    <w:p>
      <w:pPr>
        <w:bidi w:val="0"/>
        <w:ind w:firstLine="640"/>
        <w:rPr>
          <w:highlight w:val="none"/>
        </w:rPr>
      </w:pPr>
      <w:r>
        <w:rPr>
          <w:rFonts w:hint="eastAsia"/>
          <w:highlight w:val="none"/>
          <w:lang w:val="en-US" w:eastAsia="zh-CN"/>
        </w:rPr>
        <w:t>质量指标：</w:t>
      </w:r>
      <w:r>
        <w:rPr>
          <w:rFonts w:hint="eastAsia"/>
          <w:highlight w:val="none"/>
        </w:rPr>
        <w:t>每个系统测评达标率达到100%；项目验收合格率达到100%。</w:t>
      </w:r>
    </w:p>
    <w:p>
      <w:pPr>
        <w:bidi w:val="0"/>
        <w:ind w:firstLine="640" w:firstLineChars="200"/>
        <w:rPr>
          <w:highlight w:val="none"/>
        </w:rPr>
      </w:pPr>
      <w:r>
        <w:rPr>
          <w:rFonts w:hint="eastAsia"/>
          <w:highlight w:val="none"/>
          <w:lang w:val="en-US" w:eastAsia="zh-CN"/>
        </w:rPr>
        <w:t>时效指标：项目合同签订时间不晚于2024年5月31日；差距分析完成时间不晚于2024年6月30日；复测完成时间不晚于2024年8月31日；项目最终验收时间不晚于2024年10月31日。</w:t>
      </w:r>
    </w:p>
    <w:p>
      <w:pPr>
        <w:bidi w:val="0"/>
        <w:rPr>
          <w:highlight w:val="none"/>
        </w:rPr>
      </w:pPr>
      <w:r>
        <w:rPr>
          <w:rFonts w:hint="eastAsia"/>
          <w:highlight w:val="none"/>
          <w:lang w:val="en-US" w:eastAsia="zh-CN"/>
        </w:rPr>
        <w:t>成本指标：</w:t>
      </w:r>
      <w:r>
        <w:rPr>
          <w:rFonts w:hint="eastAsia" w:ascii="仿宋" w:hAnsi="仿宋" w:eastAsia="仿宋" w:cs="仿宋"/>
          <w:sz w:val="32"/>
          <w:szCs w:val="32"/>
        </w:rPr>
        <w:t>项目预算成本控制不高于21万元</w:t>
      </w:r>
      <w:r>
        <w:rPr>
          <w:rFonts w:hint="eastAsia"/>
          <w:highlight w:val="none"/>
          <w:lang w:val="en-US" w:eastAsia="zh-CN"/>
        </w:rPr>
        <w:t>。</w:t>
      </w:r>
    </w:p>
    <w:p>
      <w:pPr>
        <w:bidi w:val="0"/>
        <w:ind w:firstLine="640" w:firstLineChars="200"/>
        <w:rPr>
          <w:rFonts w:hint="eastAsia"/>
          <w:highlight w:val="none"/>
          <w:lang w:val="en-US" w:eastAsia="zh-CN"/>
        </w:rPr>
      </w:pPr>
      <w:r>
        <w:rPr>
          <w:rFonts w:hint="eastAsia"/>
          <w:highlight w:val="none"/>
          <w:lang w:val="en-US" w:eastAsia="zh-CN"/>
        </w:rPr>
        <w:t>社会效益指标：科学评估信息系统安全性能：为信息系统的安全性提供支撑。</w:t>
      </w:r>
    </w:p>
    <w:p>
      <w:pPr>
        <w:bidi w:val="0"/>
        <w:ind w:firstLine="640" w:firstLineChars="200"/>
        <w:rPr>
          <w:rFonts w:hint="default"/>
          <w:highlight w:val="none"/>
          <w:lang w:val="en-US"/>
        </w:rPr>
      </w:pPr>
      <w:r>
        <w:rPr>
          <w:rFonts w:hint="eastAsia"/>
          <w:highlight w:val="none"/>
          <w:lang w:val="en-US" w:eastAsia="zh-CN"/>
        </w:rPr>
        <w:t>可持续效益指标：持续推进信息安全技术和管理水平。</w:t>
      </w:r>
    </w:p>
    <w:p>
      <w:pPr>
        <w:bidi w:val="0"/>
        <w:rPr>
          <w:rFonts w:hint="eastAsia"/>
          <w:highlight w:val="none"/>
          <w:lang w:eastAsia="zh-CN"/>
        </w:rPr>
      </w:pPr>
      <w:r>
        <w:rPr>
          <w:rFonts w:hint="eastAsia"/>
          <w:highlight w:val="none"/>
          <w:lang w:val="en-US" w:eastAsia="zh-Hans"/>
        </w:rPr>
        <w:t>满意度指标：被测评对象满意度≥98%</w:t>
      </w:r>
      <w:r>
        <w:rPr>
          <w:rFonts w:hint="eastAsia"/>
          <w:highlight w:val="none"/>
          <w:lang w:val="en-US" w:eastAsia="zh-CN"/>
        </w:rPr>
        <w:t>。</w:t>
      </w:r>
    </w:p>
    <w:p>
      <w:pPr>
        <w:pStyle w:val="4"/>
        <w:ind w:firstLine="643"/>
        <w:rPr>
          <w:highlight w:val="none"/>
        </w:rPr>
      </w:pPr>
      <w:bookmarkStart w:id="6" w:name="_Toc27562"/>
      <w:bookmarkStart w:id="7" w:name="_Toc32359"/>
      <w:r>
        <w:rPr>
          <w:rFonts w:hint="eastAsia"/>
          <w:highlight w:val="none"/>
        </w:rPr>
        <w:t>二、绩效评价工作开展情况</w:t>
      </w:r>
      <w:bookmarkEnd w:id="6"/>
      <w:bookmarkEnd w:id="7"/>
    </w:p>
    <w:p>
      <w:pPr>
        <w:pStyle w:val="5"/>
        <w:ind w:firstLine="640"/>
        <w:rPr>
          <w:highlight w:val="none"/>
        </w:rPr>
      </w:pPr>
      <w:bookmarkStart w:id="8" w:name="_Toc7899"/>
      <w:bookmarkStart w:id="9" w:name="_Toc9792"/>
      <w:r>
        <w:rPr>
          <w:rFonts w:hint="eastAsia"/>
          <w:highlight w:val="none"/>
        </w:rPr>
        <w:t>（一）绩效评价目的、对象和范围</w:t>
      </w:r>
      <w:bookmarkEnd w:id="8"/>
      <w:bookmarkEnd w:id="9"/>
    </w:p>
    <w:p>
      <w:pPr>
        <w:bidi w:val="0"/>
        <w:rPr>
          <w:highlight w:val="none"/>
        </w:rPr>
      </w:pPr>
      <w:r>
        <w:rPr>
          <w:rFonts w:hint="eastAsia"/>
          <w:highlight w:val="none"/>
        </w:rPr>
        <w:t>1.绩效评价目的</w:t>
      </w:r>
    </w:p>
    <w:p>
      <w:pPr>
        <w:bidi w:val="0"/>
        <w:rPr>
          <w:highlight w:val="none"/>
        </w:rPr>
      </w:pPr>
      <w:r>
        <w:rPr>
          <w:rFonts w:hint="eastAsia"/>
          <w:highlight w:val="none"/>
        </w:rPr>
        <w:t>通过绩效评价，衡量和考核项目资金管理、决策和绩效情况，分析项目资金使用是否达到预期目标、管理是否规范、使用是否有效，并提出专业评价意见，进一步改进和加强项目资金管理，提高财政资金使用效益。</w:t>
      </w:r>
    </w:p>
    <w:p>
      <w:pPr>
        <w:bidi w:val="0"/>
        <w:rPr>
          <w:highlight w:val="none"/>
        </w:rPr>
      </w:pPr>
      <w:r>
        <w:rPr>
          <w:rFonts w:hint="eastAsia"/>
          <w:highlight w:val="none"/>
        </w:rPr>
        <w:t>2.绩效评价对象和范围</w:t>
      </w:r>
    </w:p>
    <w:p>
      <w:pPr>
        <w:bidi w:val="0"/>
        <w:rPr>
          <w:highlight w:val="none"/>
        </w:rPr>
      </w:pPr>
      <w:r>
        <w:rPr>
          <w:rFonts w:hint="eastAsia"/>
          <w:highlight w:val="none"/>
        </w:rPr>
        <w:t>本次绩效评价对象为2024年北京市环境卫生管理事务中心等级保护测评服务项目，评价范围为该项目整体执行情况，预算资金21万元。</w:t>
      </w:r>
    </w:p>
    <w:p>
      <w:pPr>
        <w:pStyle w:val="5"/>
        <w:ind w:firstLine="640"/>
        <w:rPr>
          <w:highlight w:val="none"/>
        </w:rPr>
      </w:pPr>
      <w:bookmarkStart w:id="10" w:name="_Toc17974"/>
      <w:bookmarkStart w:id="11" w:name="_Toc9306"/>
      <w:r>
        <w:rPr>
          <w:rFonts w:hint="eastAsia"/>
          <w:highlight w:val="none"/>
        </w:rPr>
        <w:t>（二）绩效评价原则、评价方法、评价指标体系</w:t>
      </w:r>
      <w:bookmarkEnd w:id="10"/>
      <w:bookmarkEnd w:id="11"/>
    </w:p>
    <w:p>
      <w:pPr>
        <w:bidi w:val="0"/>
        <w:rPr>
          <w:highlight w:val="none"/>
        </w:rPr>
      </w:pPr>
      <w:r>
        <w:rPr>
          <w:highlight w:val="none"/>
        </w:rPr>
        <w:t>1</w:t>
      </w:r>
      <w:r>
        <w:rPr>
          <w:rFonts w:hint="eastAsia"/>
          <w:highlight w:val="none"/>
          <w:lang w:eastAsia="zh-Hans"/>
        </w:rPr>
        <w:t>.绩效评价原则</w:t>
      </w:r>
    </w:p>
    <w:p>
      <w:pPr>
        <w:bidi w:val="0"/>
        <w:rPr>
          <w:highlight w:val="none"/>
        </w:rPr>
      </w:pPr>
      <w:r>
        <w:rPr>
          <w:rFonts w:hint="eastAsia"/>
          <w:highlight w:val="none"/>
        </w:rPr>
        <w:t>本次评价工作遵循“客观、公正、科学、规范”的原则，在评价过程中，依据项目总体绩效目标，评价本年度项目阶段目标任务的执行情况，以及效益的实现情况。</w:t>
      </w:r>
    </w:p>
    <w:p>
      <w:pPr>
        <w:bidi w:val="0"/>
        <w:rPr>
          <w:highlight w:val="none"/>
        </w:rPr>
      </w:pPr>
      <w:r>
        <w:rPr>
          <w:highlight w:val="none"/>
        </w:rPr>
        <w:t>2</w:t>
      </w:r>
      <w:r>
        <w:rPr>
          <w:rFonts w:hint="eastAsia"/>
          <w:highlight w:val="none"/>
        </w:rPr>
        <w:t>.</w:t>
      </w:r>
      <w:r>
        <w:rPr>
          <w:rFonts w:hint="eastAsia"/>
          <w:highlight w:val="none"/>
          <w:lang w:eastAsia="zh-Hans"/>
        </w:rPr>
        <w:t>评价方法</w:t>
      </w:r>
    </w:p>
    <w:p>
      <w:pPr>
        <w:bidi w:val="0"/>
        <w:rPr>
          <w:highlight w:val="none"/>
        </w:rPr>
      </w:pPr>
      <w:r>
        <w:rPr>
          <w:rFonts w:hint="eastAsia"/>
          <w:highlight w:val="none"/>
        </w:rPr>
        <w:t>结合本项目特点，评价方法主要采用非现场评价形式，审核、分析和评价项目的实施情况，期间结合了比较分析法、因素分析法、成本效益分析法等评价方法进行定性分析和定量分析，上述评价环节同时借助专家工作进行指导。评价基准日为202</w:t>
      </w:r>
      <w:r>
        <w:rPr>
          <w:rFonts w:hint="eastAsia"/>
          <w:highlight w:val="none"/>
          <w:lang w:val="en-US" w:eastAsia="zh-CN"/>
        </w:rPr>
        <w:t>4</w:t>
      </w:r>
      <w:r>
        <w:rPr>
          <w:rFonts w:hint="eastAsia"/>
          <w:highlight w:val="none"/>
        </w:rPr>
        <w:t>年12月31日。</w:t>
      </w:r>
    </w:p>
    <w:p>
      <w:pPr>
        <w:bidi w:val="0"/>
        <w:rPr>
          <w:highlight w:val="none"/>
          <w:lang w:eastAsia="zh-Hans"/>
        </w:rPr>
      </w:pPr>
      <w:r>
        <w:rPr>
          <w:highlight w:val="none"/>
          <w:lang w:eastAsia="zh-Hans"/>
        </w:rPr>
        <w:t>3</w:t>
      </w:r>
      <w:r>
        <w:rPr>
          <w:rFonts w:hint="eastAsia"/>
          <w:highlight w:val="none"/>
        </w:rPr>
        <w:t>.</w:t>
      </w:r>
      <w:r>
        <w:rPr>
          <w:rFonts w:hint="eastAsia"/>
          <w:highlight w:val="none"/>
          <w:lang w:eastAsia="zh-Hans"/>
        </w:rPr>
        <w:t>绩效评价指标体系和评价标准</w:t>
      </w:r>
    </w:p>
    <w:p>
      <w:pPr>
        <w:bidi w:val="0"/>
        <w:rPr>
          <w:highlight w:val="none"/>
        </w:rPr>
      </w:pPr>
      <w:r>
        <w:rPr>
          <w:rFonts w:hint="eastAsia"/>
          <w:highlight w:val="none"/>
        </w:rPr>
        <w:t>根据《北京市项目支出绩效评价管理办法》，评价工作组结合项目资金使用的具体情况，以资金使用结果为导向，设定了本次评价指标内容和权重，重点对项目决策、过程、产出及效益进行综合评价。</w:t>
      </w:r>
    </w:p>
    <w:p>
      <w:pPr>
        <w:pStyle w:val="5"/>
        <w:ind w:firstLine="640"/>
        <w:rPr>
          <w:highlight w:val="none"/>
        </w:rPr>
      </w:pPr>
      <w:bookmarkStart w:id="12" w:name="_Toc31598"/>
      <w:bookmarkStart w:id="13" w:name="_Toc6259"/>
      <w:r>
        <w:rPr>
          <w:rFonts w:hint="eastAsia"/>
          <w:highlight w:val="none"/>
        </w:rPr>
        <w:t>（三）绩效评价工作过程</w:t>
      </w:r>
      <w:bookmarkEnd w:id="12"/>
      <w:bookmarkEnd w:id="13"/>
    </w:p>
    <w:p>
      <w:pPr>
        <w:bidi w:val="0"/>
        <w:rPr>
          <w:highlight w:val="none"/>
        </w:rPr>
      </w:pPr>
      <w:r>
        <w:rPr>
          <w:rFonts w:hint="eastAsia"/>
          <w:highlight w:val="none"/>
        </w:rPr>
        <w:t>1.前期准备</w:t>
      </w:r>
    </w:p>
    <w:p>
      <w:pPr>
        <w:bidi w:val="0"/>
        <w:rPr>
          <w:highlight w:val="none"/>
        </w:rPr>
      </w:pPr>
      <w:r>
        <w:rPr>
          <w:rFonts w:hint="eastAsia"/>
          <w:highlight w:val="none"/>
        </w:rPr>
        <w:t>一是组建评价工作组。项目评价工作组成员为4名，设组长1名，小组成员3名，明确了组长及成员职责。</w:t>
      </w:r>
    </w:p>
    <w:p>
      <w:pPr>
        <w:bidi w:val="0"/>
        <w:rPr>
          <w:highlight w:val="none"/>
        </w:rPr>
      </w:pPr>
      <w:r>
        <w:rPr>
          <w:rFonts w:hint="eastAsia"/>
          <w:highlight w:val="none"/>
        </w:rPr>
        <w:t>二是编制评价方案。为了保证评价方案的可操作性，评价工作组通过了解项目实施背景、立项依据、绩效目标、项目管理及完成绩效，确定评价工作重点和拟采用的评价方法，并对相关材料进行认真分析，结合市城市管理委绩效评价工作要求，合理安排评价工作进度，在此基础上形成最终评价方案。</w:t>
      </w:r>
    </w:p>
    <w:p>
      <w:pPr>
        <w:bidi w:val="0"/>
        <w:rPr>
          <w:highlight w:val="none"/>
        </w:rPr>
      </w:pPr>
      <w:r>
        <w:rPr>
          <w:rFonts w:hint="eastAsia"/>
          <w:highlight w:val="none"/>
        </w:rPr>
        <w:t>三是指导单位开展自评。被评价单位根据绩效评价相关管理办法，开展自评工作，收集、整理绩效材料，填报绩效目标表，撰写财政支出绩效报告。</w:t>
      </w:r>
    </w:p>
    <w:p>
      <w:pPr>
        <w:bidi w:val="0"/>
        <w:rPr>
          <w:highlight w:val="none"/>
        </w:rPr>
      </w:pPr>
      <w:r>
        <w:rPr>
          <w:rFonts w:hint="eastAsia"/>
          <w:highlight w:val="none"/>
        </w:rPr>
        <w:t>2.资料核查</w:t>
      </w:r>
    </w:p>
    <w:p>
      <w:pPr>
        <w:bidi w:val="0"/>
        <w:rPr>
          <w:highlight w:val="none"/>
        </w:rPr>
      </w:pPr>
      <w:r>
        <w:rPr>
          <w:rFonts w:hint="eastAsia"/>
          <w:highlight w:val="none"/>
        </w:rPr>
        <w:t>一是了解绩效目标设立及完成情况。评价工作组通过查阅项目申报文本等资料，了解预期绩效目标设立情况，并将反映项目完成结果的相关材料与各项预期绩效目标进行比对，评价项目绩效目标的完成情况。</w:t>
      </w:r>
    </w:p>
    <w:p>
      <w:pPr>
        <w:bidi w:val="0"/>
        <w:rPr>
          <w:highlight w:val="none"/>
        </w:rPr>
      </w:pPr>
      <w:r>
        <w:rPr>
          <w:rFonts w:hint="eastAsia"/>
          <w:highlight w:val="none"/>
        </w:rPr>
        <w:t>二是了解项目效益实现情况。项目实现的效益情况，主要是参考</w:t>
      </w:r>
      <w:r>
        <w:rPr>
          <w:rFonts w:hint="eastAsia"/>
          <w:highlight w:val="none"/>
          <w:lang w:val="en-US" w:eastAsia="zh-CN"/>
        </w:rPr>
        <w:t>环管中心</w:t>
      </w:r>
      <w:r>
        <w:rPr>
          <w:rFonts w:hint="eastAsia"/>
          <w:highlight w:val="none"/>
        </w:rPr>
        <w:t>提供的项目社会效益及服务对象满意度等相关资料的情况，评价工作组充分了解项目的效益情况，重点评价项目实施后的社会效益、可持续影响及项目服务对象满意度，结合社会现状综合评价项目的效益实现情况。</w:t>
      </w:r>
    </w:p>
    <w:p>
      <w:pPr>
        <w:bidi w:val="0"/>
        <w:rPr>
          <w:highlight w:val="none"/>
        </w:rPr>
      </w:pPr>
      <w:r>
        <w:rPr>
          <w:rFonts w:hint="eastAsia"/>
          <w:highlight w:val="none"/>
        </w:rPr>
        <w:t>3.专家评价</w:t>
      </w:r>
    </w:p>
    <w:p>
      <w:pPr>
        <w:bidi w:val="0"/>
        <w:rPr>
          <w:highlight w:val="none"/>
        </w:rPr>
      </w:pPr>
      <w:r>
        <w:rPr>
          <w:rFonts w:hint="eastAsia"/>
          <w:highlight w:val="none"/>
        </w:rPr>
        <w:t>一是进行资料信息汇总。评价工作组在充分</w:t>
      </w:r>
      <w:r>
        <w:rPr>
          <w:rFonts w:hint="eastAsia"/>
          <w:highlight w:val="none"/>
          <w:lang w:eastAsia="zh-Hans"/>
        </w:rPr>
        <w:t>沟通</w:t>
      </w:r>
      <w:r>
        <w:rPr>
          <w:rFonts w:hint="eastAsia"/>
          <w:highlight w:val="none"/>
        </w:rPr>
        <w:t>的基础上，对项目资料进行逐一核实。工作组按照指标体系内容和评价重点，对资料进行分类整理，形成专家资料手册，供专家审阅评议。</w:t>
      </w:r>
    </w:p>
    <w:p>
      <w:pPr>
        <w:bidi w:val="0"/>
        <w:rPr>
          <w:highlight w:val="none"/>
        </w:rPr>
      </w:pPr>
      <w:r>
        <w:rPr>
          <w:rFonts w:hint="eastAsia"/>
          <w:highlight w:val="none"/>
        </w:rPr>
        <w:t>二是召开专家评价会。根据项目特点，评价工作组遴选5名专家（其中业务专家2名，管理专家2名，财务专家1名），组成专家评价组，对项目资料进行审核。202</w:t>
      </w:r>
      <w:r>
        <w:rPr>
          <w:rFonts w:hint="eastAsia"/>
          <w:highlight w:val="none"/>
          <w:lang w:val="en-US" w:eastAsia="zh-CN"/>
        </w:rPr>
        <w:t>4</w:t>
      </w:r>
      <w:r>
        <w:rPr>
          <w:rFonts w:hint="eastAsia"/>
          <w:highlight w:val="none"/>
        </w:rPr>
        <w:t>年</w:t>
      </w:r>
      <w:r>
        <w:rPr>
          <w:highlight w:val="none"/>
        </w:rPr>
        <w:t>4</w:t>
      </w:r>
      <w:r>
        <w:rPr>
          <w:rFonts w:hint="eastAsia"/>
          <w:highlight w:val="none"/>
        </w:rPr>
        <w:t>月</w:t>
      </w:r>
      <w:r>
        <w:rPr>
          <w:highlight w:val="none"/>
        </w:rPr>
        <w:t>2</w:t>
      </w:r>
      <w:r>
        <w:rPr>
          <w:rFonts w:hint="eastAsia"/>
          <w:highlight w:val="none"/>
          <w:lang w:val="en-US" w:eastAsia="zh-CN"/>
        </w:rPr>
        <w:t>4</w:t>
      </w:r>
      <w:r>
        <w:rPr>
          <w:rFonts w:hint="eastAsia"/>
          <w:highlight w:val="none"/>
        </w:rPr>
        <w:t>日，评价工作组召集专家组、市城市管理委</w:t>
      </w:r>
      <w:r>
        <w:rPr>
          <w:rFonts w:hint="eastAsia"/>
          <w:highlight w:val="none"/>
          <w:lang w:eastAsia="zh-CN"/>
        </w:rPr>
        <w:t>、</w:t>
      </w:r>
      <w:r>
        <w:rPr>
          <w:rFonts w:hint="eastAsia"/>
          <w:highlight w:val="none"/>
          <w:lang w:val="en-US" w:eastAsia="zh-CN"/>
        </w:rPr>
        <w:t>环管中心</w:t>
      </w:r>
      <w:r>
        <w:rPr>
          <w:rFonts w:hint="eastAsia"/>
          <w:highlight w:val="none"/>
        </w:rPr>
        <w:t>召开专家评价会。评价会上，专家与</w:t>
      </w:r>
      <w:r>
        <w:rPr>
          <w:rFonts w:hint="eastAsia"/>
          <w:highlight w:val="none"/>
          <w:lang w:val="en-US" w:eastAsia="zh-CN"/>
        </w:rPr>
        <w:t>环管中心</w:t>
      </w:r>
      <w:r>
        <w:rPr>
          <w:rFonts w:hint="eastAsia"/>
          <w:highlight w:val="none"/>
        </w:rPr>
        <w:t>进行了充分讨论和沟通，最终由专家结合绩效评价指标进行打分，出具评价意见。</w:t>
      </w:r>
    </w:p>
    <w:p>
      <w:pPr>
        <w:bidi w:val="0"/>
        <w:rPr>
          <w:highlight w:val="none"/>
        </w:rPr>
      </w:pPr>
      <w:r>
        <w:rPr>
          <w:rFonts w:hint="eastAsia"/>
          <w:highlight w:val="none"/>
        </w:rPr>
        <w:t>4.形成绩效评价报告</w:t>
      </w:r>
    </w:p>
    <w:p>
      <w:pPr>
        <w:bidi w:val="0"/>
        <w:rPr>
          <w:highlight w:val="none"/>
        </w:rPr>
      </w:pPr>
      <w:r>
        <w:rPr>
          <w:rFonts w:hint="eastAsia"/>
          <w:highlight w:val="none"/>
        </w:rPr>
        <w:t>评价工作组根据专家意见，完成绩效评价报告初稿的撰写工作。经与</w:t>
      </w:r>
      <w:r>
        <w:rPr>
          <w:rFonts w:hint="eastAsia"/>
          <w:highlight w:val="none"/>
          <w:lang w:val="en-US" w:eastAsia="zh-CN"/>
        </w:rPr>
        <w:t>环管中心</w:t>
      </w:r>
      <w:r>
        <w:rPr>
          <w:rFonts w:hint="eastAsia"/>
          <w:highlight w:val="none"/>
        </w:rPr>
        <w:t>沟通反馈后，形成评价报告终稿。</w:t>
      </w:r>
    </w:p>
    <w:p>
      <w:pPr>
        <w:pStyle w:val="4"/>
        <w:ind w:firstLine="643"/>
        <w:rPr>
          <w:highlight w:val="none"/>
        </w:rPr>
      </w:pPr>
      <w:bookmarkStart w:id="14" w:name="_Toc24960"/>
      <w:bookmarkStart w:id="15" w:name="_Toc12603"/>
      <w:r>
        <w:rPr>
          <w:rFonts w:hint="eastAsia"/>
          <w:highlight w:val="none"/>
        </w:rPr>
        <w:t>三、综合评价情况及评价结论</w:t>
      </w:r>
      <w:bookmarkEnd w:id="14"/>
      <w:bookmarkEnd w:id="15"/>
    </w:p>
    <w:p>
      <w:pPr>
        <w:bidi w:val="0"/>
        <w:rPr>
          <w:highlight w:val="none"/>
        </w:rPr>
      </w:pPr>
      <w:bookmarkStart w:id="16" w:name="_Toc17880"/>
      <w:r>
        <w:rPr>
          <w:rFonts w:hint="eastAsia"/>
          <w:highlight w:val="none"/>
        </w:rPr>
        <w:t>经专家评议，该项目综合得分</w:t>
      </w:r>
      <w:r>
        <w:rPr>
          <w:rFonts w:hint="eastAsia"/>
          <w:highlight w:val="none"/>
          <w:lang w:val="en-US" w:eastAsia="zh-CN"/>
        </w:rPr>
        <w:t>90.64</w:t>
      </w:r>
      <w:r>
        <w:rPr>
          <w:rFonts w:hint="eastAsia"/>
          <w:highlight w:val="none"/>
        </w:rPr>
        <w:t>分，其中，项目决策</w:t>
      </w:r>
      <w:r>
        <w:rPr>
          <w:rFonts w:hint="eastAsia"/>
          <w:highlight w:val="none"/>
          <w:lang w:val="en-US" w:eastAsia="zh-CN"/>
        </w:rPr>
        <w:t>17.48</w:t>
      </w:r>
      <w:r>
        <w:rPr>
          <w:rFonts w:hint="eastAsia"/>
          <w:highlight w:val="none"/>
        </w:rPr>
        <w:t>分，项目过程</w:t>
      </w:r>
      <w:r>
        <w:rPr>
          <w:rFonts w:hint="eastAsia"/>
          <w:highlight w:val="none"/>
          <w:lang w:val="en-US" w:eastAsia="zh-CN"/>
        </w:rPr>
        <w:t>18.08</w:t>
      </w:r>
      <w:r>
        <w:rPr>
          <w:rFonts w:hint="eastAsia"/>
          <w:highlight w:val="none"/>
        </w:rPr>
        <w:t>分，项目产出</w:t>
      </w:r>
      <w:r>
        <w:rPr>
          <w:rFonts w:hint="eastAsia"/>
          <w:highlight w:val="none"/>
          <w:lang w:val="en-US" w:eastAsia="zh-CN"/>
        </w:rPr>
        <w:t>28.08</w:t>
      </w:r>
      <w:r>
        <w:rPr>
          <w:rFonts w:hint="eastAsia"/>
          <w:highlight w:val="none"/>
        </w:rPr>
        <w:t>分，项目效益</w:t>
      </w:r>
      <w:r>
        <w:rPr>
          <w:rFonts w:hint="eastAsia"/>
          <w:highlight w:val="none"/>
          <w:lang w:val="en-US" w:eastAsia="zh-CN"/>
        </w:rPr>
        <w:t>27</w:t>
      </w:r>
      <w:r>
        <w:rPr>
          <w:rFonts w:hint="eastAsia"/>
          <w:highlight w:val="none"/>
        </w:rPr>
        <w:t>分，绩效级别评定为“</w:t>
      </w:r>
      <w:r>
        <w:rPr>
          <w:rFonts w:hint="eastAsia"/>
          <w:highlight w:val="none"/>
          <w:lang w:val="en-US" w:eastAsia="zh-CN"/>
        </w:rPr>
        <w:t>优</w:t>
      </w:r>
      <w:r>
        <w:rPr>
          <w:rFonts w:hint="eastAsia"/>
          <w:highlight w:val="none"/>
        </w:rPr>
        <w:t>”。</w:t>
      </w:r>
      <w:bookmarkEnd w:id="16"/>
    </w:p>
    <w:p>
      <w:pPr>
        <w:keepNext w:val="0"/>
        <w:keepLines w:val="0"/>
        <w:pageBreakBefore w:val="0"/>
        <w:widowControl w:val="0"/>
        <w:kinsoku/>
        <w:wordWrap/>
        <w:overflowPunct/>
        <w:topLinePunct w:val="0"/>
        <w:autoSpaceDE/>
        <w:autoSpaceDN/>
        <w:bidi w:val="0"/>
        <w:adjustRightInd/>
        <w:snapToGrid w:val="0"/>
        <w:spacing w:line="312" w:lineRule="auto"/>
        <w:ind w:firstLine="0" w:firstLineChars="0"/>
        <w:jc w:val="center"/>
        <w:textAlignment w:val="auto"/>
        <w:rPr>
          <w:b/>
          <w:bCs/>
          <w:sz w:val="28"/>
          <w:szCs w:val="28"/>
          <w:highlight w:val="none"/>
        </w:rPr>
      </w:pPr>
      <w:r>
        <w:rPr>
          <w:rFonts w:hint="eastAsia"/>
          <w:b/>
          <w:bCs/>
          <w:sz w:val="28"/>
          <w:szCs w:val="28"/>
          <w:highlight w:val="none"/>
        </w:rPr>
        <w:t>北京市环境卫生管理事务中心</w:t>
      </w:r>
    </w:p>
    <w:p>
      <w:pPr>
        <w:keepNext w:val="0"/>
        <w:keepLines w:val="0"/>
        <w:pageBreakBefore w:val="0"/>
        <w:widowControl w:val="0"/>
        <w:kinsoku/>
        <w:wordWrap/>
        <w:overflowPunct/>
        <w:topLinePunct w:val="0"/>
        <w:autoSpaceDE/>
        <w:autoSpaceDN/>
        <w:bidi w:val="0"/>
        <w:adjustRightInd/>
        <w:snapToGrid w:val="0"/>
        <w:spacing w:line="312" w:lineRule="auto"/>
        <w:ind w:firstLine="0" w:firstLineChars="0"/>
        <w:jc w:val="center"/>
        <w:textAlignment w:val="auto"/>
        <w:rPr>
          <w:b/>
          <w:bCs/>
          <w:sz w:val="28"/>
          <w:szCs w:val="28"/>
          <w:highlight w:val="none"/>
        </w:rPr>
      </w:pPr>
      <w:r>
        <w:rPr>
          <w:rFonts w:hint="eastAsia"/>
          <w:b/>
          <w:bCs/>
          <w:sz w:val="28"/>
          <w:szCs w:val="28"/>
          <w:highlight w:val="none"/>
          <w:lang w:val="en-US" w:eastAsia="zh-CN"/>
        </w:rPr>
        <w:t>2024年北京市环境卫生管理事务中心等级保护测评服务项目</w:t>
      </w:r>
      <w:r>
        <w:rPr>
          <w:rFonts w:hint="eastAsia"/>
          <w:b/>
          <w:bCs/>
          <w:sz w:val="28"/>
          <w:szCs w:val="28"/>
          <w:highlight w:val="none"/>
        </w:rPr>
        <w:t>绩效评价结论一览表</w:t>
      </w:r>
    </w:p>
    <w:tbl>
      <w:tblPr>
        <w:tblStyle w:val="14"/>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50"/>
        <w:gridCol w:w="3240"/>
        <w:gridCol w:w="2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评价内容</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分值</w:t>
            </w:r>
          </w:p>
        </w:tc>
        <w:tc>
          <w:tcPr>
            <w:tcW w:w="299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决策</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20</w:t>
            </w:r>
          </w:p>
        </w:tc>
        <w:tc>
          <w:tcPr>
            <w:tcW w:w="299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17.48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过程</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20</w:t>
            </w:r>
          </w:p>
        </w:tc>
        <w:tc>
          <w:tcPr>
            <w:tcW w:w="299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18.08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产出</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30</w:t>
            </w:r>
          </w:p>
        </w:tc>
        <w:tc>
          <w:tcPr>
            <w:tcW w:w="299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28.08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效益</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30</w:t>
            </w:r>
          </w:p>
        </w:tc>
        <w:tc>
          <w:tcPr>
            <w:tcW w:w="299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综合得分</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100</w:t>
            </w:r>
          </w:p>
        </w:tc>
        <w:tc>
          <w:tcPr>
            <w:tcW w:w="2995"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eastAsia="仿宋_GB2312"/>
                <w:highlight w:val="none"/>
                <w:lang w:val="en-US" w:eastAsia="zh-CN"/>
              </w:rPr>
            </w:pPr>
            <w:r>
              <w:rPr>
                <w:rFonts w:hint="eastAsia"/>
                <w:highlight w:val="none"/>
                <w:lang w:val="en-US" w:eastAsia="zh-CN"/>
              </w:rPr>
              <w:t>90.64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22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bCs/>
                <w:sz w:val="28"/>
                <w:szCs w:val="28"/>
                <w:highlight w:val="none"/>
              </w:rPr>
            </w:pPr>
            <w:r>
              <w:rPr>
                <w:rFonts w:hint="eastAsia"/>
                <w:b/>
                <w:bCs/>
                <w:sz w:val="28"/>
                <w:szCs w:val="28"/>
                <w:highlight w:val="none"/>
              </w:rPr>
              <w:t>绩效评定级别</w:t>
            </w:r>
          </w:p>
        </w:tc>
        <w:tc>
          <w:tcPr>
            <w:tcW w:w="623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eastAsia="仿宋_GB2312"/>
                <w:highlight w:val="none"/>
                <w:lang w:eastAsia="zh-CN"/>
              </w:rPr>
            </w:pPr>
            <w:r>
              <w:rPr>
                <w:rFonts w:hint="eastAsia"/>
                <w:highlight w:val="none"/>
                <w:lang w:val="en-US" w:eastAsia="zh-CN"/>
              </w:rPr>
              <w:t>优</w:t>
            </w:r>
          </w:p>
        </w:tc>
      </w:tr>
    </w:tbl>
    <w:p>
      <w:pPr>
        <w:bidi w:val="0"/>
        <w:rPr>
          <w:rFonts w:hint="eastAsia" w:ascii="仿宋_GB2312" w:hAnsi="宋体" w:eastAsia="仿宋_GB2312" w:cs="Times New Roman"/>
          <w:bCs/>
          <w:kern w:val="2"/>
          <w:sz w:val="32"/>
          <w:szCs w:val="32"/>
          <w:highlight w:val="none"/>
          <w:lang w:val="en-US" w:eastAsia="zh-CN" w:bidi="ar-SA"/>
        </w:rPr>
      </w:pPr>
      <w:bookmarkStart w:id="17" w:name="_Toc22927"/>
      <w:bookmarkStart w:id="18" w:name="_Toc13023"/>
      <w:r>
        <w:rPr>
          <w:rFonts w:hint="eastAsia" w:ascii="仿宋_GB2312" w:hAnsi="宋体" w:eastAsia="仿宋_GB2312" w:cs="Times New Roman"/>
          <w:bCs/>
          <w:kern w:val="2"/>
          <w:sz w:val="32"/>
          <w:szCs w:val="32"/>
          <w:highlight w:val="none"/>
          <w:lang w:val="en-US" w:eastAsia="zh-CN" w:bidi="ar-SA"/>
        </w:rPr>
        <w:t>总体来看，项目立项符合相关政策</w:t>
      </w:r>
      <w:r>
        <w:rPr>
          <w:rFonts w:hint="eastAsia" w:hAnsi="宋体" w:cs="Times New Roman"/>
          <w:bCs/>
          <w:kern w:val="2"/>
          <w:sz w:val="32"/>
          <w:szCs w:val="32"/>
          <w:highlight w:val="none"/>
          <w:lang w:val="en-US" w:eastAsia="zh-CN" w:bidi="ar-SA"/>
        </w:rPr>
        <w:t>文件</w:t>
      </w:r>
      <w:r>
        <w:rPr>
          <w:rFonts w:hint="eastAsia" w:ascii="仿宋_GB2312" w:hAnsi="宋体" w:eastAsia="仿宋_GB2312" w:cs="Times New Roman"/>
          <w:bCs/>
          <w:kern w:val="2"/>
          <w:sz w:val="32"/>
          <w:szCs w:val="32"/>
          <w:highlight w:val="none"/>
          <w:lang w:val="en-US" w:eastAsia="zh-CN" w:bidi="ar-SA"/>
        </w:rPr>
        <w:t>要求，具有一定的社会效益。但绩效目标填报</w:t>
      </w:r>
      <w:r>
        <w:rPr>
          <w:rFonts w:hint="eastAsia" w:hAnsi="宋体" w:cs="Times New Roman"/>
          <w:bCs/>
          <w:kern w:val="2"/>
          <w:sz w:val="32"/>
          <w:szCs w:val="32"/>
          <w:highlight w:val="none"/>
          <w:lang w:val="en-US" w:eastAsia="zh-CN" w:bidi="ar-SA"/>
        </w:rPr>
        <w:t>方面</w:t>
      </w:r>
      <w:r>
        <w:rPr>
          <w:rFonts w:hint="eastAsia" w:ascii="仿宋_GB2312" w:hAnsi="宋体" w:eastAsia="仿宋_GB2312" w:cs="Times New Roman"/>
          <w:bCs/>
          <w:kern w:val="2"/>
          <w:sz w:val="32"/>
          <w:szCs w:val="32"/>
          <w:highlight w:val="none"/>
          <w:lang w:val="en-US" w:eastAsia="zh-CN" w:bidi="ar-SA"/>
        </w:rPr>
        <w:t>、</w:t>
      </w:r>
      <w:r>
        <w:rPr>
          <w:rFonts w:hint="eastAsia" w:hAnsi="宋体" w:cs="Times New Roman"/>
          <w:bCs/>
          <w:kern w:val="2"/>
          <w:sz w:val="32"/>
          <w:szCs w:val="32"/>
          <w:highlight w:val="none"/>
          <w:lang w:val="en-US" w:eastAsia="zh-CN" w:bidi="ar-SA"/>
        </w:rPr>
        <w:t>过程与绩效管理</w:t>
      </w:r>
      <w:r>
        <w:rPr>
          <w:rFonts w:hint="eastAsia" w:ascii="仿宋_GB2312" w:hAnsi="宋体" w:eastAsia="仿宋_GB2312" w:cs="Times New Roman"/>
          <w:bCs/>
          <w:kern w:val="2"/>
          <w:sz w:val="32"/>
          <w:szCs w:val="32"/>
          <w:highlight w:val="none"/>
          <w:lang w:val="en-US" w:eastAsia="zh-CN" w:bidi="ar-SA"/>
        </w:rPr>
        <w:t>方面有待提升。</w:t>
      </w:r>
      <w:bookmarkEnd w:id="17"/>
      <w:bookmarkEnd w:id="18"/>
    </w:p>
    <w:p>
      <w:pPr>
        <w:pStyle w:val="4"/>
        <w:ind w:firstLine="643"/>
        <w:rPr>
          <w:highlight w:val="none"/>
        </w:rPr>
      </w:pPr>
      <w:bookmarkStart w:id="19" w:name="_Toc4389"/>
      <w:bookmarkStart w:id="20" w:name="_Toc15611"/>
      <w:r>
        <w:rPr>
          <w:rFonts w:hint="eastAsia"/>
          <w:highlight w:val="none"/>
        </w:rPr>
        <w:t>四、绩效评价指标分析</w:t>
      </w:r>
      <w:bookmarkEnd w:id="19"/>
      <w:bookmarkEnd w:id="20"/>
    </w:p>
    <w:p>
      <w:pPr>
        <w:pStyle w:val="5"/>
        <w:ind w:firstLine="640"/>
        <w:rPr>
          <w:highlight w:val="none"/>
        </w:rPr>
      </w:pPr>
      <w:bookmarkStart w:id="21" w:name="_Toc25812"/>
      <w:bookmarkStart w:id="22" w:name="_Toc5664"/>
      <w:r>
        <w:rPr>
          <w:rFonts w:hint="eastAsia"/>
          <w:highlight w:val="none"/>
        </w:rPr>
        <w:t>（一）项目决策情况</w:t>
      </w:r>
      <w:bookmarkEnd w:id="21"/>
      <w:bookmarkEnd w:id="22"/>
    </w:p>
    <w:p>
      <w:pPr>
        <w:bidi w:val="0"/>
        <w:rPr>
          <w:rFonts w:hint="eastAsia"/>
          <w:highlight w:val="none"/>
          <w:lang w:val="en-US" w:eastAsia="zh-CN"/>
        </w:rPr>
      </w:pPr>
      <w:r>
        <w:rPr>
          <w:rFonts w:hint="eastAsia"/>
          <w:highlight w:val="none"/>
          <w:lang w:val="en-US" w:eastAsia="zh-CN"/>
        </w:rPr>
        <w:t>1.项目立项情况</w:t>
      </w:r>
    </w:p>
    <w:p>
      <w:pPr>
        <w:bidi w:val="0"/>
        <w:rPr>
          <w:rFonts w:hint="eastAsia"/>
          <w:highlight w:val="none"/>
        </w:rPr>
      </w:pPr>
      <w:r>
        <w:rPr>
          <w:rFonts w:hint="eastAsia"/>
          <w:highlight w:val="none"/>
          <w:lang w:val="en-US" w:eastAsia="zh-CN"/>
        </w:rPr>
        <w:t>（1）</w:t>
      </w:r>
      <w:r>
        <w:rPr>
          <w:rFonts w:hint="eastAsia"/>
          <w:highlight w:val="none"/>
        </w:rPr>
        <w:t>立项依据充分性分析</w:t>
      </w:r>
    </w:p>
    <w:p>
      <w:pPr>
        <w:bidi w:val="0"/>
        <w:ind w:firstLine="640" w:firstLineChars="200"/>
        <w:rPr>
          <w:rFonts w:hint="default" w:eastAsia="仿宋_GB2312"/>
          <w:highlight w:val="none"/>
          <w:lang w:val="en-US" w:eastAsia="zh-CN"/>
        </w:rPr>
      </w:pPr>
      <w:bookmarkStart w:id="23" w:name="_Toc308210634"/>
      <w:r>
        <w:rPr>
          <w:rFonts w:hint="eastAsia"/>
          <w:highlight w:val="none"/>
          <w:lang w:val="en-US" w:eastAsia="zh-CN"/>
        </w:rPr>
        <w:t>因环管中心</w:t>
      </w:r>
      <w:r>
        <w:rPr>
          <w:rFonts w:hint="eastAsia"/>
          <w:highlight w:val="none"/>
        </w:rPr>
        <w:t>开发了北京环卫信息管理系统、北京市垃圾处理设施在线监控系统和北京市环境卫生管理事务中心内务管理系统。</w:t>
      </w:r>
      <w:r>
        <w:rPr>
          <w:rFonts w:hint="eastAsia"/>
          <w:highlight w:val="none"/>
          <w:lang w:val="en-US" w:eastAsia="zh-CN"/>
        </w:rPr>
        <w:t>根据信息系统安全管理要求，需不定期完成</w:t>
      </w:r>
      <w:r>
        <w:rPr>
          <w:rFonts w:hint="eastAsia" w:hAnsi="宋体" w:cs="Times New Roman"/>
          <w:bCs/>
          <w:kern w:val="2"/>
          <w:sz w:val="32"/>
          <w:szCs w:val="32"/>
          <w:highlight w:val="none"/>
          <w:lang w:val="en-US" w:eastAsia="zh-CN" w:bidi="ar-SA"/>
        </w:rPr>
        <w:t>等级保护测评</w:t>
      </w:r>
      <w:r>
        <w:rPr>
          <w:rFonts w:hint="eastAsia"/>
          <w:highlight w:val="none"/>
          <w:lang w:val="en-US" w:eastAsia="zh-CN"/>
        </w:rPr>
        <w:t>相关工作，</w:t>
      </w:r>
      <w:r>
        <w:rPr>
          <w:rFonts w:hint="eastAsia" w:ascii="仿宋_GB2312" w:hAnsi="宋体" w:eastAsia="仿宋_GB2312" w:cs="Times New Roman"/>
          <w:bCs/>
          <w:kern w:val="2"/>
          <w:sz w:val="32"/>
          <w:szCs w:val="32"/>
          <w:highlight w:val="none"/>
          <w:lang w:val="en-US" w:eastAsia="zh-CN" w:bidi="ar-SA"/>
        </w:rPr>
        <w:t>依据《北京市环境卫生管理事务中心项目管理办法》，规范项目管理流程和验收标准，明确管理节点，落实管理责任，提高立项及项目实施管理的效率与质量。</w:t>
      </w:r>
      <w:r>
        <w:rPr>
          <w:rFonts w:hint="eastAsia" w:hAnsi="宋体" w:cs="Times New Roman"/>
          <w:bCs/>
          <w:kern w:val="2"/>
          <w:sz w:val="32"/>
          <w:szCs w:val="32"/>
          <w:highlight w:val="none"/>
          <w:lang w:val="en-US" w:eastAsia="zh-CN" w:bidi="ar-SA"/>
        </w:rPr>
        <w:t>该</w:t>
      </w:r>
      <w:bookmarkEnd w:id="23"/>
      <w:r>
        <w:rPr>
          <w:rFonts w:hint="eastAsia" w:hAnsi="宋体" w:cs="Times New Roman"/>
          <w:bCs/>
          <w:kern w:val="2"/>
          <w:sz w:val="32"/>
          <w:szCs w:val="32"/>
          <w:highlight w:val="none"/>
          <w:lang w:val="en-US" w:eastAsia="zh-CN" w:bidi="ar-SA"/>
        </w:rPr>
        <w:t>项目立项依据较充分。</w:t>
      </w:r>
    </w:p>
    <w:p>
      <w:pPr>
        <w:bidi w:val="0"/>
        <w:rPr>
          <w:rFonts w:hint="default"/>
          <w:highlight w:val="none"/>
          <w:lang w:val="en-US" w:eastAsia="zh-CN"/>
        </w:rPr>
      </w:pPr>
      <w:r>
        <w:rPr>
          <w:rFonts w:hint="eastAsia"/>
          <w:highlight w:val="none"/>
          <w:lang w:val="en-US" w:eastAsia="zh-CN"/>
        </w:rPr>
        <w:t>（2）</w:t>
      </w:r>
      <w:r>
        <w:rPr>
          <w:rFonts w:hint="default"/>
          <w:highlight w:val="none"/>
          <w:lang w:val="en-US" w:eastAsia="zh-CN"/>
        </w:rPr>
        <w:t>立项程序规范性分析</w:t>
      </w:r>
    </w:p>
    <w:p>
      <w:pPr>
        <w:bidi w:val="0"/>
        <w:ind w:firstLine="640" w:firstLineChars="200"/>
        <w:rPr>
          <w:rFonts w:hint="default" w:ascii="仿宋_GB2312" w:hAnsi="宋体" w:eastAsia="仿宋_GB2312" w:cs="Times New Roman"/>
          <w:bCs/>
          <w:kern w:val="2"/>
          <w:sz w:val="32"/>
          <w:szCs w:val="32"/>
          <w:highlight w:val="none"/>
          <w:lang w:val="en-US" w:eastAsia="zh-CN" w:bidi="ar-SA"/>
        </w:rPr>
      </w:pPr>
      <w:r>
        <w:rPr>
          <w:rFonts w:hint="eastAsia" w:ascii="仿宋_GB2312" w:hAnsi="宋体" w:eastAsia="仿宋_GB2312" w:cs="Times New Roman"/>
          <w:bCs/>
          <w:kern w:val="2"/>
          <w:sz w:val="32"/>
          <w:szCs w:val="32"/>
          <w:highlight w:val="none"/>
          <w:lang w:val="en-US" w:eastAsia="zh-CN" w:bidi="ar-SA"/>
        </w:rPr>
        <w:t>项目经主办科室申请，财务部门审核，分管领导审核，环管中心主要领导审批后形成申报文件，经市城市管理委同意、报市财政局审批，最终批准项目资金。按照市城市管理委的工作部署，根据环管中心项目管理办法，该项目通过在北京市中介服务网上交易平台上发布项目采购公告，平台采购小组根据评分办法开展评审活动，按采购程序确定项目服务单位。项目立项程序较为规范。</w:t>
      </w:r>
    </w:p>
    <w:p>
      <w:pPr>
        <w:bidi w:val="0"/>
        <w:rPr>
          <w:rFonts w:hint="eastAsia"/>
          <w:highlight w:val="none"/>
          <w:lang w:val="en-US" w:eastAsia="zh-CN"/>
        </w:rPr>
      </w:pPr>
      <w:r>
        <w:rPr>
          <w:rFonts w:hint="eastAsia"/>
          <w:highlight w:val="none"/>
          <w:lang w:val="en-US" w:eastAsia="zh-CN"/>
        </w:rPr>
        <w:t>2.项目绩效目标情况</w:t>
      </w:r>
    </w:p>
    <w:p>
      <w:pPr>
        <w:bidi w:val="0"/>
        <w:rPr>
          <w:rFonts w:hint="eastAsia"/>
          <w:highlight w:val="none"/>
        </w:rPr>
      </w:pPr>
      <w:r>
        <w:rPr>
          <w:rFonts w:hint="eastAsia"/>
          <w:highlight w:val="none"/>
        </w:rPr>
        <w:t>（1）绩效目标合理性分析</w:t>
      </w:r>
    </w:p>
    <w:p>
      <w:pPr>
        <w:bidi w:val="0"/>
        <w:rPr>
          <w:rFonts w:hint="eastAsia" w:hAnsi="宋体" w:cs="Times New Roman"/>
          <w:bCs/>
          <w:kern w:val="2"/>
          <w:sz w:val="32"/>
          <w:szCs w:val="32"/>
          <w:highlight w:val="none"/>
          <w:lang w:val="en-US" w:eastAsia="zh-CN" w:bidi="ar-SA"/>
        </w:rPr>
      </w:pPr>
      <w:r>
        <w:rPr>
          <w:rFonts w:hint="eastAsia" w:hAnsi="宋体" w:cs="Times New Roman"/>
          <w:bCs/>
          <w:kern w:val="2"/>
          <w:sz w:val="32"/>
          <w:szCs w:val="32"/>
          <w:highlight w:val="none"/>
          <w:lang w:val="en-US" w:eastAsia="zh-CN" w:bidi="ar-SA"/>
        </w:rPr>
        <w:t>该项目的绩效目标为根据中心环卫行业管理职能要求，通过对北京市环境卫生管理事务中心的北京环卫信息管理系统、北京市垃圾处理设施在线监控系统和北京市环境卫生管理事务中心内务管理系统实施等级保护测评工作，科学评估信息系统安全性能，持续推进信息安全技术和管理水平的不断提升，系统的稳定运行为管理部门提供真实有效的数据依据，为相关决策提供有力的支撑。绩效目标的设定与工作内容具有相关性，绩效目标设定较合理。</w:t>
      </w:r>
    </w:p>
    <w:p>
      <w:pPr>
        <w:bidi w:val="0"/>
        <w:rPr>
          <w:rFonts w:hint="eastAsia"/>
          <w:highlight w:val="none"/>
        </w:rPr>
      </w:pPr>
      <w:r>
        <w:rPr>
          <w:rFonts w:hint="eastAsia"/>
          <w:highlight w:val="none"/>
        </w:rPr>
        <w:t>（2）绩效指标明确性分析</w:t>
      </w:r>
    </w:p>
    <w:p>
      <w:pPr>
        <w:bidi w:val="0"/>
        <w:rPr>
          <w:rFonts w:hint="eastAsia"/>
          <w:highlight w:val="none"/>
          <w:lang w:val="en-US" w:eastAsia="zh-CN"/>
        </w:rPr>
      </w:pPr>
      <w:r>
        <w:rPr>
          <w:rFonts w:hint="eastAsia"/>
          <w:highlight w:val="none"/>
          <w:lang w:val="en-US" w:eastAsia="zh-CN"/>
        </w:rPr>
        <w:t>项目绩效申报表填写不完善，可持续影响指标难以考评；服务对象满意度指标“被测评对象满意度≥98%”指向不够准确，应进一步明确受众群体。</w:t>
      </w:r>
    </w:p>
    <w:p>
      <w:pPr>
        <w:bidi w:val="0"/>
        <w:rPr>
          <w:rFonts w:hint="eastAsia"/>
          <w:highlight w:val="none"/>
          <w:lang w:val="en-US" w:eastAsia="zh-CN"/>
        </w:rPr>
      </w:pPr>
      <w:r>
        <w:rPr>
          <w:rFonts w:hint="eastAsia"/>
          <w:highlight w:val="none"/>
          <w:lang w:val="en-US" w:eastAsia="zh-CN"/>
        </w:rPr>
        <w:t>3.项目资金投入情况</w:t>
      </w:r>
    </w:p>
    <w:p>
      <w:pPr>
        <w:bidi w:val="0"/>
        <w:rPr>
          <w:rFonts w:hint="eastAsia"/>
          <w:highlight w:val="none"/>
        </w:rPr>
      </w:pPr>
      <w:r>
        <w:rPr>
          <w:rFonts w:hint="eastAsia"/>
          <w:highlight w:val="none"/>
        </w:rPr>
        <w:t>（1）预算编制科学性分析</w:t>
      </w:r>
    </w:p>
    <w:p>
      <w:pPr>
        <w:bidi w:val="0"/>
        <w:rPr>
          <w:rFonts w:hint="eastAsia"/>
          <w:highlight w:val="none"/>
          <w:lang w:val="en-US" w:eastAsia="zh-CN"/>
        </w:rPr>
      </w:pPr>
      <w:r>
        <w:rPr>
          <w:rFonts w:hint="eastAsia"/>
          <w:highlight w:val="none"/>
          <w:lang w:val="en-US" w:eastAsia="zh-CN"/>
        </w:rPr>
        <w:t>项目实际到位资金21万元，资金到位率为100%。项目履行比选招标采购程序，2024年4月30日签订项目合同，服务期自签订之日起至2024年10月31日，合同签订金额20.1万元，合同分两次支付，9月23日提前完成项目任务，经验收合格支付合同尾款。建议统筹打包测评更有利于控制预算。</w:t>
      </w:r>
    </w:p>
    <w:p>
      <w:pPr>
        <w:bidi w:val="0"/>
        <w:rPr>
          <w:rFonts w:hint="eastAsia"/>
          <w:highlight w:val="none"/>
        </w:rPr>
      </w:pPr>
      <w:r>
        <w:rPr>
          <w:rFonts w:hint="eastAsia"/>
          <w:highlight w:val="none"/>
        </w:rPr>
        <w:t>（2）资金分配合理性分析</w:t>
      </w:r>
    </w:p>
    <w:p>
      <w:pPr>
        <w:bidi w:val="0"/>
        <w:rPr>
          <w:rFonts w:hint="eastAsia"/>
          <w:highlight w:val="none"/>
          <w:lang w:val="en-US" w:eastAsia="zh-CN"/>
        </w:rPr>
      </w:pPr>
      <w:r>
        <w:rPr>
          <w:rFonts w:hint="eastAsia"/>
          <w:highlight w:val="none"/>
          <w:lang w:val="en-US" w:eastAsia="zh-CN"/>
        </w:rPr>
        <w:t>项目整体预算分配原则明确，根据合同约定内容分配预算资金支出。预算实际支出20.1万元，预算执行率95.71%。年末结余0.9万元交回财政，资金分配较合理。</w:t>
      </w:r>
    </w:p>
    <w:p>
      <w:pPr>
        <w:pStyle w:val="5"/>
        <w:ind w:firstLine="640"/>
        <w:rPr>
          <w:highlight w:val="none"/>
        </w:rPr>
      </w:pPr>
      <w:bookmarkStart w:id="24" w:name="_Toc25563"/>
      <w:bookmarkStart w:id="25" w:name="_Toc24310"/>
      <w:r>
        <w:rPr>
          <w:rFonts w:hint="eastAsia"/>
          <w:highlight w:val="none"/>
        </w:rPr>
        <w:t>（二）项目过程情况</w:t>
      </w:r>
      <w:bookmarkEnd w:id="24"/>
      <w:bookmarkEnd w:id="25"/>
    </w:p>
    <w:p>
      <w:pPr>
        <w:bidi w:val="0"/>
        <w:rPr>
          <w:rFonts w:hint="eastAsia"/>
          <w:highlight w:val="none"/>
          <w:lang w:val="en-US" w:eastAsia="zh-CN"/>
        </w:rPr>
      </w:pPr>
      <w:r>
        <w:rPr>
          <w:rFonts w:hint="eastAsia"/>
          <w:highlight w:val="none"/>
          <w:lang w:val="en-US" w:eastAsia="zh-CN"/>
        </w:rPr>
        <w:t>1.项目资金管理情况</w:t>
      </w:r>
    </w:p>
    <w:p>
      <w:pPr>
        <w:bidi w:val="0"/>
        <w:rPr>
          <w:rFonts w:hint="eastAsia"/>
          <w:highlight w:val="none"/>
          <w:lang w:val="en-US" w:eastAsia="zh-CN"/>
        </w:rPr>
      </w:pPr>
      <w:r>
        <w:rPr>
          <w:rFonts w:hint="eastAsia"/>
          <w:highlight w:val="none"/>
          <w:lang w:val="en-US" w:eastAsia="zh-CN"/>
        </w:rPr>
        <w:t>（1）预算执行率</w:t>
      </w:r>
    </w:p>
    <w:p>
      <w:pPr>
        <w:bidi w:val="0"/>
        <w:rPr>
          <w:rFonts w:hint="default"/>
          <w:highlight w:val="none"/>
          <w:lang w:val="en-US" w:eastAsia="zh-CN"/>
        </w:rPr>
      </w:pPr>
      <w:r>
        <w:rPr>
          <w:rFonts w:hint="default"/>
          <w:highlight w:val="none"/>
          <w:lang w:val="en-US" w:eastAsia="zh-CN"/>
        </w:rPr>
        <w:t>2024年北京市环境卫生管理事务中心等级保护测评服务项目合同签订金额为20.1万元，2024年6月支付50%合同款10.05万元，2024年9月支付50%合同款10.05万元，2024年资金执行率为9</w:t>
      </w:r>
      <w:r>
        <w:rPr>
          <w:rFonts w:hint="eastAsia"/>
          <w:highlight w:val="none"/>
          <w:lang w:val="en-US" w:eastAsia="zh-CN"/>
        </w:rPr>
        <w:t>5.71</w:t>
      </w:r>
      <w:r>
        <w:rPr>
          <w:rFonts w:hint="default"/>
          <w:highlight w:val="none"/>
          <w:lang w:val="en-US" w:eastAsia="zh-CN"/>
        </w:rPr>
        <w:t>%。</w:t>
      </w:r>
    </w:p>
    <w:p>
      <w:pPr>
        <w:bidi w:val="0"/>
        <w:rPr>
          <w:rFonts w:hint="eastAsia"/>
          <w:highlight w:val="none"/>
          <w:lang w:val="en-US" w:eastAsia="zh-CN"/>
        </w:rPr>
      </w:pPr>
      <w:r>
        <w:rPr>
          <w:rFonts w:hint="eastAsia"/>
          <w:highlight w:val="none"/>
          <w:lang w:val="en-US" w:eastAsia="zh-CN"/>
        </w:rPr>
        <w:t>（2）资金使用合规性分析</w:t>
      </w:r>
    </w:p>
    <w:p>
      <w:pPr>
        <w:bidi w:val="0"/>
        <w:rPr>
          <w:rFonts w:hint="eastAsia"/>
          <w:highlight w:val="none"/>
          <w:lang w:val="en-US" w:eastAsia="zh-CN"/>
        </w:rPr>
      </w:pPr>
      <w:r>
        <w:rPr>
          <w:rFonts w:hint="eastAsia"/>
          <w:highlight w:val="none"/>
          <w:lang w:val="en-US" w:eastAsia="zh-CN"/>
        </w:rPr>
        <w:t>该项目财务资料完整，执行了政府会计制度，保证项目资金单独核算，有完整规范的会计账簿、记账凭证和相关的原始凭证，建立了完整的会计档案资料；会计核算准确，会计账务处理做到日清月结，指标对账准确无误，按照规定程序进行项目决算编报，预算执行与决算数据吻合无差错，确保经费支出的使用方向和效益。</w:t>
      </w:r>
    </w:p>
    <w:p>
      <w:pPr>
        <w:bidi w:val="0"/>
        <w:rPr>
          <w:rFonts w:hint="eastAsia"/>
          <w:highlight w:val="none"/>
          <w:lang w:val="en-US" w:eastAsia="zh-CN"/>
        </w:rPr>
      </w:pPr>
      <w:r>
        <w:rPr>
          <w:rFonts w:hint="eastAsia"/>
          <w:highlight w:val="none"/>
          <w:lang w:val="en-US" w:eastAsia="zh-CN"/>
        </w:rPr>
        <w:t>2.项目组织实施情况</w:t>
      </w:r>
    </w:p>
    <w:p>
      <w:pPr>
        <w:bidi w:val="0"/>
        <w:rPr>
          <w:rFonts w:hint="eastAsia"/>
          <w:highlight w:val="none"/>
          <w:lang w:val="en-US" w:eastAsia="zh-CN"/>
        </w:rPr>
      </w:pPr>
      <w:r>
        <w:rPr>
          <w:rFonts w:hint="eastAsia"/>
          <w:highlight w:val="none"/>
          <w:lang w:val="en-US" w:eastAsia="zh-CN"/>
        </w:rPr>
        <w:t>（1）管理制度健全性分析</w:t>
      </w:r>
    </w:p>
    <w:p>
      <w:pPr>
        <w:bidi w:val="0"/>
        <w:rPr>
          <w:rFonts w:hint="eastAsia"/>
          <w:highlight w:val="none"/>
          <w:lang w:val="en-US" w:eastAsia="zh-CN"/>
        </w:rPr>
      </w:pPr>
      <w:r>
        <w:rPr>
          <w:rFonts w:hint="eastAsia"/>
          <w:highlight w:val="none"/>
          <w:lang w:val="en-US" w:eastAsia="zh-CN"/>
        </w:rPr>
        <w:t>环管中心为了建立健全财务制度，规范财务行为，加强预算、资金核算管理，根据会计准则的要求，制定了《财务管理制度》《预算管理办法》《预算绩效管理办法》《资金支出管理办法》《货币资金管理办法》等系列的相关内控制度，建立健全内部监督机制，明确岗位职责，以及管理支票和现金的使用及报销程序，确保资金支付环节的安全、快捷、高效。同时环管中心根据有关法律法规的规定，结合实际，制定了《合同管理办法》，加强了内部合同管理工作，规范内部工作程序，明确各部门职责，提高效率。但项目信息安全制度体系不健全，此方面有待完善。</w:t>
      </w:r>
    </w:p>
    <w:p>
      <w:pPr>
        <w:bidi w:val="0"/>
        <w:rPr>
          <w:rFonts w:hint="eastAsia"/>
          <w:highlight w:val="none"/>
          <w:lang w:val="en-US" w:eastAsia="zh-CN"/>
        </w:rPr>
      </w:pPr>
      <w:r>
        <w:rPr>
          <w:rFonts w:hint="eastAsia"/>
          <w:highlight w:val="none"/>
          <w:lang w:val="en-US" w:eastAsia="zh-CN"/>
        </w:rPr>
        <w:t>（2）制度执行有效性分析</w:t>
      </w:r>
    </w:p>
    <w:p>
      <w:pPr>
        <w:bidi w:val="0"/>
        <w:rPr>
          <w:rFonts w:hint="default"/>
          <w:highlight w:val="none"/>
          <w:lang w:val="en-US" w:eastAsia="zh-CN"/>
        </w:rPr>
      </w:pPr>
      <w:r>
        <w:rPr>
          <w:rFonts w:hint="eastAsia"/>
          <w:highlight w:val="none"/>
          <w:lang w:val="en-US" w:eastAsia="zh-CN"/>
        </w:rPr>
        <w:t>项目组织架构齐全，职责分工明确，确保了各环节的顺畅运作。其次，沟通协调机制完善，能够及时解决跨部门协作中的问题，提升了整体效率。业务管理规范清晰，为项目的日常运营提供了有力支撑。然而，项目的实施方案仍有待完善，实施保障措施充分性有待加强。</w:t>
      </w:r>
    </w:p>
    <w:p>
      <w:pPr>
        <w:pStyle w:val="5"/>
        <w:ind w:firstLine="640"/>
        <w:rPr>
          <w:highlight w:val="none"/>
        </w:rPr>
      </w:pPr>
      <w:bookmarkStart w:id="26" w:name="_Toc21188"/>
      <w:bookmarkStart w:id="27" w:name="_Toc27476"/>
      <w:r>
        <w:rPr>
          <w:rFonts w:hint="eastAsia"/>
          <w:highlight w:val="none"/>
        </w:rPr>
        <w:t>（三）项目产出情况</w:t>
      </w:r>
      <w:bookmarkEnd w:id="26"/>
      <w:bookmarkEnd w:id="27"/>
    </w:p>
    <w:p>
      <w:pPr>
        <w:bidi w:val="0"/>
        <w:rPr>
          <w:rFonts w:hint="eastAsia"/>
          <w:highlight w:val="none"/>
          <w:lang w:val="en-US" w:eastAsia="zh-CN"/>
        </w:rPr>
      </w:pPr>
      <w:r>
        <w:rPr>
          <w:rFonts w:hint="eastAsia"/>
          <w:highlight w:val="none"/>
          <w:lang w:val="en-US" w:eastAsia="zh-CN"/>
        </w:rPr>
        <w:t>1.项目产出数量分析</w:t>
      </w:r>
    </w:p>
    <w:p>
      <w:pPr>
        <w:bidi w:val="0"/>
        <w:rPr>
          <w:rFonts w:hint="eastAsia"/>
          <w:highlight w:val="none"/>
          <w:lang w:val="en-US" w:eastAsia="zh-CN"/>
        </w:rPr>
      </w:pPr>
      <w:r>
        <w:rPr>
          <w:rFonts w:hint="eastAsia"/>
          <w:highlight w:val="none"/>
          <w:lang w:val="en-US" w:eastAsia="zh-CN"/>
        </w:rPr>
        <w:t>数量指标包含：等级保护测评系统数量3个；提供系统测评报告3份；每个系统需完成2次测评；等保二级系统测评指标数为164项。已按照要求完成数量指标。</w:t>
      </w:r>
    </w:p>
    <w:p>
      <w:pPr>
        <w:bidi w:val="0"/>
        <w:rPr>
          <w:rFonts w:hint="default"/>
          <w:highlight w:val="none"/>
          <w:lang w:val="en-US" w:eastAsia="zh-CN"/>
        </w:rPr>
      </w:pPr>
      <w:r>
        <w:rPr>
          <w:rFonts w:hint="eastAsia"/>
          <w:highlight w:val="none"/>
          <w:lang w:val="en-US" w:eastAsia="zh-CN"/>
        </w:rPr>
        <w:t>2.项目产出质量分析</w:t>
      </w:r>
    </w:p>
    <w:p>
      <w:pPr>
        <w:bidi w:val="0"/>
        <w:rPr>
          <w:rFonts w:hint="eastAsia"/>
          <w:highlight w:val="none"/>
          <w:lang w:val="en-US" w:eastAsia="zh-CN"/>
        </w:rPr>
      </w:pPr>
      <w:r>
        <w:rPr>
          <w:rFonts w:hint="eastAsia"/>
          <w:highlight w:val="none"/>
          <w:lang w:val="en-US" w:eastAsia="zh-CN"/>
        </w:rPr>
        <w:t>质量指标为：</w:t>
      </w:r>
      <w:r>
        <w:rPr>
          <w:rFonts w:hint="eastAsia"/>
          <w:highlight w:val="none"/>
        </w:rPr>
        <w:t>每个系统测评达标率达到100%；项目验收合格率达到100%。</w:t>
      </w:r>
      <w:r>
        <w:rPr>
          <w:rFonts w:hint="eastAsia"/>
          <w:highlight w:val="none"/>
          <w:lang w:val="en-US" w:eastAsia="zh-CN"/>
        </w:rPr>
        <w:t>该项目相关的</w:t>
      </w:r>
      <w:r>
        <w:rPr>
          <w:rFonts w:hint="default"/>
          <w:highlight w:val="none"/>
          <w:lang w:val="en-US" w:eastAsia="zh-CN"/>
        </w:rPr>
        <w:t>质量标准不明确</w:t>
      </w:r>
      <w:r>
        <w:rPr>
          <w:rFonts w:hint="eastAsia"/>
          <w:highlight w:val="none"/>
          <w:lang w:val="en-US" w:eastAsia="zh-CN"/>
        </w:rPr>
        <w:t>，各项内容缺乏进行规范性验收的项目资料，项目验收手续严谨性不足。</w:t>
      </w:r>
    </w:p>
    <w:p>
      <w:pPr>
        <w:bidi w:val="0"/>
        <w:rPr>
          <w:rFonts w:hint="default"/>
          <w:highlight w:val="none"/>
          <w:lang w:val="en-US" w:eastAsia="zh-CN"/>
        </w:rPr>
      </w:pPr>
      <w:r>
        <w:rPr>
          <w:rFonts w:hint="eastAsia"/>
          <w:highlight w:val="none"/>
          <w:lang w:val="en-US" w:eastAsia="zh-CN"/>
        </w:rPr>
        <w:t>3.项目产出时效分析</w:t>
      </w:r>
    </w:p>
    <w:p>
      <w:pPr>
        <w:bidi w:val="0"/>
        <w:rPr>
          <w:rFonts w:hint="default"/>
          <w:highlight w:val="none"/>
          <w:lang w:val="en-US" w:eastAsia="zh-CN"/>
        </w:rPr>
      </w:pPr>
      <w:r>
        <w:rPr>
          <w:rFonts w:hint="eastAsia"/>
          <w:highlight w:val="none"/>
          <w:lang w:val="en-US" w:eastAsia="zh-CN"/>
        </w:rPr>
        <w:t>该项目的时效指标设定为：时效指标：项目合同签订时间不晚于2024年5月31日；差距分析完成时间不晚于2024年6月30日；复测完成时间不晚于2024年8月31日；项目最终验收时间不晚于2024年10月31日。各项指标皆按时完成。</w:t>
      </w:r>
    </w:p>
    <w:p>
      <w:pPr>
        <w:bidi w:val="0"/>
        <w:rPr>
          <w:rFonts w:hint="default"/>
          <w:highlight w:val="none"/>
          <w:lang w:val="en-US" w:eastAsia="zh-CN"/>
        </w:rPr>
      </w:pPr>
      <w:r>
        <w:rPr>
          <w:rFonts w:hint="eastAsia"/>
          <w:highlight w:val="none"/>
          <w:lang w:val="en-US" w:eastAsia="zh-CN"/>
        </w:rPr>
        <w:t>4.项目产出成本</w:t>
      </w:r>
    </w:p>
    <w:p>
      <w:pPr>
        <w:bidi w:val="0"/>
        <w:rPr>
          <w:rFonts w:hint="default"/>
          <w:highlight w:val="none"/>
          <w:lang w:val="en-US" w:eastAsia="zh-CN"/>
        </w:rPr>
      </w:pPr>
      <w:bookmarkStart w:id="44" w:name="_GoBack"/>
      <w:r>
        <w:rPr>
          <w:rFonts w:hint="eastAsia"/>
          <w:highlight w:val="none"/>
          <w:lang w:val="en-US" w:eastAsia="zh-CN"/>
        </w:rPr>
        <w:t>项目实际成交金额为20.1万元，成交金额在项目预算批复内</w:t>
      </w:r>
      <w:r>
        <w:rPr>
          <w:rFonts w:hint="eastAsia"/>
          <w:highlight w:val="none"/>
          <w:lang w:val="en-US" w:eastAsia="zh-CN"/>
        </w:rPr>
        <w:t>，但成本</w:t>
      </w:r>
      <w:bookmarkEnd w:id="44"/>
      <w:r>
        <w:rPr>
          <w:rFonts w:hint="eastAsia"/>
          <w:highlight w:val="none"/>
          <w:lang w:val="en-US" w:eastAsia="zh-CN"/>
        </w:rPr>
        <w:t>控制措施有效性不足，对项目的成本把控难以体现，等级保护测评如统一安排，能进一步控制成本。</w:t>
      </w:r>
    </w:p>
    <w:p>
      <w:pPr>
        <w:pStyle w:val="5"/>
        <w:ind w:firstLine="640"/>
        <w:rPr>
          <w:highlight w:val="none"/>
        </w:rPr>
      </w:pPr>
      <w:bookmarkStart w:id="28" w:name="_Toc4860"/>
      <w:bookmarkStart w:id="29" w:name="_Toc1806"/>
      <w:r>
        <w:rPr>
          <w:rFonts w:hint="eastAsia"/>
          <w:highlight w:val="none"/>
        </w:rPr>
        <w:t>（四）项目效益情况</w:t>
      </w:r>
      <w:bookmarkEnd w:id="28"/>
      <w:bookmarkEnd w:id="29"/>
    </w:p>
    <w:p>
      <w:pPr>
        <w:bidi w:val="0"/>
        <w:rPr>
          <w:rFonts w:hint="default"/>
          <w:highlight w:val="none"/>
          <w:lang w:val="en-US" w:eastAsia="zh-CN"/>
        </w:rPr>
      </w:pPr>
      <w:r>
        <w:rPr>
          <w:rFonts w:hint="eastAsia"/>
          <w:highlight w:val="none"/>
          <w:lang w:val="en-US" w:eastAsia="zh-CN"/>
        </w:rPr>
        <w:t>1.项目实施效益</w:t>
      </w:r>
    </w:p>
    <w:p>
      <w:pPr>
        <w:bidi w:val="0"/>
        <w:rPr>
          <w:rFonts w:hint="eastAsia"/>
          <w:highlight w:val="none"/>
          <w:lang w:val="en-US" w:eastAsia="zh-CN"/>
        </w:rPr>
      </w:pPr>
      <w:r>
        <w:rPr>
          <w:rFonts w:hint="eastAsia"/>
          <w:highlight w:val="none"/>
          <w:lang w:val="en-US" w:eastAsia="zh-CN"/>
        </w:rPr>
        <w:t>该项目分别设定了社会效益指标和可持续影响指标，但是效益指标未进行量化处理。通过项目实施，一定程度提高了信息系统的安全水平、推进信息安全技术和管理水平的不断提升。但项目成果反馈及利用情况呈现不足，历年情况对比数据、效益情况资料有待完善。</w:t>
      </w:r>
    </w:p>
    <w:p>
      <w:pPr>
        <w:bidi w:val="0"/>
        <w:rPr>
          <w:rFonts w:hint="default"/>
          <w:highlight w:val="none"/>
          <w:lang w:val="en-US" w:eastAsia="zh-CN"/>
        </w:rPr>
      </w:pPr>
      <w:r>
        <w:rPr>
          <w:rFonts w:hint="eastAsia"/>
          <w:highlight w:val="none"/>
          <w:lang w:val="en-US" w:eastAsia="zh-CN"/>
        </w:rPr>
        <w:t>2.项目满意度</w:t>
      </w:r>
    </w:p>
    <w:p>
      <w:pPr>
        <w:bidi w:val="0"/>
        <w:rPr>
          <w:rFonts w:hint="eastAsia" w:hAnsi="宋体" w:cs="Times New Roman"/>
          <w:bCs/>
          <w:kern w:val="2"/>
          <w:sz w:val="32"/>
          <w:szCs w:val="32"/>
          <w:highlight w:val="none"/>
          <w:lang w:val="en-US" w:eastAsia="zh-CN" w:bidi="ar-SA"/>
        </w:rPr>
      </w:pPr>
      <w:r>
        <w:rPr>
          <w:rFonts w:hint="eastAsia" w:hAnsi="宋体" w:cs="Times New Roman"/>
          <w:bCs/>
          <w:kern w:val="2"/>
          <w:sz w:val="32"/>
          <w:szCs w:val="32"/>
          <w:highlight w:val="none"/>
          <w:lang w:val="en-US" w:eastAsia="zh-CN" w:bidi="ar-SA"/>
        </w:rPr>
        <w:t>该项目满意度指标为被测评对象满意度≥98%，以发放问卷的形式进行了满意度调查，调查结果为满意度100%。</w:t>
      </w:r>
    </w:p>
    <w:p>
      <w:pPr>
        <w:pStyle w:val="4"/>
        <w:ind w:firstLine="643"/>
        <w:rPr>
          <w:highlight w:val="none"/>
        </w:rPr>
      </w:pPr>
      <w:bookmarkStart w:id="30" w:name="_Toc30896"/>
      <w:bookmarkStart w:id="31" w:name="_Toc20754"/>
      <w:r>
        <w:rPr>
          <w:rFonts w:hint="eastAsia"/>
          <w:highlight w:val="none"/>
        </w:rPr>
        <w:t>五、主要经验及做法、存在的问题及原因分析</w:t>
      </w:r>
      <w:bookmarkEnd w:id="30"/>
      <w:bookmarkEnd w:id="31"/>
    </w:p>
    <w:p>
      <w:pPr>
        <w:pStyle w:val="5"/>
        <w:ind w:firstLine="640"/>
        <w:rPr>
          <w:rFonts w:hint="eastAsia"/>
          <w:highlight w:val="none"/>
        </w:rPr>
      </w:pPr>
      <w:bookmarkStart w:id="32" w:name="_Toc15451"/>
      <w:bookmarkStart w:id="33" w:name="_Toc30125"/>
      <w:bookmarkStart w:id="34" w:name="_Toc842"/>
      <w:bookmarkStart w:id="35" w:name="_Toc5826"/>
      <w:r>
        <w:rPr>
          <w:rFonts w:hint="eastAsia"/>
          <w:highlight w:val="none"/>
        </w:rPr>
        <w:t>（一）主要经验及做法</w:t>
      </w:r>
      <w:bookmarkEnd w:id="32"/>
      <w:bookmarkEnd w:id="33"/>
      <w:bookmarkEnd w:id="34"/>
    </w:p>
    <w:p>
      <w:pPr>
        <w:bidi w:val="0"/>
        <w:rPr>
          <w:rFonts w:hint="eastAsia"/>
          <w:highlight w:val="none"/>
          <w:lang w:val="en-US" w:eastAsia="zh-CN"/>
        </w:rPr>
      </w:pPr>
      <w:bookmarkStart w:id="36" w:name="_Toc23751"/>
      <w:r>
        <w:rPr>
          <w:rFonts w:hint="eastAsia"/>
          <w:highlight w:val="none"/>
          <w:lang w:val="en-US" w:eastAsia="zh-CN"/>
        </w:rPr>
        <w:t>暂无。</w:t>
      </w:r>
      <w:bookmarkEnd w:id="36"/>
    </w:p>
    <w:p>
      <w:pPr>
        <w:pStyle w:val="5"/>
        <w:ind w:firstLine="640"/>
        <w:rPr>
          <w:highlight w:val="none"/>
        </w:rPr>
      </w:pPr>
      <w:bookmarkStart w:id="37" w:name="_Toc31665"/>
      <w:r>
        <w:rPr>
          <w:rFonts w:hint="eastAsia"/>
          <w:highlight w:val="none"/>
        </w:rPr>
        <w:t>（</w:t>
      </w:r>
      <w:r>
        <w:rPr>
          <w:rFonts w:hint="eastAsia"/>
          <w:highlight w:val="none"/>
          <w:lang w:val="en-US" w:eastAsia="zh-CN"/>
        </w:rPr>
        <w:t>二</w:t>
      </w:r>
      <w:r>
        <w:rPr>
          <w:rFonts w:hint="eastAsia"/>
          <w:highlight w:val="none"/>
        </w:rPr>
        <w:t>）存在的问题及原因分析</w:t>
      </w:r>
      <w:bookmarkEnd w:id="35"/>
      <w:bookmarkEnd w:id="37"/>
    </w:p>
    <w:p>
      <w:pPr>
        <w:bidi w:val="0"/>
        <w:rPr>
          <w:rFonts w:hint="eastAsia"/>
          <w:highlight w:val="none"/>
          <w:lang w:val="en-US" w:eastAsia="zh-CN"/>
        </w:rPr>
      </w:pPr>
      <w:r>
        <w:rPr>
          <w:rFonts w:hint="eastAsia"/>
          <w:highlight w:val="none"/>
          <w:lang w:val="en-US" w:eastAsia="zh-CN"/>
        </w:rPr>
        <w:t>1.项目绩效目标细化、量化不够。</w:t>
      </w:r>
    </w:p>
    <w:p>
      <w:pPr>
        <w:bidi w:val="0"/>
        <w:rPr>
          <w:rFonts w:hint="eastAsia"/>
          <w:highlight w:val="none"/>
          <w:lang w:val="en-US" w:eastAsia="zh-CN"/>
        </w:rPr>
      </w:pPr>
      <w:r>
        <w:rPr>
          <w:rFonts w:hint="eastAsia"/>
          <w:highlight w:val="none"/>
          <w:lang w:val="en-US" w:eastAsia="zh-CN"/>
        </w:rPr>
        <w:t>该项目绩效指标的设定细化、量化不足，可持续影响指标未量化，不够明确；服务对象满意度指标“被测评对象满意度≥98%”，受益对象指向不够准确。</w:t>
      </w:r>
    </w:p>
    <w:p>
      <w:pPr>
        <w:bidi w:val="0"/>
        <w:rPr>
          <w:rFonts w:hint="eastAsia"/>
          <w:highlight w:val="none"/>
          <w:lang w:val="en-US" w:eastAsia="zh-CN"/>
        </w:rPr>
      </w:pPr>
      <w:r>
        <w:rPr>
          <w:rFonts w:hint="eastAsia"/>
          <w:highlight w:val="none"/>
          <w:lang w:val="en-US" w:eastAsia="zh-CN"/>
        </w:rPr>
        <w:t>2.项目管理制度的健全性存在不足。</w:t>
      </w:r>
    </w:p>
    <w:p>
      <w:pPr>
        <w:bidi w:val="0"/>
        <w:rPr>
          <w:rFonts w:hint="eastAsia"/>
          <w:highlight w:val="none"/>
          <w:lang w:val="en-US" w:eastAsia="zh-CN"/>
        </w:rPr>
      </w:pPr>
      <w:r>
        <w:rPr>
          <w:rFonts w:hint="eastAsia"/>
          <w:highlight w:val="none"/>
          <w:lang w:val="en-US" w:eastAsia="zh-CN"/>
        </w:rPr>
        <w:t>项目管理制度基本健全，在《北京市城市管理委网络安全和信息化管理办法》基础上制定了本单位的《网络安全和信息化管理办法》，但仍须健全信息化建设运维全过程管理制度。同时项目实施方案中实施保障措施充分性有待完善。</w:t>
      </w:r>
    </w:p>
    <w:p>
      <w:pPr>
        <w:bidi w:val="0"/>
        <w:rPr>
          <w:rFonts w:hint="eastAsia"/>
          <w:highlight w:val="none"/>
          <w:lang w:val="en-US" w:eastAsia="zh-CN"/>
        </w:rPr>
      </w:pPr>
      <w:r>
        <w:rPr>
          <w:rFonts w:hint="eastAsia"/>
          <w:highlight w:val="none"/>
          <w:lang w:val="en-US" w:eastAsia="zh-CN"/>
        </w:rPr>
        <w:t>3.项目效果展示有待加强。</w:t>
      </w:r>
    </w:p>
    <w:p>
      <w:pPr>
        <w:bidi w:val="0"/>
        <w:rPr>
          <w:rFonts w:hint="eastAsia"/>
          <w:highlight w:val="none"/>
          <w:lang w:val="en-US" w:eastAsia="zh-CN"/>
        </w:rPr>
      </w:pPr>
      <w:r>
        <w:rPr>
          <w:rFonts w:hint="eastAsia"/>
          <w:highlight w:val="none"/>
          <w:lang w:val="en-US" w:eastAsia="zh-CN"/>
        </w:rPr>
        <w:t>项目成果实际应用有待加强，根据等保测评报告，项目制度体系建设不足，人员培训管理不到位，针对测评报告发现问题的整改完善措施不够清晰明确，也缺少对照上年测评报告说明已经发现和指出的问题是否在2024年再次发生发现。</w:t>
      </w:r>
    </w:p>
    <w:p>
      <w:pPr>
        <w:pStyle w:val="4"/>
        <w:ind w:firstLine="643"/>
        <w:rPr>
          <w:highlight w:val="none"/>
        </w:rPr>
      </w:pPr>
      <w:bookmarkStart w:id="38" w:name="_Toc24957"/>
      <w:bookmarkStart w:id="39" w:name="_Toc25233"/>
      <w:r>
        <w:rPr>
          <w:rFonts w:hint="eastAsia"/>
          <w:highlight w:val="none"/>
        </w:rPr>
        <w:t>六、有关建议</w:t>
      </w:r>
      <w:bookmarkEnd w:id="38"/>
      <w:bookmarkEnd w:id="39"/>
    </w:p>
    <w:p>
      <w:pPr>
        <w:bidi w:val="0"/>
        <w:rPr>
          <w:rFonts w:hint="eastAsia"/>
          <w:highlight w:val="none"/>
          <w:lang w:val="en-US" w:eastAsia="zh-CN"/>
        </w:rPr>
      </w:pPr>
      <w:r>
        <w:rPr>
          <w:rFonts w:hint="eastAsia"/>
          <w:highlight w:val="none"/>
          <w:lang w:val="en-US" w:eastAsia="zh-CN"/>
        </w:rPr>
        <w:t>（一）加强预算绩效管理意识，提高绩效目标编制水平，结合项目特点合理设定绩效目标，细化量化各项绩效指标，提高绩效目标的明确性和合理性。</w:t>
      </w:r>
    </w:p>
    <w:p>
      <w:pPr>
        <w:bidi w:val="0"/>
        <w:rPr>
          <w:rFonts w:hint="eastAsia"/>
          <w:highlight w:val="none"/>
          <w:lang w:val="en-US" w:eastAsia="zh-CN"/>
        </w:rPr>
      </w:pPr>
      <w:r>
        <w:rPr>
          <w:rFonts w:hint="eastAsia"/>
          <w:highlight w:val="none"/>
          <w:lang w:val="en-US" w:eastAsia="zh-CN"/>
        </w:rPr>
        <w:t>（二）建立健全相关的项目管理制度，按照等保测评报告的建议及时修订完善信息安全各项制度和方案；完善项目实施方案，细化责任分工，明确项目质量标准，加强第三方监管，完善项目验收机制，以保障项目顺利开展。</w:t>
      </w:r>
    </w:p>
    <w:p>
      <w:pPr>
        <w:bidi w:val="0"/>
        <w:rPr>
          <w:rFonts w:hint="default"/>
          <w:highlight w:val="none"/>
          <w:lang w:val="en-US" w:eastAsia="zh-CN"/>
        </w:rPr>
      </w:pPr>
      <w:r>
        <w:rPr>
          <w:rFonts w:hint="eastAsia"/>
          <w:highlight w:val="none"/>
          <w:lang w:val="en-US" w:eastAsia="zh-CN"/>
        </w:rPr>
        <w:t>（三）加强项目绩效管理，补充完善项目效益成果资料；同步加强项目满意度调查，并进行调查分析汇总。</w:t>
      </w:r>
    </w:p>
    <w:p>
      <w:pPr>
        <w:pStyle w:val="4"/>
        <w:ind w:firstLine="643"/>
        <w:rPr>
          <w:highlight w:val="none"/>
        </w:rPr>
      </w:pPr>
      <w:bookmarkStart w:id="40" w:name="_Toc1532"/>
      <w:bookmarkStart w:id="41" w:name="_Toc21748"/>
      <w:r>
        <w:rPr>
          <w:rFonts w:hint="eastAsia"/>
          <w:highlight w:val="none"/>
        </w:rPr>
        <w:t>七、其他需要说明的问题</w:t>
      </w:r>
      <w:bookmarkEnd w:id="40"/>
      <w:bookmarkEnd w:id="41"/>
    </w:p>
    <w:p>
      <w:pPr>
        <w:bidi w:val="0"/>
        <w:rPr>
          <w:rFonts w:hint="eastAsia"/>
          <w:highlight w:val="none"/>
          <w:lang w:val="en-US" w:eastAsia="zh-CN"/>
        </w:rPr>
      </w:pPr>
      <w:r>
        <w:rPr>
          <w:rFonts w:hint="eastAsia"/>
          <w:highlight w:val="none"/>
          <w:lang w:val="en-US" w:eastAsia="zh-CN"/>
        </w:rPr>
        <w:t>无。</w:t>
      </w:r>
    </w:p>
    <w:p>
      <w:pPr>
        <w:pStyle w:val="4"/>
        <w:ind w:firstLine="643"/>
        <w:rPr>
          <w:highlight w:val="none"/>
        </w:rPr>
      </w:pPr>
      <w:bookmarkStart w:id="42" w:name="_Toc31496"/>
      <w:bookmarkStart w:id="43" w:name="_Toc32651"/>
      <w:r>
        <w:rPr>
          <w:rFonts w:hint="eastAsia"/>
          <w:highlight w:val="none"/>
        </w:rPr>
        <w:t>八、附件</w:t>
      </w:r>
      <w:bookmarkEnd w:id="42"/>
      <w:bookmarkEnd w:id="43"/>
    </w:p>
    <w:p>
      <w:pPr>
        <w:rPr>
          <w:rFonts w:hint="eastAsia"/>
          <w:highlight w:val="none"/>
          <w:lang w:eastAsia="zh-CN"/>
        </w:rPr>
      </w:pPr>
      <w:r>
        <w:rPr>
          <w:rFonts w:hint="eastAsia"/>
          <w:highlight w:val="none"/>
          <w:lang w:eastAsia="zh-CN"/>
        </w:rPr>
        <w:t>《</w:t>
      </w:r>
      <w:r>
        <w:rPr>
          <w:rFonts w:hint="eastAsia"/>
          <w:highlight w:val="none"/>
          <w:lang w:val="en-US" w:eastAsia="zh-CN"/>
        </w:rPr>
        <w:t>2024年北京市环境卫生管理事务中心等级保护测评服务项目</w:t>
      </w:r>
      <w:r>
        <w:rPr>
          <w:rFonts w:hint="eastAsia"/>
          <w:highlight w:val="none"/>
        </w:rPr>
        <w:t>评分表</w:t>
      </w:r>
      <w:r>
        <w:rPr>
          <w:rFonts w:hint="eastAsia"/>
          <w:highlight w:val="none"/>
          <w:lang w:eastAsia="zh-CN"/>
        </w:rPr>
        <w:t>》</w:t>
      </w:r>
      <w:r>
        <w:rPr>
          <w:rFonts w:hint="eastAsia"/>
          <w:highlight w:val="none"/>
          <w:lang w:eastAsia="zh-CN"/>
        </w:rPr>
        <w:br w:type="page"/>
      </w:r>
    </w:p>
    <w:p>
      <w:pPr>
        <w:bidi w:val="0"/>
        <w:ind w:left="0" w:leftChars="0" w:firstLine="0" w:firstLineChars="0"/>
        <w:rPr>
          <w:rFonts w:hint="eastAsia" w:ascii="宋体" w:hAnsi="宋体" w:eastAsia="宋体" w:cs="宋体"/>
          <w:b/>
          <w:bCs/>
          <w:highlight w:val="none"/>
          <w:lang w:val="en-US" w:eastAsia="zh-CN"/>
        </w:rPr>
      </w:pPr>
      <w:r>
        <w:rPr>
          <w:rFonts w:hint="eastAsia" w:ascii="宋体" w:hAnsi="宋体" w:eastAsia="宋体" w:cs="宋体"/>
          <w:highlight w:val="none"/>
          <w:lang w:val="en-US" w:eastAsia="zh-CN"/>
        </w:rPr>
        <w:t>附件：</w:t>
      </w:r>
      <w:r>
        <w:rPr>
          <w:rFonts w:hint="eastAsia" w:ascii="宋体" w:hAnsi="宋体" w:eastAsia="宋体" w:cs="宋体"/>
          <w:b/>
          <w:bCs/>
          <w:highlight w:val="none"/>
          <w:lang w:val="en-US" w:eastAsia="zh-CN"/>
        </w:rPr>
        <w:t>2024年北京市环境卫生管理事务中心等级保护测评服务项目评分表</w:t>
      </w:r>
    </w:p>
    <w:p>
      <w:pPr>
        <w:bidi w:val="0"/>
        <w:ind w:left="0" w:leftChars="0" w:firstLine="0" w:firstLineChars="0"/>
        <w:rPr>
          <w:rFonts w:hint="eastAsia" w:ascii="宋体" w:hAnsi="宋体" w:eastAsia="宋体" w:cs="宋体"/>
          <w:sz w:val="22"/>
          <w:szCs w:val="22"/>
          <w:highlight w:val="none"/>
          <w:lang w:val="en-US" w:eastAsia="zh-CN"/>
        </w:rPr>
      </w:pPr>
      <w:r>
        <w:rPr>
          <w:rFonts w:hint="eastAsia" w:ascii="宋体" w:hAnsi="宋体" w:eastAsia="宋体" w:cs="宋体"/>
          <w:sz w:val="22"/>
          <w:szCs w:val="22"/>
          <w:highlight w:val="none"/>
          <w:lang w:val="en-US" w:eastAsia="zh-CN"/>
        </w:rPr>
        <w:t>项目名称：2024年北京市环境卫生管理事务中心等级保护测评服务</w:t>
      </w:r>
    </w:p>
    <w:tbl>
      <w:tblPr>
        <w:tblStyle w:val="14"/>
        <w:tblW w:w="85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4"/>
        <w:gridCol w:w="1257"/>
        <w:gridCol w:w="1330"/>
        <w:gridCol w:w="720"/>
        <w:gridCol w:w="840"/>
        <w:gridCol w:w="33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blHeader/>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一级指标</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二级指标</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三级指标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分值</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评分</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评价意见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决策</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（20分）</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项目立项</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（6分）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立项依据充分性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3.00</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项目立项依据较充分。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立项程序规范性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2.86</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sz w:val="22"/>
                <w:szCs w:val="22"/>
                <w:highlight w:val="none"/>
                <w:u w:val="none"/>
                <w:lang w:val="en-US" w:eastAsia="zh-CN"/>
              </w:rPr>
              <w:t>项目立项程序较规范。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绩效目标</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（6分）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绩效目标合理性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2.42</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sz w:val="22"/>
                <w:szCs w:val="22"/>
                <w:highlight w:val="none"/>
                <w:u w:val="none"/>
                <w:lang w:val="en-US" w:eastAsia="zh-CN"/>
              </w:rPr>
              <w:t>绩效目标设置基本合理，目标清晰。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4"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绩效指标明确性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2.38</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绩效指标有待健全完善，量化和细化存在不足。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8"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资金投入</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（8分）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预算编制科学性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3.14</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建</w:t>
            </w:r>
            <w:r>
              <w:rPr>
                <w:rFonts w:hint="eastAsia" w:ascii="宋体" w:hAnsi="宋体" w:eastAsia="宋体" w:cs="宋体"/>
                <w:i w:val="0"/>
                <w:iCs w:val="0"/>
                <w:color w:val="000000"/>
                <w:kern w:val="0"/>
                <w:sz w:val="22"/>
                <w:szCs w:val="22"/>
                <w:highlight w:val="none"/>
                <w:u w:val="none"/>
                <w:lang w:val="en-US" w:eastAsia="zh-CN" w:bidi="ar"/>
              </w:rPr>
              <w:t>议统筹打包测评更有利于控制预算。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资金分配合理性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3.68</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sz w:val="22"/>
                <w:szCs w:val="22"/>
                <w:highlight w:val="none"/>
                <w:u w:val="none"/>
                <w:lang w:val="en-US" w:eastAsia="zh-CN"/>
              </w:rPr>
              <w:t>资金分配原则合理明确。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过程</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（20分）</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资金管理</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（10分）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预算执行率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4.92</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预算执行率95.71%。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资金使用合规性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4.90</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资金使用较为合规。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组织实施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（10分）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管理制度健全性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4.06</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信息安全制度体系不健全，有待加强。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4"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制度执行有效性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4.20</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项目的实施方案仍有待完善，实施保障措施充分性有待加强。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（30分）</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产出数量</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（10分）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实际完成率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9.80</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按计划完成项目任务。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产出质量</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（8分）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项目完成质量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7.40</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质控留痕资料存在不足。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4"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产出时效</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项目完成及时性</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4.76</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项目按计划组织实施，项目时效控制较好</w:t>
            </w:r>
            <w:r>
              <w:rPr>
                <w:rFonts w:hint="eastAsia" w:ascii="宋体" w:hAnsi="宋体" w:eastAsia="宋体" w:cs="宋体"/>
                <w:i w:val="0"/>
                <w:iCs w:val="0"/>
                <w:color w:val="000000"/>
                <w:sz w:val="22"/>
                <w:szCs w:val="22"/>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产出成本</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（7分）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项目资金的运行效率</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6.12</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成本控制措施及执行有效性不足</w:t>
            </w:r>
            <w:r>
              <w:rPr>
                <w:rFonts w:hint="eastAsia" w:ascii="宋体" w:hAnsi="宋体" w:eastAsia="宋体" w:cs="宋体"/>
                <w:i w:val="0"/>
                <w:iCs w:val="0"/>
                <w:color w:val="000000"/>
                <w:sz w:val="22"/>
                <w:szCs w:val="22"/>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6" w:hRule="atLeast"/>
          <w:jc w:val="center"/>
        </w:trPr>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效益</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（30分）</w:t>
            </w: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项目效益</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社会效益</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18.20</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绩效佐证资料有待加强，针对测评报告发现问题的整改完善措施不够清晰明确，也缺少对照上年测评报告说明已经发现和指出的问题是否在2024年再次发生发现。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4" w:hRule="atLeast"/>
          <w:jc w:val="center"/>
        </w:trPr>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highlight w:val="none"/>
                <w:u w:val="none"/>
              </w:rPr>
            </w:pPr>
          </w:p>
        </w:tc>
        <w:tc>
          <w:tcPr>
            <w:tcW w:w="12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满意度</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（10分）</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服务对象满意度</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8.8</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center" w:pos="1876"/>
              </w:tabs>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满意度结果100%，相关支撑资料仍有提升空间</w:t>
            </w:r>
            <w:r>
              <w:rPr>
                <w:rFonts w:hint="eastAsia" w:ascii="宋体" w:hAnsi="宋体" w:eastAsia="宋体" w:cs="宋体"/>
                <w:i w:val="0"/>
                <w:iCs w:val="0"/>
                <w:color w:val="000000"/>
                <w:sz w:val="22"/>
                <w:szCs w:val="22"/>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kern w:val="0"/>
                <w:sz w:val="22"/>
                <w:szCs w:val="22"/>
                <w:highlight w:val="none"/>
                <w:u w:val="none"/>
                <w:lang w:val="en-US" w:eastAsia="zh-CN" w:bidi="ar"/>
              </w:rPr>
            </w:pPr>
            <w:r>
              <w:rPr>
                <w:rFonts w:hint="eastAsia" w:ascii="宋体" w:hAnsi="宋体" w:eastAsia="宋体" w:cs="宋体"/>
                <w:b/>
                <w:bCs/>
                <w:i w:val="0"/>
                <w:iCs w:val="0"/>
                <w:color w:val="000000"/>
                <w:kern w:val="0"/>
                <w:sz w:val="22"/>
                <w:szCs w:val="22"/>
                <w:highlight w:val="none"/>
                <w:u w:val="none"/>
                <w:lang w:val="en-US" w:eastAsia="zh-CN" w:bidi="ar"/>
              </w:rPr>
              <w:t>合计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90.64</w:t>
            </w:r>
          </w:p>
        </w:tc>
        <w:tc>
          <w:tcPr>
            <w:tcW w:w="3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b/>
                <w:bCs/>
                <w:i w:val="0"/>
                <w:iCs w:val="0"/>
                <w:color w:val="000000"/>
                <w:sz w:val="22"/>
                <w:szCs w:val="22"/>
                <w:highlight w:val="none"/>
                <w:u w:val="none"/>
              </w:rPr>
            </w:pPr>
          </w:p>
        </w:tc>
      </w:tr>
    </w:tbl>
    <w:p>
      <w:pPr>
        <w:bidi w:val="0"/>
        <w:ind w:left="0" w:leftChars="0" w:firstLine="0" w:firstLineChars="0"/>
        <w:rPr>
          <w:rFonts w:hint="eastAsia" w:ascii="宋体" w:hAnsi="宋体" w:eastAsia="宋体" w:cs="宋体"/>
          <w:sz w:val="2"/>
          <w:szCs w:val="2"/>
          <w:highlight w:val="none"/>
          <w:lang w:val="en-US" w:eastAsia="zh-CN"/>
        </w:rPr>
      </w:pPr>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lYzNlNjFiMWEyM2Y5ZDNhMTEwMjk4YjEzM2UzMGYifQ=="/>
    <w:docVar w:name="KSO_WPS_MARK_KEY" w:val="2e3fe6b2-d5a1-4f2d-88a0-440d2803f54f"/>
  </w:docVars>
  <w:rsids>
    <w:rsidRoot w:val="26747FDA"/>
    <w:rsid w:val="0071188E"/>
    <w:rsid w:val="00CC05C3"/>
    <w:rsid w:val="00F224BD"/>
    <w:rsid w:val="01997FE3"/>
    <w:rsid w:val="02A47D37"/>
    <w:rsid w:val="04531FA4"/>
    <w:rsid w:val="05C94119"/>
    <w:rsid w:val="06134D52"/>
    <w:rsid w:val="061D286A"/>
    <w:rsid w:val="06316315"/>
    <w:rsid w:val="06540256"/>
    <w:rsid w:val="06F85EC1"/>
    <w:rsid w:val="07D94EB6"/>
    <w:rsid w:val="097667ED"/>
    <w:rsid w:val="0C8814C9"/>
    <w:rsid w:val="0CF32576"/>
    <w:rsid w:val="0D5613DB"/>
    <w:rsid w:val="0DA87F2E"/>
    <w:rsid w:val="0E5B5A7F"/>
    <w:rsid w:val="15AE39EF"/>
    <w:rsid w:val="15BC02C6"/>
    <w:rsid w:val="16216F57"/>
    <w:rsid w:val="1697149B"/>
    <w:rsid w:val="17CA41E0"/>
    <w:rsid w:val="19396643"/>
    <w:rsid w:val="1AB33345"/>
    <w:rsid w:val="1C774BD1"/>
    <w:rsid w:val="1D555B7C"/>
    <w:rsid w:val="1D6C3BDE"/>
    <w:rsid w:val="1E2C41F2"/>
    <w:rsid w:val="1E4525B4"/>
    <w:rsid w:val="20215080"/>
    <w:rsid w:val="202F79E9"/>
    <w:rsid w:val="22BF31CF"/>
    <w:rsid w:val="22D64075"/>
    <w:rsid w:val="22E307CC"/>
    <w:rsid w:val="23101D0D"/>
    <w:rsid w:val="24BE74B6"/>
    <w:rsid w:val="25B83F05"/>
    <w:rsid w:val="26747FDA"/>
    <w:rsid w:val="27433CA3"/>
    <w:rsid w:val="2C9000BE"/>
    <w:rsid w:val="30E738F1"/>
    <w:rsid w:val="31012C04"/>
    <w:rsid w:val="35CF1523"/>
    <w:rsid w:val="3608233F"/>
    <w:rsid w:val="361A1FA0"/>
    <w:rsid w:val="37331572"/>
    <w:rsid w:val="39D5543E"/>
    <w:rsid w:val="3D444FCF"/>
    <w:rsid w:val="3D87623F"/>
    <w:rsid w:val="3F1517B0"/>
    <w:rsid w:val="3F32667F"/>
    <w:rsid w:val="3F514D57"/>
    <w:rsid w:val="44974FF2"/>
    <w:rsid w:val="45810D55"/>
    <w:rsid w:val="46E93AC7"/>
    <w:rsid w:val="476475F1"/>
    <w:rsid w:val="4C437A55"/>
    <w:rsid w:val="4CAB6041"/>
    <w:rsid w:val="4DA44BEC"/>
    <w:rsid w:val="4DF27705"/>
    <w:rsid w:val="506179DD"/>
    <w:rsid w:val="512754C4"/>
    <w:rsid w:val="521E31BF"/>
    <w:rsid w:val="56CA56C3"/>
    <w:rsid w:val="5976568E"/>
    <w:rsid w:val="5B1D4AB8"/>
    <w:rsid w:val="5EDF3573"/>
    <w:rsid w:val="5F4E6F3F"/>
    <w:rsid w:val="608266AD"/>
    <w:rsid w:val="6300421A"/>
    <w:rsid w:val="64566BA9"/>
    <w:rsid w:val="6A340A04"/>
    <w:rsid w:val="6D8E4DAA"/>
    <w:rsid w:val="6F84744A"/>
    <w:rsid w:val="71465884"/>
    <w:rsid w:val="73B01C95"/>
    <w:rsid w:val="744D4FEC"/>
    <w:rsid w:val="74D131D4"/>
    <w:rsid w:val="75B55801"/>
    <w:rsid w:val="777F175A"/>
    <w:rsid w:val="78B063A2"/>
    <w:rsid w:val="790C1713"/>
    <w:rsid w:val="79931737"/>
    <w:rsid w:val="7A02639F"/>
    <w:rsid w:val="7C916B69"/>
    <w:rsid w:val="7E5A01A6"/>
    <w:rsid w:val="7E624E4A"/>
    <w:rsid w:val="7FAA5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20" w:firstLineChars="200"/>
      <w:jc w:val="both"/>
    </w:pPr>
    <w:rPr>
      <w:rFonts w:ascii="仿宋_GB2312" w:hAnsi="仿宋_GB2312" w:eastAsia="仿宋_GB2312" w:cs="仿宋_GB2312"/>
      <w:kern w:val="2"/>
      <w:sz w:val="32"/>
      <w:szCs w:val="32"/>
      <w:lang w:val="en-US" w:eastAsia="zh-CN" w:bidi="ar-SA"/>
    </w:rPr>
  </w:style>
  <w:style w:type="paragraph" w:styleId="4">
    <w:name w:val="heading 1"/>
    <w:basedOn w:val="1"/>
    <w:next w:val="1"/>
    <w:qFormat/>
    <w:uiPriority w:val="0"/>
    <w:pPr>
      <w:keepNext/>
      <w:keepLines/>
      <w:outlineLvl w:val="0"/>
    </w:pPr>
    <w:rPr>
      <w:rFonts w:ascii="宋体" w:hAnsi="宋体" w:eastAsia="宋体" w:cs="宋体"/>
      <w:b/>
      <w:bCs/>
      <w:kern w:val="44"/>
    </w:rPr>
  </w:style>
  <w:style w:type="paragraph" w:styleId="5">
    <w:name w:val="heading 2"/>
    <w:basedOn w:val="1"/>
    <w:next w:val="1"/>
    <w:unhideWhenUsed/>
    <w:qFormat/>
    <w:uiPriority w:val="0"/>
    <w:pPr>
      <w:keepNext/>
      <w:keepLines/>
      <w:outlineLvl w:val="1"/>
    </w:p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qFormat/>
    <w:uiPriority w:val="0"/>
    <w:pPr>
      <w:ind w:firstLine="560" w:firstLineChars="200"/>
    </w:pPr>
    <w:rPr>
      <w:rFonts w:ascii="仿宋_GB2312" w:eastAsia="仿宋_GB2312"/>
      <w:sz w:val="28"/>
      <w:szCs w:val="32"/>
    </w:rPr>
  </w:style>
  <w:style w:type="paragraph" w:styleId="6">
    <w:name w:val="Normal Indent"/>
    <w:basedOn w:val="1"/>
    <w:qFormat/>
    <w:uiPriority w:val="0"/>
    <w:rPr>
      <w:szCs w:val="20"/>
    </w:rPr>
  </w:style>
  <w:style w:type="paragraph" w:styleId="7">
    <w:name w:val="Body Text"/>
    <w:basedOn w:val="1"/>
    <w:next w:val="1"/>
    <w:qFormat/>
    <w:uiPriority w:val="0"/>
    <w:pPr>
      <w:spacing w:after="120"/>
    </w:pPr>
  </w:style>
  <w:style w:type="paragraph" w:styleId="8">
    <w:name w:val="Body Text Indent 2"/>
    <w:basedOn w:val="1"/>
    <w:qFormat/>
    <w:uiPriority w:val="0"/>
    <w:pPr>
      <w:spacing w:after="120" w:line="480" w:lineRule="auto"/>
      <w:ind w:left="420" w:leftChars="200"/>
    </w:pPr>
  </w:style>
  <w:style w:type="paragraph" w:styleId="9">
    <w:name w:val="footer"/>
    <w:basedOn w:val="1"/>
    <w:next w:val="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pPr>
      <w:spacing w:line="240" w:lineRule="auto"/>
      <w:ind w:firstLine="0" w:firstLineChars="0"/>
    </w:pPr>
    <w:rPr>
      <w:rFonts w:ascii="Times New Roman" w:hAnsi="Times New Roman"/>
      <w:b/>
      <w:bCs/>
      <w:sz w:val="28"/>
      <w:szCs w:val="28"/>
    </w:rPr>
  </w:style>
  <w:style w:type="paragraph" w:styleId="12">
    <w:name w:val="toc 2"/>
    <w:basedOn w:val="1"/>
    <w:next w:val="1"/>
    <w:qFormat/>
    <w:uiPriority w:val="0"/>
    <w:pPr>
      <w:spacing w:line="240" w:lineRule="auto"/>
      <w:ind w:firstLine="0" w:firstLineChars="0"/>
    </w:pPr>
    <w:rPr>
      <w:rFonts w:ascii="Times New Roman" w:hAnsi="Times New Roman"/>
      <w:b/>
      <w:bCs/>
      <w:sz w:val="28"/>
      <w:szCs w:val="28"/>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rPr>
  </w:style>
  <w:style w:type="paragraph" w:customStyle="1" w:styleId="16">
    <w:name w:val="样式 10 磅13"/>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7054</Words>
  <Characters>7427</Characters>
  <Lines>27</Lines>
  <Paragraphs>7</Paragraphs>
  <TotalTime>0</TotalTime>
  <ScaleCrop>false</ScaleCrop>
  <LinksUpToDate>false</LinksUpToDate>
  <CharactersWithSpaces>7525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2024-05-06T00:20:00Z</dcterms:created>
  <dc:creator>李鑫</dc:creator>
  <cp:lastModifiedBy>Administrator</cp:lastModifiedBy>
  <dcterms:modified xsi:type="dcterms:W3CDTF">2025-08-28T01:55:08Z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7A259E0AA8724055B399E9A10352675B_13</vt:lpwstr>
  </property>
  <property fmtid="{D5CDD505-2E9C-101B-9397-08002B2CF9AE}" pid="4" name="KSOTemplateDocerSaveRecord">
    <vt:lpwstr>eyJoZGlkIjoiNzQ1NWUwNjJmZWM5NmNjYTc4OGM1NzA0OTQ1ZDkzM2UiLCJ1c2VySWQiOiIyMDE5MTYyMDUifQ==</vt:lpwstr>
  </property>
</Properties>
</file>