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 w14:paraId="4F21C2DC">
      <w:pPr>
        <w:pStyle w:val="style0"/>
        <w:spacing w:lineRule="exact" w:line="480"/>
        <w:rPr>
          <w:rFonts w:ascii="黑体" w:eastAsia="黑体" w:hAnsi="黑体" w:hint="eastAsia"/>
          <w:sz w:val="32"/>
          <w:szCs w:val="32"/>
        </w:rPr>
      </w:pPr>
    </w:p>
    <w:p w14:paraId="5B208F09">
      <w:pPr>
        <w:pStyle w:val="style0"/>
        <w:spacing w:lineRule="exact" w:line="480"/>
        <w:jc w:val="center"/>
        <w:rPr>
          <w:rFonts w:ascii="方正小标宋简体" w:eastAsia="方正小标宋简体" w:hAnsi="黑体" w:hint="eastAsia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47778932">
      <w:pPr>
        <w:pStyle w:val="style0"/>
        <w:spacing w:lineRule="exact" w:line="480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  <w:lang w:val="en-US" w:eastAsia="zh-CN"/>
        </w:rPr>
        <w:t>2024</w:t>
      </w:r>
      <w:r>
        <w:rPr>
          <w:rFonts w:ascii="仿宋_GB2312" w:eastAsia="仿宋_GB2312" w:hAnsi="宋体" w:hint="eastAsia"/>
          <w:sz w:val="28"/>
          <w:szCs w:val="28"/>
          <w:lang w:eastAsia="zh-CN"/>
        </w:rPr>
        <w:t>预算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14:paraId="49F6985D">
      <w:pPr>
        <w:pStyle w:val="style0"/>
        <w:spacing w:lineRule="exact" w:line="240"/>
        <w:rPr>
          <w:rFonts w:ascii="仿宋_GB2312" w:eastAsia="仿宋_GB2312" w:hAnsi="宋体" w:hint="eastAsia"/>
          <w:sz w:val="30"/>
          <w:szCs w:val="30"/>
        </w:rPr>
      </w:pPr>
    </w:p>
    <w:tbl>
      <w:tblPr>
        <w:tblStyle w:val="style105"/>
        <w:tblW w:w="1027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5"/>
        <w:gridCol w:w="887"/>
        <w:gridCol w:w="1062"/>
        <w:gridCol w:w="487"/>
        <w:gridCol w:w="1288"/>
        <w:gridCol w:w="1337"/>
        <w:gridCol w:w="1438"/>
        <w:gridCol w:w="554"/>
        <w:gridCol w:w="396"/>
        <w:gridCol w:w="298"/>
        <w:gridCol w:w="739"/>
        <w:gridCol w:w="1292"/>
      </w:tblGrid>
      <w:tr w14:paraId="1515B853">
        <w:trPr>
          <w:trHeight w:val="306" w:hRule="exact"/>
          <w:jc w:val="center"/>
        </w:trPr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C02F6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项目名称</w:t>
            </w:r>
          </w:p>
        </w:tc>
        <w:tc>
          <w:tcPr>
            <w:tcW w:w="889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B017D1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直属单位业务发展-“两馆”建设推进项目</w:t>
            </w:r>
          </w:p>
        </w:tc>
      </w:tr>
      <w:tr w14:paraId="22DB7F8B">
        <w:tblPrEx/>
        <w:trPr>
          <w:trHeight w:val="496" w:hRule="exact"/>
          <w:jc w:val="center"/>
        </w:trPr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3AAC6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主管部门</w:t>
            </w:r>
          </w:p>
        </w:tc>
        <w:tc>
          <w:tcPr>
            <w:tcW w:w="41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1A61BB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北京市教育委员会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458E64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实施单位</w:t>
            </w:r>
          </w:p>
        </w:tc>
        <w:tc>
          <w:tcPr>
            <w:tcW w:w="32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0D13CE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lang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eastAsia="zh-CN"/>
              </w:rPr>
              <w:t>北京市教育档案馆（北京教育博物馆）</w:t>
            </w:r>
          </w:p>
        </w:tc>
      </w:tr>
      <w:tr w14:paraId="09D5C02F">
        <w:tblPrEx/>
        <w:trPr>
          <w:trHeight w:val="567" w:hRule="exact"/>
          <w:jc w:val="center"/>
        </w:trPr>
        <w:tc>
          <w:tcPr>
            <w:tcW w:w="13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50170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项目资金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br/>
            </w: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（万元）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76FC57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6DAD76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年初预</w:t>
            </w:r>
          </w:p>
          <w:p w14:paraId="44B3DD01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算数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2CC08E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全年预</w:t>
            </w:r>
          </w:p>
          <w:p w14:paraId="358F7A86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算数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1281AE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全年</w:t>
            </w:r>
          </w:p>
          <w:p w14:paraId="1EB3C181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执行数</w:t>
            </w:r>
          </w:p>
        </w:tc>
        <w:tc>
          <w:tcPr>
            <w:tcW w:w="9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E50EBF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分值</w:t>
            </w: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5413CF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执行率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30794E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得分</w:t>
            </w:r>
          </w:p>
        </w:tc>
      </w:tr>
      <w:tr w14:paraId="694E1DF9">
        <w:tblPrEx/>
        <w:trPr>
          <w:trHeight w:val="329" w:hRule="exact"/>
          <w:jc w:val="center"/>
        </w:trPr>
        <w:tc>
          <w:tcPr>
            <w:tcW w:w="1382" w:type="dxa"/>
            <w:gridSpan w:val="2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C91C9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17ACF0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6B9A2A">
            <w:pPr>
              <w:pStyle w:val="style0"/>
              <w:widowControl/>
              <w:spacing w:lineRule="exact" w:line="240"/>
              <w:jc w:val="both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119.558954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8834CB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108.18723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9BB511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108.087807</w:t>
            </w:r>
          </w:p>
        </w:tc>
        <w:tc>
          <w:tcPr>
            <w:tcW w:w="9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244B6E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10</w:t>
            </w:r>
          </w:p>
          <w:bookmarkStart w:id="0" w:name="OLE_LINK2"/>
        </w:tc>
        <w:tc>
          <w:tcPr>
            <w:tcW w:w="10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6F94D2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99.91%</w:t>
            </w:r>
            <w:bookmarkEnd w:id="0"/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EEF00C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10.00</w:t>
            </w:r>
          </w:p>
        </w:tc>
      </w:tr>
      <w:tr w14:paraId="4B51765A">
        <w:tblPrEx/>
        <w:trPr>
          <w:trHeight w:val="611" w:hRule="exact"/>
          <w:jc w:val="center"/>
        </w:trPr>
        <w:tc>
          <w:tcPr>
            <w:tcW w:w="1382" w:type="dxa"/>
            <w:gridSpan w:val="2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B9F51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92A2EA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其中：当年财政拨款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10435A">
            <w:pPr>
              <w:pStyle w:val="style0"/>
              <w:widowControl/>
              <w:spacing w:lineRule="exact" w:line="240"/>
              <w:jc w:val="both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119.558954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4B4C09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108.18723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67D449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108.087807</w:t>
            </w:r>
          </w:p>
        </w:tc>
        <w:tc>
          <w:tcPr>
            <w:tcW w:w="9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44DA4C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—</w:t>
            </w: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C442A5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99.91%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1ADED0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—</w:t>
            </w:r>
          </w:p>
        </w:tc>
      </w:tr>
      <w:tr w14:paraId="0A1610D9">
        <w:tblPrEx/>
        <w:trPr>
          <w:trHeight w:val="284" w:hRule="exact"/>
          <w:jc w:val="center"/>
        </w:trPr>
        <w:tc>
          <w:tcPr>
            <w:tcW w:w="1382" w:type="dxa"/>
            <w:gridSpan w:val="2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E3836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B4C606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7E0917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95BFF4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BB5BD9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9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4858A0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—</w:t>
            </w: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93548D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1246F8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—</w:t>
            </w:r>
          </w:p>
        </w:tc>
      </w:tr>
      <w:tr w14:paraId="1EC01715">
        <w:tblPrEx/>
        <w:trPr>
          <w:trHeight w:val="306" w:hRule="exact"/>
          <w:jc w:val="center"/>
        </w:trPr>
        <w:tc>
          <w:tcPr>
            <w:tcW w:w="1382" w:type="dxa"/>
            <w:gridSpan w:val="2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4B23C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4BE7CA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BB2918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5BAFD3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C6D249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9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3B9431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—</w:t>
            </w: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C6F7EF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90657D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</w:rPr>
              <w:t>—</w:t>
            </w:r>
          </w:p>
        </w:tc>
      </w:tr>
      <w:tr w14:paraId="100A46C5">
        <w:tblPrEx/>
        <w:trPr>
          <w:trHeight w:val="0" w:hRule="auto"/>
          <w:jc w:val="center"/>
        </w:trPr>
        <w:tc>
          <w:tcPr>
            <w:tcW w:w="4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370EC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  <w:t>年度总体目标</w:t>
            </w:r>
          </w:p>
        </w:tc>
        <w:tc>
          <w:tcPr>
            <w:tcW w:w="50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CB8E52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  <w:t>预期目标</w:t>
            </w:r>
          </w:p>
        </w:tc>
        <w:tc>
          <w:tcPr>
            <w:tcW w:w="47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4D6B20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  <w:t>实际完成情况</w:t>
            </w:r>
          </w:p>
        </w:tc>
      </w:tr>
      <w:tr w14:paraId="7B90962D">
        <w:tblPrEx/>
        <w:trPr>
          <w:trHeight w:val="1592" w:hRule="atLeast"/>
          <w:jc w:val="center"/>
        </w:trPr>
        <w:tc>
          <w:tcPr>
            <w:tcW w:w="495" w:type="dxa"/>
            <w:vMerge w:val="continue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01D1C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</w:pPr>
          </w:p>
        </w:tc>
        <w:tc>
          <w:tcPr>
            <w:tcW w:w="50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D1BD6D">
            <w:pPr>
              <w:pStyle w:val="style0"/>
              <w:widowControl/>
              <w:spacing w:lineRule="exact" w:line="240"/>
              <w:jc w:val="both"/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  <w:t>建设馆藏史料管理系统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eastAsia="zh-CN"/>
              </w:rPr>
              <w:t>及库房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  <w:t>监控系统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eastAsia="zh-CN"/>
              </w:rPr>
              <w:t>的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  <w:t>开发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eastAsia="zh-CN"/>
              </w:rPr>
              <w:t>；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  <w:t>修复与复制馆藏史料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eastAsia="zh-CN"/>
              </w:rPr>
              <w:t>；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  <w:t>继续完成馆藏史料著录整理工作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eastAsia="zh-CN"/>
              </w:rPr>
              <w:t>；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  <w:t>开展馆藏教科书史料的研究编写工作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eastAsia="zh-CN"/>
              </w:rPr>
              <w:t>；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  <w:t>购置专用设备和耗材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eastAsia="zh-CN"/>
              </w:rPr>
              <w:t>；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  <w:t>开展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eastAsia="zh-CN"/>
              </w:rPr>
              <w:t>博物馆相关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  <w:t>论证、培训工作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eastAsia="zh-CN"/>
              </w:rPr>
              <w:t>；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  <w:t>外出调研学习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eastAsia="zh-CN"/>
              </w:rPr>
              <w:t>；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  <w:t>VR展厅生成。</w:t>
            </w:r>
          </w:p>
        </w:tc>
        <w:tc>
          <w:tcPr>
            <w:tcW w:w="47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5A8F0F">
            <w:pPr>
              <w:pStyle w:val="style0"/>
              <w:widowControl/>
              <w:spacing w:lineRule="exact" w:line="240"/>
              <w:jc w:val="both"/>
              <w:rPr>
                <w:rFonts w:ascii="仿宋_GB2312" w:cs="宋体" w:eastAsia="仿宋_GB2312" w:hAnsi="宋体" w:hint="default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  <w:t>初步完成馆藏藏品管理系统的开发建设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eastAsia="zh-CN"/>
              </w:rPr>
              <w:t>；完成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  <w:t>监控系统安装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eastAsia="zh-CN"/>
              </w:rPr>
              <w:t>；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val="en-US" w:eastAsia="zh-CN"/>
              </w:rPr>
              <w:t>修复复制藏品179套270件；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eastAsia="zh-CN"/>
              </w:rPr>
              <w:t>完成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  <w:t>馆藏史料著录整理工作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eastAsia="zh-CN"/>
              </w:rPr>
              <w:t>；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  <w:t>购置专用设备和耗材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val="en-US" w:eastAsia="zh-CN"/>
              </w:rPr>
              <w:t>27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  <w:t>种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eastAsia="zh-CN"/>
              </w:rPr>
              <w:t>；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  <w:t>开展馆藏古籍专家论证会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eastAsia="zh-CN"/>
              </w:rPr>
              <w:t>；完成博物馆相关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  <w:t>调研学习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eastAsia="zh-CN"/>
              </w:rPr>
              <w:t>；完成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val="en-US" w:eastAsia="zh-CN"/>
              </w:rPr>
              <w:t>VR展厅建设；完成馆藏藏品图片档案建设。</w:t>
            </w:r>
          </w:p>
        </w:tc>
      </w:tr>
      <w:tr w14:paraId="2C7C1F8A">
        <w:tblPrEx/>
        <w:trPr>
          <w:trHeight w:val="830" w:hRule="exact"/>
          <w:jc w:val="center"/>
        </w:trPr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07662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  <w:t>绩</w:t>
              <w:br/>
              <w:t>效</w:t>
              <w:br/>
              <w:t>指</w:t>
              <w:br/>
              <w:t>标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A677D5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  <w:t>一级</w:t>
            </w:r>
          </w:p>
          <w:p w14:paraId="0EEBEB2D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5545AC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  <w:t>二级指标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AFC41A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  <w:t>三级指标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E8D238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  <w:t>年度</w:t>
            </w:r>
          </w:p>
          <w:p w14:paraId="29EF7882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  <w:t>指标值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2680AF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  <w:t>实际</w:t>
            </w:r>
          </w:p>
          <w:p w14:paraId="61B67353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  <w:t>完成值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19E5BB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  <w:t>分值</w:t>
            </w:r>
          </w:p>
        </w:tc>
        <w:tc>
          <w:tcPr>
            <w:tcW w:w="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F66CE0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  <w:t>得分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76CD4C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  <w:t>偏差原因分析及改进措施</w:t>
            </w:r>
          </w:p>
        </w:tc>
      </w:tr>
      <w:tr w14:paraId="079F4810">
        <w:tblPrEx/>
        <w:trPr>
          <w:trHeight w:val="570" w:hRule="exact"/>
          <w:jc w:val="center"/>
        </w:trPr>
        <w:tc>
          <w:tcPr>
            <w:tcW w:w="49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CDA59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</w:pPr>
          </w:p>
        </w:tc>
        <w:tc>
          <w:tcPr>
            <w:tcW w:w="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73860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  <w:t>产出指标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05865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  <w:t>数量指标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02AC33">
            <w:pPr>
              <w:pStyle w:val="style0"/>
              <w:widowControl/>
              <w:spacing w:lineRule="exact" w:line="240"/>
              <w:jc w:val="left"/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  <w:highlight w:val="none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  <w:highlight w:val="none"/>
              </w:rPr>
              <w:t>馆藏史料著录整理数量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31EAD5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  <w:highlight w:val="none"/>
                <w:lang w:val="en-US" w:eastAsia="zh-CN"/>
              </w:rPr>
              <w:t>≥9750件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B5982A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val="en-US" w:eastAsia="zh-CN"/>
              </w:rPr>
              <w:t>10000件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AB8D6E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75FC85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val="en-US" w:eastAsia="zh-CN"/>
              </w:rPr>
              <w:t>5.00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A38842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75F0EA79">
        <w:tblPrEx/>
        <w:trPr>
          <w:trHeight w:val="1747" w:hRule="atLeast"/>
          <w:jc w:val="center"/>
        </w:trPr>
        <w:tc>
          <w:tcPr>
            <w:tcW w:w="49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3181A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</w:pPr>
          </w:p>
        </w:tc>
        <w:tc>
          <w:tcPr>
            <w:tcW w:w="887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A6E13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</w:pPr>
          </w:p>
        </w:tc>
        <w:tc>
          <w:tcPr>
            <w:tcW w:w="1062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70933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2CBA5B">
            <w:pPr>
              <w:pStyle w:val="style0"/>
              <w:widowControl/>
              <w:spacing w:lineRule="exact" w:line="240"/>
              <w:jc w:val="left"/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  <w:highlight w:val="none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  <w:highlight w:val="none"/>
              </w:rPr>
              <w:t>修复与复制馆藏史料数量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51E3DB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val="en-US" w:eastAsia="zh-CN"/>
              </w:rPr>
              <w:t>＝456件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17D845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val="en-US" w:eastAsia="zh-CN"/>
              </w:rPr>
              <w:t>270件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55CA07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94D99E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val="en-US" w:eastAsia="zh-CN"/>
              </w:rPr>
              <w:t>3.00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B0C53E">
            <w:pPr>
              <w:pStyle w:val="style0"/>
              <w:widowControl/>
              <w:spacing w:lineRule="exact" w:line="240"/>
              <w:jc w:val="both"/>
              <w:rPr>
                <w:rFonts w:ascii="仿宋_GB2312" w:cs="宋体" w:eastAsia="仿宋_GB2312" w:hAnsi="宋体" w:hint="default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eastAsia="zh-CN"/>
              </w:rPr>
              <w:t>预算申报的修复复制规格和难度与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val="en-US" w:eastAsia="zh-CN"/>
              </w:rPr>
              <w:t>实际修复工作的规格和难度有所出入。后续将以页数为依据，尽量贴合实际修复工作情况。</w:t>
            </w:r>
          </w:p>
        </w:tc>
      </w:tr>
      <w:tr w14:paraId="1C00E972">
        <w:tblPrEx/>
        <w:trPr>
          <w:trHeight w:val="920" w:hRule="exact"/>
          <w:jc w:val="center"/>
        </w:trPr>
        <w:tc>
          <w:tcPr>
            <w:tcW w:w="49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4048C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</w:pPr>
          </w:p>
        </w:tc>
        <w:tc>
          <w:tcPr>
            <w:tcW w:w="887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12486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</w:pPr>
          </w:p>
        </w:tc>
        <w:tc>
          <w:tcPr>
            <w:tcW w:w="1062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9A979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E450CF">
            <w:pPr>
              <w:pStyle w:val="style0"/>
              <w:widowControl/>
              <w:spacing w:lineRule="exact" w:line="240"/>
              <w:jc w:val="left"/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  <w:highlight w:val="none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  <w:highlight w:val="none"/>
                <w:lang w:val="en-US" w:eastAsia="zh-CN"/>
              </w:rPr>
              <w:t>馆藏史料管理系统开发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BC2846">
            <w:pPr>
              <w:pStyle w:val="style0"/>
              <w:widowControl/>
              <w:spacing w:lineRule="exact" w:line="240"/>
              <w:jc w:val="both"/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  <w:highlight w:val="none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  <w:highlight w:val="none"/>
                <w:lang w:val="en-US" w:eastAsia="zh-CN"/>
              </w:rPr>
              <w:t>8项功能，一套运行硬件及相关服务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26AC64">
            <w:pPr>
              <w:pStyle w:val="style0"/>
              <w:widowControl/>
              <w:spacing w:lineRule="exact" w:line="240"/>
              <w:jc w:val="both"/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  <w:highlight w:val="none"/>
                <w:lang w:val="en-US" w:eastAsia="zh-CN"/>
              </w:rPr>
              <w:t>8项功能，一套运行硬件及相关服务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02CBD3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0D434D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val="en-US" w:eastAsia="zh-CN"/>
              </w:rPr>
              <w:t>5.00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F3FF8C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43D1F685">
        <w:tblPrEx/>
        <w:trPr>
          <w:trHeight w:val="1139" w:hRule="exact"/>
          <w:jc w:val="center"/>
        </w:trPr>
        <w:tc>
          <w:tcPr>
            <w:tcW w:w="49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3521F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</w:pPr>
          </w:p>
        </w:tc>
        <w:tc>
          <w:tcPr>
            <w:tcW w:w="887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2A226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</w:pPr>
          </w:p>
        </w:tc>
        <w:tc>
          <w:tcPr>
            <w:tcW w:w="1062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49405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4F8947">
            <w:pPr>
              <w:pStyle w:val="style0"/>
              <w:widowControl/>
              <w:spacing w:lineRule="exact" w:line="240"/>
              <w:jc w:val="left"/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  <w:highlight w:val="none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  <w:highlight w:val="none"/>
                <w:lang w:val="en-US" w:eastAsia="zh-CN"/>
              </w:rPr>
              <w:t>监控系统开发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348CA2">
            <w:pPr>
              <w:pStyle w:val="style0"/>
              <w:widowControl/>
              <w:spacing w:lineRule="exact" w:line="240"/>
              <w:jc w:val="both"/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  <w:highlight w:val="none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  <w:highlight w:val="none"/>
                <w:lang w:val="en-US" w:eastAsia="zh-CN"/>
              </w:rPr>
              <w:t>10个监控，一套相应硬件及安装服务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55DE7D">
            <w:pPr>
              <w:pStyle w:val="style0"/>
              <w:widowControl/>
              <w:spacing w:lineRule="exact" w:line="240"/>
              <w:jc w:val="both"/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  <w:highlight w:val="none"/>
                <w:lang w:val="en-US" w:eastAsia="zh-CN"/>
              </w:rPr>
              <w:t>10个监控，一套相应硬件及安装服务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06CEB6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7851CA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val="en-US" w:eastAsia="zh-CN"/>
              </w:rPr>
              <w:t>5.00</w:t>
            </w:r>
          </w:p>
          <w:bookmarkStart w:id="1" w:name="OLE_LINK1"/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9BB094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val="en-US" w:eastAsia="zh-CN"/>
              </w:rPr>
              <w:t>无</w:t>
            </w:r>
            <w:bookmarkEnd w:id="1"/>
          </w:p>
        </w:tc>
      </w:tr>
      <w:tr w14:paraId="3A769BE9">
        <w:tblPrEx/>
        <w:trPr>
          <w:trHeight w:val="306" w:hRule="exact"/>
          <w:jc w:val="center"/>
        </w:trPr>
        <w:tc>
          <w:tcPr>
            <w:tcW w:w="49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3B0AE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</w:pPr>
          </w:p>
        </w:tc>
        <w:tc>
          <w:tcPr>
            <w:tcW w:w="887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78324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</w:pPr>
          </w:p>
        </w:tc>
        <w:tc>
          <w:tcPr>
            <w:tcW w:w="1062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5342E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A623DF">
            <w:pPr>
              <w:pStyle w:val="style0"/>
              <w:widowControl/>
              <w:spacing w:lineRule="exact" w:line="240"/>
              <w:jc w:val="left"/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  <w:highlight w:val="none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  <w:highlight w:val="none"/>
                <w:lang w:val="en-US" w:eastAsia="zh-CN"/>
              </w:rPr>
              <w:t>VR展厅生成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4E5B03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  <w:highlight w:val="none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  <w:highlight w:val="none"/>
                <w:lang w:val="en-US" w:eastAsia="zh-CN"/>
              </w:rPr>
              <w:t>2个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9A3240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  <w:highlight w:val="none"/>
                <w:lang w:val="en-US" w:eastAsia="zh-CN"/>
              </w:rPr>
              <w:t>2个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AEC8D5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C7E4D6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val="en-US" w:eastAsia="zh-CN"/>
              </w:rPr>
              <w:t>5.00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BC35EF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397DF7A7">
        <w:tblPrEx/>
        <w:trPr>
          <w:trHeight w:val="313" w:hRule="exact"/>
          <w:jc w:val="center"/>
        </w:trPr>
        <w:tc>
          <w:tcPr>
            <w:tcW w:w="49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08920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</w:pPr>
          </w:p>
        </w:tc>
        <w:tc>
          <w:tcPr>
            <w:tcW w:w="887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5444C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</w:pP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0447A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  <w:t>质量指标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30ED8B">
            <w:pPr>
              <w:pStyle w:val="style0"/>
              <w:widowControl/>
              <w:spacing w:lineRule="exact" w:line="240"/>
              <w:jc w:val="left"/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  <w:highlight w:val="none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  <w:highlight w:val="none"/>
              </w:rPr>
              <w:t>史料著录准确率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A43BEB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val="en-US" w:eastAsia="zh-CN"/>
              </w:rPr>
              <w:t>98%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29C0D9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val="en-US" w:eastAsia="zh-CN"/>
              </w:rPr>
              <w:t>99%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1B15DE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14A5DE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val="en-US" w:eastAsia="zh-CN"/>
              </w:rPr>
              <w:t>5.00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AD3D1E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75DD9AEC">
        <w:tblPrEx/>
        <w:trPr>
          <w:trHeight w:val="351" w:hRule="exact"/>
          <w:jc w:val="center"/>
        </w:trPr>
        <w:tc>
          <w:tcPr>
            <w:tcW w:w="49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9435F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</w:pPr>
          </w:p>
        </w:tc>
        <w:tc>
          <w:tcPr>
            <w:tcW w:w="887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60CE4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</w:pPr>
          </w:p>
        </w:tc>
        <w:tc>
          <w:tcPr>
            <w:tcW w:w="1062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5F4A9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B42EE9">
            <w:pPr>
              <w:pStyle w:val="style0"/>
              <w:widowControl/>
              <w:spacing w:lineRule="exact" w:line="240"/>
              <w:jc w:val="left"/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  <w:highlight w:val="none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  <w:highlight w:val="none"/>
              </w:rPr>
              <w:t>反映馆藏品特色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5F4942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eastAsia="zh-CN"/>
              </w:rPr>
              <w:t>优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E35D05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eastAsia="zh-CN"/>
              </w:rPr>
              <w:t>优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3C480A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D1944A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val="en-US" w:eastAsia="zh-CN"/>
              </w:rPr>
              <w:t>5.00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9CA221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601F6DF1">
        <w:tblPrEx/>
        <w:trPr>
          <w:trHeight w:val="389" w:hRule="exact"/>
          <w:jc w:val="center"/>
        </w:trPr>
        <w:tc>
          <w:tcPr>
            <w:tcW w:w="49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D584B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</w:pPr>
          </w:p>
        </w:tc>
        <w:tc>
          <w:tcPr>
            <w:tcW w:w="887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42093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42A90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  <w:t>时效指标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7D32E8">
            <w:pPr>
              <w:pStyle w:val="style0"/>
              <w:widowControl/>
              <w:spacing w:lineRule="exact" w:line="240"/>
              <w:jc w:val="left"/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  <w:highlight w:val="none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  <w:highlight w:val="none"/>
              </w:rPr>
              <w:t>项目完成时间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3C53F3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val="en-US" w:eastAsia="zh-CN"/>
              </w:rPr>
              <w:t>≤12月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E477B4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val="en-US" w:eastAsia="zh-CN"/>
              </w:rPr>
              <w:t>12月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536B9F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BB2B8D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val="en-US" w:eastAsia="zh-CN"/>
              </w:rPr>
              <w:t>5.00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B76DAD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30672730">
        <w:tblPrEx/>
        <w:trPr>
          <w:trHeight w:val="783" w:hRule="atLeast"/>
          <w:jc w:val="center"/>
        </w:trPr>
        <w:tc>
          <w:tcPr>
            <w:tcW w:w="49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D9F77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F95E09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  <w:t>成本指标</w:t>
            </w:r>
          </w:p>
          <w:p w14:paraId="7E4691F4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8EC5AA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val="en-US" w:eastAsia="zh-CN"/>
              </w:rPr>
              <w:t>经济成本指标</w:t>
            </w:r>
          </w:p>
          <w:p w14:paraId="27AA9FFC">
            <w:pPr>
              <w:pStyle w:val="style0"/>
              <w:widowControl/>
              <w:spacing w:lineRule="exact" w:line="240"/>
              <w:jc w:val="both"/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5B15F2">
            <w:pPr>
              <w:pStyle w:val="style0"/>
              <w:widowControl/>
              <w:spacing w:lineRule="exact" w:line="240"/>
              <w:jc w:val="left"/>
              <w:rPr>
                <w:rFonts w:ascii="仿宋_GB2312" w:cs="宋体" w:eastAsia="仿宋_GB2312" w:hAnsi="宋体" w:hint="eastAsia"/>
                <w:color w:val="000000"/>
                <w:kern w:val="0"/>
                <w:sz w:val="21"/>
                <w:szCs w:val="21"/>
                <w:highlight w:val="none"/>
                <w:lang w:val="en-US" w:bidi="ar-SA" w:eastAsia="zh-CN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  <w:highlight w:val="none"/>
              </w:rPr>
              <w:t>项目总成本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E1AADF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val="en-US" w:eastAsia="zh-CN"/>
              </w:rPr>
              <w:t>≤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  <w:t>119.558954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5270C3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  <w:t>108.087807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41B3DD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78F220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val="en-US" w:eastAsia="zh-CN"/>
              </w:rPr>
              <w:t>9.00</w:t>
            </w:r>
          </w:p>
          <w:bookmarkStart w:id="2" w:name="_GoBack"/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660940">
            <w:pPr>
              <w:pStyle w:val="style0"/>
              <w:widowControl/>
              <w:spacing w:lineRule="exact" w:line="240"/>
              <w:jc w:val="both"/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eastAsia="zh-CN"/>
              </w:rPr>
              <w:t>教科书史料研究编写工作未开展，成本相应减少。</w:t>
            </w:r>
            <w:bookmarkEnd w:id="2"/>
          </w:p>
        </w:tc>
      </w:tr>
      <w:tr w14:paraId="37818DA9">
        <w:tblPrEx/>
        <w:trPr>
          <w:trHeight w:val="791" w:hRule="exact"/>
          <w:jc w:val="center"/>
        </w:trPr>
        <w:tc>
          <w:tcPr>
            <w:tcW w:w="49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7704F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</w:pPr>
          </w:p>
        </w:tc>
        <w:tc>
          <w:tcPr>
            <w:tcW w:w="8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087506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val="en-US" w:eastAsia="zh-CN"/>
              </w:rPr>
              <w:t>效益指标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99387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  <w:t>社会效益</w:t>
            </w:r>
          </w:p>
          <w:p w14:paraId="721FF21D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C25D2C">
            <w:pPr>
              <w:pStyle w:val="style0"/>
              <w:widowControl/>
              <w:spacing w:lineRule="exact" w:line="240"/>
              <w:jc w:val="left"/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  <w:highlight w:val="none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  <w:highlight w:val="none"/>
              </w:rPr>
              <w:t>推进“两馆”建设，提升社会服务能力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271C5B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eastAsia="zh-CN"/>
              </w:rPr>
              <w:t>优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44A0CA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eastAsia="zh-CN"/>
              </w:rPr>
              <w:t>优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8F1884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DB4C7E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val="en-US" w:eastAsia="zh-CN"/>
              </w:rPr>
              <w:t>20.00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16E333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61BCADB0">
        <w:tblPrEx/>
        <w:trPr>
          <w:trHeight w:val="703" w:hRule="exact"/>
          <w:jc w:val="center"/>
        </w:trPr>
        <w:tc>
          <w:tcPr>
            <w:tcW w:w="49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9353E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</w:pPr>
          </w:p>
        </w:tc>
        <w:tc>
          <w:tcPr>
            <w:tcW w:w="887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589ED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41D7B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  <w:t>可持续影响指标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FEDB5F">
            <w:pPr>
              <w:pStyle w:val="style0"/>
              <w:widowControl/>
              <w:spacing w:lineRule="exact" w:line="240"/>
              <w:jc w:val="left"/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  <w:highlight w:val="none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  <w:highlight w:val="none"/>
              </w:rPr>
              <w:t>持续推进两馆建设发挥作用程度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84BFA3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eastAsia="zh-CN"/>
              </w:rPr>
              <w:t>长期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1F57A8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eastAsia="zh-CN"/>
              </w:rPr>
              <w:t>长期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4D4A16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B290E0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val="en-US" w:eastAsia="zh-CN"/>
              </w:rPr>
              <w:t>10.00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20EEFD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772C043E">
        <w:tblPrEx/>
        <w:trPr>
          <w:trHeight w:val="696" w:hRule="exact"/>
          <w:jc w:val="center"/>
        </w:trPr>
        <w:tc>
          <w:tcPr>
            <w:tcW w:w="495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ADAA1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1C83D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  <w:t>满意度指标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0E9AC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  <w:t>服务对象满意度</w:t>
            </w: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eastAsia="zh-CN"/>
              </w:rPr>
              <w:t>指标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433F88">
            <w:pPr>
              <w:pStyle w:val="style0"/>
              <w:widowControl/>
              <w:spacing w:lineRule="exact" w:line="240"/>
              <w:jc w:val="left"/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  <w:highlight w:val="none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  <w:highlight w:val="none"/>
              </w:rPr>
              <w:t>展示对象满意度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74BB88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highlight w:val="none"/>
                <w:lang w:val="en-US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  <w:highlight w:val="none"/>
                <w:lang w:val="en-US" w:eastAsia="zh-CN"/>
              </w:rPr>
              <w:t>≥90%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1E52CC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val="en-US" w:eastAsia="zh-CN"/>
              </w:rPr>
              <w:t>93%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EA1532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D69C1F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val="en-US" w:eastAsia="zh-CN"/>
              </w:rPr>
              <w:t>10.00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F71205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</w:pPr>
            <w:r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4EA1D5B2">
        <w:tblPrEx/>
        <w:trPr>
          <w:trHeight w:val="477" w:hRule="exact"/>
          <w:jc w:val="center"/>
        </w:trPr>
        <w:tc>
          <w:tcPr>
            <w:tcW w:w="69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BBE1A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  <w:highlight w:val="none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  <w:highlight w:val="none"/>
              </w:rPr>
              <w:t>总分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EE21DF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  <w:highlight w:val="none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  <w:highlight w:val="none"/>
              </w:rPr>
              <w:t>100</w:t>
            </w:r>
          </w:p>
        </w:tc>
        <w:tc>
          <w:tcPr>
            <w:tcW w:w="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348DAA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default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ascii="仿宋_GB2312" w:cs="宋体" w:eastAsia="仿宋_GB2312" w:hAnsi="宋体" w:hint="eastAsia"/>
                <w:color w:val="000000"/>
                <w:kern w:val="0"/>
                <w:szCs w:val="21"/>
                <w:highlight w:val="none"/>
                <w:lang w:val="en-US" w:eastAsia="zh-CN"/>
              </w:rPr>
              <w:t>97.00</w:t>
            </w: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63FA63">
            <w:pPr>
              <w:pStyle w:val="style0"/>
              <w:widowControl/>
              <w:spacing w:lineRule="exact" w:line="240"/>
              <w:jc w:val="center"/>
              <w:rPr>
                <w:rFonts w:ascii="仿宋_GB2312" w:cs="宋体" w:eastAsia="仿宋_GB2312" w:hAnsi="宋体" w:hint="eastAsia"/>
                <w:kern w:val="0"/>
                <w:szCs w:val="21"/>
                <w:highlight w:val="none"/>
              </w:rPr>
            </w:pPr>
          </w:p>
        </w:tc>
      </w:tr>
    </w:tbl>
    <w:p w14:paraId="46E53948">
      <w:pPr>
        <w:pStyle w:val="style0"/>
        <w:rPr>
          <w:rFonts w:ascii="仿宋_GB2312" w:eastAsia="仿宋_GB2312" w:hint="eastAsia"/>
          <w:vanish/>
          <w:sz w:val="32"/>
          <w:szCs w:val="32"/>
        </w:rPr>
      </w:pPr>
    </w:p>
    <w:p w14:paraId="71A7B1F9">
      <w:pPr>
        <w:pStyle w:val="style0"/>
        <w:widowControl/>
        <w:jc w:val="left"/>
        <w:rPr>
          <w:rFonts w:ascii="仿宋_GB2312" w:cs="宋体" w:eastAsia="仿宋_GB2312" w:hAnsi="宋体"/>
          <w:color w:val="000000"/>
          <w:kern w:val="0"/>
          <w:sz w:val="32"/>
          <w:szCs w:val="32"/>
        </w:rPr>
      </w:pPr>
    </w:p>
    <w:p w14:paraId="7A151F06">
      <w:pPr>
        <w:pStyle w:val="style0"/>
        <w:rPr/>
      </w:pPr>
    </w:p>
    <w:sectPr>
      <w:pgSz w:w="11906" w:h="16838" w:orient="portrait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0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"/>
    <w:panose1 w:val="02010600030000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0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黑体"/>
    <w:panose1 w:val="02010609060000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0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ymbol"/>
    <w:panose1 w:val="05050102010000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0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000010101"/>
    <w:charset w:val="86"/>
    <w:family w:val="modern"/>
    <w:pitch w:val="default"/>
    <w:sig w:usb0="00000000" w:usb1="00000000" w:usb2="00000000" w:usb3="00000000" w:csb0="00040000" w:csb1="00000000"/>
  </w:font>
  <w:font w:name="仿宋">
    <w:altName w:val="仿宋"/>
    <w:panose1 w:val="02010609060000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60"/>
  <w:doNotDisplayPageBoundaries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1"/>
  <w:displayVerticalDrawingGridEvery w:val="1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宋体" w:hAnsi="Times New Roman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jc w:val="both"/>
    </w:pPr>
    <w:rPr>
      <w:rFonts w:ascii="Times New Roman" w:cs="Times New Roman" w:eastAsia="宋体" w:hAnsi="Times New Roman"/>
      <w:kern w:val="2"/>
      <w:sz w:val="21"/>
      <w:szCs w:val="24"/>
      <w:lang w:val="en-US" w:bidi="ar-SA" w:eastAsia="zh-CN"/>
    </w:rPr>
  </w:style>
  <w:style w:type="character" w:default="1" w:styleId="style65">
    <w:name w:val="Default Paragraph Font"/>
    <w:next w:val="style65"/>
    <w:qFormat/>
    <w:uiPriority w:val="1"/>
  </w:style>
  <w:style w:type="table" w:default="1" w:styleId="style105">
    <w:name w:val="Normal Table"/>
    <w:next w:val="style105"/>
    <w:qFormat/>
    <w:uiPriority w:val="99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32">
    <w:name w:val="footer"/>
    <w:basedOn w:val="style0"/>
    <w:next w:val="style32"/>
    <w:link w:val="style4097"/>
    <w:qFormat/>
    <w:uiPriority w:val="99"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  <w:szCs w:val="18"/>
    </w:rPr>
  </w:style>
  <w:style w:type="paragraph" w:styleId="style31">
    <w:name w:val="header"/>
    <w:basedOn w:val="style0"/>
    <w:next w:val="style31"/>
    <w:link w:val="style4098"/>
    <w:qFormat/>
    <w:uiPriority w:val="99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sz w:val="18"/>
      <w:szCs w:val="18"/>
    </w:rPr>
  </w:style>
  <w:style w:type="character" w:customStyle="1" w:styleId="style4097">
    <w:name w:val="页脚 Char"/>
    <w:next w:val="style4097"/>
    <w:link w:val="style32"/>
    <w:qFormat/>
    <w:uiPriority w:val="99"/>
    <w:rPr>
      <w:sz w:val="18"/>
      <w:szCs w:val="18"/>
    </w:rPr>
  </w:style>
  <w:style w:type="character" w:customStyle="1" w:styleId="style4098">
    <w:name w:val="页眉 Char"/>
    <w:next w:val="style4098"/>
    <w:link w:val="style31"/>
    <w:qFormat/>
    <w:uiPriority w:val="99"/>
    <w:rPr>
      <w:sz w:val="18"/>
      <w:szCs w:val="1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Words>793</Words>
  <Pages>2</Pages>
  <Characters>961</Characters>
  <Application>WPS Office</Application>
  <DocSecurity>0</DocSecurity>
  <Paragraphs>211</Paragraphs>
  <ScaleCrop>false</ScaleCrop>
  <LinksUpToDate>false</LinksUpToDate>
  <CharactersWithSpaces>963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2021-03-15T15:31:00Z</dcterms:created>
  <dc:creator>Administrator</dc:creator>
  <lastModifiedBy>2210132C</lastModifiedBy>
  <dcterms:modified xsi:type="dcterms:W3CDTF">2025-08-23T10:40:12Z</dcterms:modified>
  <revision>3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358b8007066e4a9e88dfa36f2d8fc863_23</vt:lpwstr>
  </property>
  <property fmtid="{D5CDD505-2E9C-101B-9397-08002B2CF9AE}" pid="4" name="KSOTemplateDocerSaveRecord">
    <vt:lpwstr>eyJoZGlkIjoiM2NjY2IyOWExOWI4NDk5NzVlMDZlMWE0ZTkyYmU0YjAifQ==</vt:lpwstr>
  </property>
</Properties>
</file>