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0D1" w:rsidRDefault="00F558D4">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A920D1" w:rsidRDefault="00F558D4">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2024</w:t>
      </w:r>
      <w:r>
        <w:rPr>
          <w:rFonts w:ascii="仿宋_GB2312" w:eastAsia="仿宋_GB2312" w:hAnsi="宋体" w:hint="eastAsia"/>
          <w:sz w:val="28"/>
          <w:szCs w:val="28"/>
        </w:rPr>
        <w:t>预算年度）</w:t>
      </w:r>
    </w:p>
    <w:p w:rsidR="00A920D1" w:rsidRDefault="00A920D1">
      <w:pPr>
        <w:spacing w:line="240" w:lineRule="exact"/>
        <w:rPr>
          <w:rFonts w:ascii="仿宋_GB2312" w:eastAsia="仿宋_GB2312" w:hAnsi="宋体"/>
          <w:sz w:val="30"/>
          <w:szCs w:val="30"/>
        </w:rPr>
      </w:pPr>
    </w:p>
    <w:tbl>
      <w:tblPr>
        <w:tblW w:w="9366" w:type="dxa"/>
        <w:jc w:val="center"/>
        <w:tblLayout w:type="fixed"/>
        <w:tblLook w:val="04A0"/>
      </w:tblPr>
      <w:tblGrid>
        <w:gridCol w:w="585"/>
        <w:gridCol w:w="975"/>
        <w:gridCol w:w="1105"/>
        <w:gridCol w:w="727"/>
        <w:gridCol w:w="1127"/>
        <w:gridCol w:w="283"/>
        <w:gridCol w:w="849"/>
        <w:gridCol w:w="848"/>
        <w:gridCol w:w="279"/>
        <w:gridCol w:w="284"/>
        <w:gridCol w:w="420"/>
        <w:gridCol w:w="143"/>
        <w:gridCol w:w="841"/>
        <w:gridCol w:w="900"/>
      </w:tblGrid>
      <w:tr w:rsidR="00A920D1">
        <w:trPr>
          <w:trHeight w:hRule="exact" w:val="48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806" w:type="dxa"/>
            <w:gridSpan w:val="1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bookmarkStart w:id="0" w:name="OLE_LINK5"/>
            <w:r>
              <w:rPr>
                <w:rFonts w:ascii="仿宋_GB2312" w:eastAsia="仿宋_GB2312" w:hAnsi="宋体" w:cs="宋体" w:hint="eastAsia"/>
                <w:kern w:val="0"/>
                <w:szCs w:val="21"/>
              </w:rPr>
              <w:t>学生资助</w:t>
            </w:r>
            <w:r>
              <w:rPr>
                <w:rFonts w:ascii="仿宋_GB2312" w:eastAsia="仿宋_GB2312" w:hAnsi="宋体" w:cs="宋体"/>
                <w:kern w:val="0"/>
                <w:szCs w:val="21"/>
              </w:rPr>
              <w:t>—</w:t>
            </w:r>
            <w:r>
              <w:rPr>
                <w:rFonts w:ascii="仿宋_GB2312" w:eastAsia="仿宋_GB2312" w:hAnsi="宋体" w:cs="宋体"/>
                <w:kern w:val="0"/>
                <w:szCs w:val="21"/>
              </w:rPr>
              <w:t>--</w:t>
            </w:r>
            <w:r>
              <w:rPr>
                <w:rFonts w:ascii="仿宋_GB2312" w:eastAsia="仿宋_GB2312" w:hAnsi="宋体" w:cs="宋体" w:hint="eastAsia"/>
                <w:kern w:val="0"/>
                <w:szCs w:val="21"/>
              </w:rPr>
              <w:t>研究生学业奖学金</w:t>
            </w:r>
            <w:bookmarkEnd w:id="0"/>
          </w:p>
        </w:tc>
      </w:tr>
      <w:tr w:rsidR="00A920D1">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北京市教育委员会</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588" w:type="dxa"/>
            <w:gridSpan w:val="5"/>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中国戏曲学院</w:t>
            </w:r>
          </w:p>
        </w:tc>
      </w:tr>
      <w:tr w:rsidR="00A920D1">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984"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900"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A920D1">
        <w:trPr>
          <w:trHeight w:hRule="exact" w:val="61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bookmarkStart w:id="1" w:name="OLE_LINK1" w:colFirst="3" w:colLast="3"/>
          </w:p>
        </w:tc>
        <w:tc>
          <w:tcPr>
            <w:tcW w:w="1832"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A920D1" w:rsidRDefault="00F558D4">
            <w:pPr>
              <w:widowControl/>
              <w:jc w:val="center"/>
              <w:textAlignment w:val="center"/>
              <w:rPr>
                <w:rFonts w:ascii="宋体" w:eastAsia="仿宋_GB2312" w:hAnsi="宋体" w:cs="宋体"/>
                <w:color w:val="000000"/>
                <w:sz w:val="22"/>
                <w:szCs w:val="22"/>
              </w:rPr>
            </w:pPr>
            <w:r>
              <w:rPr>
                <w:rFonts w:ascii="仿宋_GB2312" w:eastAsia="仿宋_GB2312" w:hAnsi="宋体" w:cs="宋体"/>
                <w:kern w:val="0"/>
                <w:szCs w:val="21"/>
              </w:rPr>
              <w:t>152.400000</w:t>
            </w:r>
          </w:p>
        </w:tc>
        <w:tc>
          <w:tcPr>
            <w:tcW w:w="1132"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152.200000</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152.200000</w:t>
            </w:r>
          </w:p>
        </w:tc>
        <w:tc>
          <w:tcPr>
            <w:tcW w:w="704"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984"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bookmarkStart w:id="2" w:name="OLE_LINK4"/>
            <w:r>
              <w:rPr>
                <w:rFonts w:ascii="仿宋_GB2312" w:eastAsia="仿宋_GB2312" w:hAnsi="宋体" w:cs="宋体" w:hint="eastAsia"/>
                <w:kern w:val="0"/>
                <w:szCs w:val="21"/>
              </w:rPr>
              <w:t>100.00</w:t>
            </w:r>
            <w:r>
              <w:rPr>
                <w:rFonts w:ascii="仿宋_GB2312" w:eastAsia="仿宋_GB2312" w:hAnsi="宋体" w:cs="宋体"/>
                <w:kern w:val="0"/>
                <w:szCs w:val="21"/>
              </w:rPr>
              <w:t>%</w:t>
            </w:r>
            <w:bookmarkEnd w:id="2"/>
          </w:p>
        </w:tc>
        <w:tc>
          <w:tcPr>
            <w:tcW w:w="900"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hAnsi="宋体" w:cs="宋体"/>
                <w:kern w:val="0"/>
                <w:szCs w:val="21"/>
              </w:rPr>
            </w:pPr>
            <w:r>
              <w:rPr>
                <w:rFonts w:ascii="仿宋_GB2312" w:hAnsi="宋体" w:cs="宋体" w:hint="eastAsia"/>
                <w:kern w:val="0"/>
                <w:szCs w:val="21"/>
              </w:rPr>
              <w:t>10.00</w:t>
            </w:r>
          </w:p>
        </w:tc>
      </w:tr>
      <w:tr w:rsidR="00A920D1">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152.400000</w:t>
            </w:r>
          </w:p>
        </w:tc>
        <w:tc>
          <w:tcPr>
            <w:tcW w:w="1132"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152.200000</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152.200000</w:t>
            </w:r>
          </w:p>
        </w:tc>
        <w:tc>
          <w:tcPr>
            <w:tcW w:w="704"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984"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r>
              <w:rPr>
                <w:rFonts w:ascii="仿宋_GB2312" w:eastAsia="仿宋_GB2312" w:hAnsi="宋体" w:cs="宋体"/>
                <w:kern w:val="0"/>
                <w:szCs w:val="21"/>
              </w:rPr>
              <w:t>%</w:t>
            </w:r>
          </w:p>
        </w:tc>
        <w:tc>
          <w:tcPr>
            <w:tcW w:w="900"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A920D1">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bookmarkStart w:id="3" w:name="OLE_LINK6" w:colFirst="5" w:colLast="5"/>
            <w:bookmarkStart w:id="4" w:name="OLE_LINK2" w:colFirst="4" w:colLast="4"/>
            <w:bookmarkEnd w:id="1"/>
          </w:p>
        </w:tc>
        <w:tc>
          <w:tcPr>
            <w:tcW w:w="1832"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984"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900"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tr w:rsidR="00A920D1">
        <w:trPr>
          <w:trHeight w:hRule="exact" w:val="62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32"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1127"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0.000000</w:t>
            </w:r>
          </w:p>
        </w:tc>
        <w:tc>
          <w:tcPr>
            <w:tcW w:w="704" w:type="dxa"/>
            <w:gridSpan w:val="2"/>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984"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c>
          <w:tcPr>
            <w:tcW w:w="900" w:type="dxa"/>
            <w:tcBorders>
              <w:top w:val="nil"/>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p>
        </w:tc>
      </w:tr>
      <w:bookmarkEnd w:id="3"/>
      <w:bookmarkEnd w:id="4"/>
      <w:tr w:rsidR="00A920D1">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715" w:type="dxa"/>
            <w:gridSpan w:val="7"/>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A920D1">
        <w:trPr>
          <w:trHeight w:hRule="exact" w:val="2569"/>
          <w:jc w:val="center"/>
        </w:trPr>
        <w:tc>
          <w:tcPr>
            <w:tcW w:w="585" w:type="dxa"/>
            <w:vMerge/>
            <w:tcBorders>
              <w:top w:val="nil"/>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将研究生思想政治教育和学业提升作为重点工作，以项目为纽带，通过学业奖学金和研究生国家助学金，鼓励研究生努力学习优秀学术观点、理论成果，掌握艺术学学科发展动态，拓宽研究生学术视野，提升研究生艺术创作能力，探索艺术领域发展的新方向、新的增长点，增强我院研究生的科研与学术训练水准，使其综合素质得到提升。</w:t>
            </w:r>
          </w:p>
        </w:tc>
        <w:tc>
          <w:tcPr>
            <w:tcW w:w="3715" w:type="dxa"/>
            <w:gridSpan w:val="7"/>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经过学业奖学金评审，我校研究生学术视野、评优争先精神、艺术创作能力、科研与学术训练水平均得到提升。</w:t>
            </w:r>
          </w:p>
        </w:tc>
      </w:tr>
      <w:tr w:rsidR="00A920D1">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kern w:val="0"/>
                <w:szCs w:val="21"/>
              </w:rPr>
              <w:br/>
            </w:r>
            <w:r>
              <w:rPr>
                <w:rFonts w:ascii="仿宋_GB2312" w:eastAsia="仿宋_GB2312" w:hAnsi="宋体" w:cs="宋体" w:hint="eastAsia"/>
                <w:kern w:val="0"/>
                <w:szCs w:val="21"/>
              </w:rPr>
              <w:t>效</w:t>
            </w:r>
            <w:r>
              <w:rPr>
                <w:rFonts w:ascii="仿宋_GB2312" w:eastAsia="仿宋_GB2312" w:hAnsi="宋体" w:cs="宋体"/>
                <w:kern w:val="0"/>
                <w:szCs w:val="21"/>
              </w:rPr>
              <w:br/>
            </w:r>
            <w:r>
              <w:rPr>
                <w:rFonts w:ascii="仿宋_GB2312" w:eastAsia="仿宋_GB2312" w:hAnsi="宋体" w:cs="宋体" w:hint="eastAsia"/>
                <w:kern w:val="0"/>
                <w:szCs w:val="21"/>
              </w:rPr>
              <w:t>指</w:t>
            </w:r>
            <w:r>
              <w:rPr>
                <w:rFonts w:ascii="仿宋_GB2312" w:eastAsia="仿宋_GB2312" w:hAnsi="宋体" w:cs="宋体"/>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A920D1">
        <w:trPr>
          <w:trHeight w:hRule="exact" w:val="10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bookmarkStart w:id="5" w:name="OLE_LINK3" w:colFirst="6" w:colLast="7"/>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发放奖学金人数</w:t>
            </w:r>
            <w:r>
              <w:rPr>
                <w:rFonts w:ascii="仿宋_GB2312" w:eastAsia="仿宋_GB2312" w:hAnsi="宋体" w:cs="宋体"/>
                <w:color w:val="000000"/>
                <w:kern w:val="0"/>
                <w:szCs w:val="21"/>
              </w:rPr>
              <w:tab/>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226</w:t>
            </w:r>
            <w:r>
              <w:rPr>
                <w:rFonts w:ascii="仿宋_GB2312" w:eastAsia="仿宋_GB2312" w:hAnsi="宋体" w:cs="宋体" w:hint="eastAsia"/>
                <w:kern w:val="0"/>
                <w:szCs w:val="21"/>
              </w:rPr>
              <w:t>人</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226</w:t>
            </w:r>
            <w:r>
              <w:rPr>
                <w:rFonts w:ascii="仿宋_GB2312" w:eastAsia="仿宋_GB2312" w:hAnsi="宋体" w:cs="宋体" w:hint="eastAsia"/>
                <w:kern w:val="0"/>
                <w:szCs w:val="21"/>
              </w:rPr>
              <w:t>人</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w:t>
            </w:r>
            <w:r>
              <w:rPr>
                <w:rFonts w:ascii="仿宋_GB2312" w:eastAsia="仿宋_GB2312" w:hAnsi="宋体" w:cs="宋体" w:hint="eastAsia"/>
                <w:kern w:val="0"/>
                <w:szCs w:val="21"/>
              </w:rPr>
              <w:t>00</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无</w:t>
            </w:r>
          </w:p>
        </w:tc>
      </w:tr>
      <w:tr w:rsidR="00A920D1">
        <w:trPr>
          <w:trHeight w:hRule="exact" w:val="13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奖学金总体补贴人数率</w:t>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100%</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无</w:t>
            </w:r>
          </w:p>
        </w:tc>
      </w:tr>
      <w:tr w:rsidR="00A920D1">
        <w:trPr>
          <w:trHeight w:hRule="exact" w:val="8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奖学金发放时间</w:t>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2024</w:t>
            </w:r>
            <w:r>
              <w:rPr>
                <w:rFonts w:ascii="仿宋_GB2312" w:eastAsia="仿宋_GB2312" w:hAnsi="宋体" w:cs="宋体" w:hint="eastAsia"/>
                <w:kern w:val="0"/>
                <w:szCs w:val="21"/>
              </w:rPr>
              <w:t>年</w:t>
            </w:r>
            <w:r>
              <w:rPr>
                <w:rFonts w:ascii="仿宋_GB2312" w:eastAsia="仿宋_GB2312" w:hAnsi="宋体" w:cs="宋体"/>
                <w:kern w:val="0"/>
                <w:szCs w:val="21"/>
              </w:rPr>
              <w:t>12</w:t>
            </w:r>
            <w:r>
              <w:rPr>
                <w:rFonts w:ascii="仿宋_GB2312" w:eastAsia="仿宋_GB2312" w:hAnsi="宋体" w:cs="宋体" w:hint="eastAsia"/>
                <w:kern w:val="0"/>
                <w:szCs w:val="21"/>
              </w:rPr>
              <w:t>月之前</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2024</w:t>
            </w:r>
            <w:r>
              <w:rPr>
                <w:rFonts w:ascii="仿宋_GB2312" w:eastAsia="仿宋_GB2312" w:hAnsi="宋体" w:cs="宋体" w:hint="eastAsia"/>
                <w:kern w:val="0"/>
                <w:szCs w:val="21"/>
              </w:rPr>
              <w:t>年</w:t>
            </w:r>
            <w:r>
              <w:rPr>
                <w:rFonts w:ascii="仿宋_GB2312" w:eastAsia="仿宋_GB2312" w:hAnsi="宋体" w:cs="宋体"/>
                <w:kern w:val="0"/>
                <w:szCs w:val="21"/>
              </w:rPr>
              <w:t>11</w:t>
            </w:r>
            <w:r>
              <w:rPr>
                <w:rFonts w:ascii="仿宋_GB2312" w:eastAsia="仿宋_GB2312" w:hAnsi="宋体" w:cs="宋体" w:hint="eastAsia"/>
                <w:kern w:val="0"/>
                <w:szCs w:val="21"/>
              </w:rPr>
              <w:t>月</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w:t>
            </w:r>
            <w:r>
              <w:rPr>
                <w:rFonts w:ascii="仿宋_GB2312" w:eastAsia="仿宋_GB2312" w:hAnsi="宋体" w:cs="宋体" w:hint="eastAsia"/>
                <w:kern w:val="0"/>
                <w:szCs w:val="21"/>
              </w:rPr>
              <w:t>.00</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无</w:t>
            </w:r>
          </w:p>
        </w:tc>
      </w:tr>
      <w:tr w:rsidR="00A920D1">
        <w:trPr>
          <w:trHeight w:hRule="exact" w:val="10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rsidR="00A920D1" w:rsidRDefault="00A920D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经济成本指标</w:t>
            </w:r>
          </w:p>
          <w:p w:rsidR="00A920D1" w:rsidRDefault="00A920D1">
            <w:pPr>
              <w:widowControl/>
              <w:spacing w:line="240" w:lineRule="exact"/>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总体金额数</w:t>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152.4</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152.2</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19.97</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rsidP="00F558D4">
            <w:pPr>
              <w:widowControl/>
              <w:spacing w:line="240" w:lineRule="exact"/>
              <w:rPr>
                <w:rFonts w:ascii="仿宋_GB2312" w:eastAsia="仿宋_GB2312" w:hAnsi="宋体" w:cs="宋体"/>
                <w:kern w:val="0"/>
                <w:szCs w:val="21"/>
              </w:rPr>
            </w:pPr>
            <w:r>
              <w:rPr>
                <w:rFonts w:ascii="宋体" w:hAnsi="宋体" w:cs="宋体" w:hint="eastAsia"/>
                <w:kern w:val="0"/>
                <w:szCs w:val="21"/>
              </w:rPr>
              <w:t>按</w:t>
            </w:r>
            <w:r>
              <w:rPr>
                <w:rFonts w:ascii="仿宋_GB2312" w:eastAsia="仿宋_GB2312" w:hAnsi="宋体" w:cs="宋体" w:hint="eastAsia"/>
                <w:kern w:val="0"/>
                <w:szCs w:val="21"/>
              </w:rPr>
              <w:t>实际</w:t>
            </w:r>
            <w:r>
              <w:rPr>
                <w:rFonts w:ascii="仿宋_GB2312" w:eastAsia="仿宋_GB2312" w:hAnsi="宋体" w:cs="宋体" w:hint="eastAsia"/>
                <w:kern w:val="0"/>
                <w:szCs w:val="21"/>
              </w:rPr>
              <w:t>人数发放</w:t>
            </w:r>
            <w:r>
              <w:rPr>
                <w:rFonts w:ascii="仿宋_GB2312" w:eastAsia="仿宋_GB2312" w:hAnsi="宋体" w:cs="宋体" w:hint="eastAsia"/>
                <w:kern w:val="0"/>
                <w:szCs w:val="21"/>
              </w:rPr>
              <w:t>。</w:t>
            </w:r>
          </w:p>
        </w:tc>
      </w:tr>
      <w:tr w:rsidR="00A920D1">
        <w:trPr>
          <w:trHeight w:hRule="exact" w:val="9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学生的学习与科研创作热情以及学生回馈社会的责任感与使命感持续提升</w:t>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持续得到提升</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逐年度持续得到提升</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20</w:t>
            </w:r>
            <w:r>
              <w:rPr>
                <w:rFonts w:ascii="仿宋_GB2312" w:eastAsia="仿宋_GB2312" w:hAnsi="宋体" w:cs="宋体" w:hint="eastAsia"/>
                <w:kern w:val="0"/>
                <w:szCs w:val="21"/>
              </w:rPr>
              <w:t>.00</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无</w:t>
            </w:r>
          </w:p>
        </w:tc>
      </w:tr>
      <w:tr w:rsidR="00A920D1">
        <w:trPr>
          <w:trHeight w:hRule="exact" w:val="102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A920D1" w:rsidRDefault="00F558D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nil"/>
              <w:right w:val="single" w:sz="4" w:space="0" w:color="auto"/>
            </w:tcBorders>
            <w:vAlign w:val="center"/>
          </w:tcPr>
          <w:p w:rsidR="00A920D1" w:rsidRDefault="00F558D4">
            <w:pPr>
              <w:widowControl/>
              <w:jc w:val="left"/>
              <w:textAlignment w:val="center"/>
              <w:rPr>
                <w:rFonts w:ascii="宋体" w:cs="宋体"/>
                <w:color w:val="000000"/>
                <w:sz w:val="20"/>
                <w:szCs w:val="20"/>
              </w:rPr>
            </w:pPr>
            <w:r>
              <w:rPr>
                <w:rFonts w:ascii="仿宋_GB2312" w:eastAsia="仿宋_GB2312" w:hAnsi="仿宋_GB2312" w:cs="仿宋_GB2312" w:hint="eastAsia"/>
                <w:color w:val="000000"/>
                <w:kern w:val="0"/>
                <w:szCs w:val="21"/>
              </w:rPr>
              <w:t>服务对象满意度指标</w:t>
            </w:r>
            <w:bookmarkStart w:id="6" w:name="_GoBack"/>
            <w:bookmarkEnd w:id="6"/>
          </w:p>
        </w:tc>
        <w:tc>
          <w:tcPr>
            <w:tcW w:w="2137" w:type="dxa"/>
            <w:gridSpan w:val="3"/>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项目服务于我院研究生，预计服务对象满意度指标率。</w:t>
            </w:r>
            <w:r>
              <w:rPr>
                <w:rFonts w:ascii="仿宋_GB2312" w:eastAsia="仿宋_GB2312" w:hAnsi="宋体" w:cs="宋体"/>
                <w:kern w:val="0"/>
                <w:szCs w:val="21"/>
              </w:rPr>
              <w:tab/>
            </w:r>
          </w:p>
        </w:tc>
        <w:tc>
          <w:tcPr>
            <w:tcW w:w="849"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90%</w:t>
            </w:r>
          </w:p>
        </w:tc>
        <w:tc>
          <w:tcPr>
            <w:tcW w:w="848" w:type="dxa"/>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5</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kern w:val="0"/>
                <w:szCs w:val="21"/>
              </w:rPr>
              <w:t>5</w:t>
            </w:r>
            <w:r>
              <w:rPr>
                <w:rFonts w:ascii="仿宋_GB2312" w:eastAsia="仿宋_GB2312" w:hAnsi="宋体" w:cs="宋体" w:hint="eastAsia"/>
                <w:kern w:val="0"/>
                <w:szCs w:val="21"/>
              </w:rPr>
              <w:t>.00</w:t>
            </w:r>
          </w:p>
        </w:tc>
        <w:tc>
          <w:tcPr>
            <w:tcW w:w="1741"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无</w:t>
            </w:r>
          </w:p>
        </w:tc>
      </w:tr>
      <w:bookmarkEnd w:id="5"/>
      <w:tr w:rsidR="00A920D1">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A920D1" w:rsidRDefault="00F558D4">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99.</w:t>
            </w:r>
            <w:r>
              <w:rPr>
                <w:rFonts w:ascii="仿宋_GB2312" w:eastAsia="仿宋_GB2312" w:hAnsi="宋体" w:cs="宋体" w:hint="eastAsia"/>
                <w:color w:val="000000"/>
                <w:kern w:val="0"/>
                <w:szCs w:val="21"/>
              </w:rPr>
              <w:t>97</w:t>
            </w:r>
          </w:p>
        </w:tc>
        <w:tc>
          <w:tcPr>
            <w:tcW w:w="1741" w:type="dxa"/>
            <w:gridSpan w:val="2"/>
            <w:tcBorders>
              <w:top w:val="single" w:sz="4" w:space="0" w:color="auto"/>
              <w:left w:val="nil"/>
              <w:bottom w:val="single" w:sz="4" w:space="0" w:color="auto"/>
              <w:right w:val="single" w:sz="4" w:space="0" w:color="auto"/>
            </w:tcBorders>
            <w:vAlign w:val="center"/>
          </w:tcPr>
          <w:p w:rsidR="00A920D1" w:rsidRDefault="00A920D1">
            <w:pPr>
              <w:widowControl/>
              <w:spacing w:line="240" w:lineRule="exact"/>
              <w:jc w:val="center"/>
              <w:rPr>
                <w:rFonts w:ascii="仿宋_GB2312" w:eastAsia="仿宋_GB2312" w:hAnsi="宋体" w:cs="宋体"/>
                <w:kern w:val="0"/>
                <w:szCs w:val="21"/>
              </w:rPr>
            </w:pPr>
          </w:p>
        </w:tc>
      </w:tr>
    </w:tbl>
    <w:p w:rsidR="00A920D1" w:rsidRDefault="00A920D1">
      <w:pPr>
        <w:rPr>
          <w:rFonts w:ascii="仿宋_GB2312" w:eastAsia="仿宋_GB2312"/>
          <w:vanish/>
          <w:sz w:val="32"/>
          <w:szCs w:val="32"/>
        </w:rPr>
      </w:pPr>
    </w:p>
    <w:p w:rsidR="00A920D1" w:rsidRDefault="00A920D1">
      <w:pPr>
        <w:widowControl/>
        <w:jc w:val="left"/>
        <w:rPr>
          <w:rFonts w:ascii="仿宋_GB2312" w:eastAsia="仿宋_GB2312" w:hAnsi="宋体" w:cs="宋体"/>
          <w:color w:val="000000"/>
          <w:kern w:val="0"/>
          <w:sz w:val="32"/>
          <w:szCs w:val="32"/>
        </w:rPr>
      </w:pPr>
    </w:p>
    <w:sectPr w:rsidR="00A920D1" w:rsidSect="00A920D1">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charset w:val="86"/>
    <w:family w:val="script"/>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ₔഌ卆䵇란გ㓍%鹦4ꀀ耀鹦+ꀀ耀鹦+ℤഌ卆䵇똸გ㿿剦㌳㿿剦㌳㿿↴ഌ卆䵇뚜გ惍㿿噦렀㿿噦렀㿿≄ഌ卆䵇뚀გ㿿剦㌳㿿剦㌳㿿⋔ഌ卆䵇똜გ쓍㿿噦ᰀ㿿噦ᰀ㿿卆䵇똀გ膚㿿噦㿿噦㿿"/>
  </w:docVars>
  <w:rsids>
    <w:rsidRoot w:val="00512C82"/>
    <w:rsid w:val="9DAFF2B6"/>
    <w:rsid w:val="B9E710A5"/>
    <w:rsid w:val="EFD2F2AB"/>
    <w:rsid w:val="000363A5"/>
    <w:rsid w:val="00110944"/>
    <w:rsid w:val="001B78A6"/>
    <w:rsid w:val="002615C9"/>
    <w:rsid w:val="003435ED"/>
    <w:rsid w:val="0041012A"/>
    <w:rsid w:val="0045622B"/>
    <w:rsid w:val="00512C82"/>
    <w:rsid w:val="00564842"/>
    <w:rsid w:val="008372CE"/>
    <w:rsid w:val="008A3EEA"/>
    <w:rsid w:val="00A11A12"/>
    <w:rsid w:val="00A84581"/>
    <w:rsid w:val="00A920D1"/>
    <w:rsid w:val="00AE52F8"/>
    <w:rsid w:val="00B47A57"/>
    <w:rsid w:val="00CE49C2"/>
    <w:rsid w:val="00D0771A"/>
    <w:rsid w:val="00E017CD"/>
    <w:rsid w:val="00F558D4"/>
    <w:rsid w:val="00F561EB"/>
    <w:rsid w:val="00F564CE"/>
    <w:rsid w:val="00F86687"/>
    <w:rsid w:val="14D47131"/>
    <w:rsid w:val="15237F9C"/>
    <w:rsid w:val="1EE82FD5"/>
    <w:rsid w:val="22314778"/>
    <w:rsid w:val="2C1C5C22"/>
    <w:rsid w:val="2DBD260B"/>
    <w:rsid w:val="2E4C3DA4"/>
    <w:rsid w:val="2F7E9E52"/>
    <w:rsid w:val="2F7F4AB5"/>
    <w:rsid w:val="37E72FFE"/>
    <w:rsid w:val="3E5762EE"/>
    <w:rsid w:val="3E7F2DAF"/>
    <w:rsid w:val="3FC251AA"/>
    <w:rsid w:val="432045E8"/>
    <w:rsid w:val="4A321312"/>
    <w:rsid w:val="4B26517A"/>
    <w:rsid w:val="4C5F5508"/>
    <w:rsid w:val="5A3A729D"/>
    <w:rsid w:val="5FB3C5AC"/>
    <w:rsid w:val="654F35A3"/>
    <w:rsid w:val="6CA55B6A"/>
    <w:rsid w:val="71775A9D"/>
    <w:rsid w:val="7A465689"/>
    <w:rsid w:val="7FFB850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0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A920D1"/>
    <w:pPr>
      <w:jc w:val="left"/>
    </w:pPr>
  </w:style>
  <w:style w:type="paragraph" w:styleId="a4">
    <w:name w:val="footer"/>
    <w:basedOn w:val="a"/>
    <w:link w:val="Char"/>
    <w:uiPriority w:val="99"/>
    <w:qFormat/>
    <w:rsid w:val="00A920D1"/>
    <w:pPr>
      <w:tabs>
        <w:tab w:val="center" w:pos="4153"/>
        <w:tab w:val="right" w:pos="8306"/>
      </w:tabs>
      <w:snapToGrid w:val="0"/>
      <w:jc w:val="left"/>
    </w:pPr>
    <w:rPr>
      <w:kern w:val="0"/>
      <w:sz w:val="18"/>
      <w:szCs w:val="18"/>
    </w:rPr>
  </w:style>
  <w:style w:type="paragraph" w:styleId="a5">
    <w:name w:val="header"/>
    <w:basedOn w:val="a"/>
    <w:link w:val="Char0"/>
    <w:uiPriority w:val="99"/>
    <w:qFormat/>
    <w:rsid w:val="00A920D1"/>
    <w:pPr>
      <w:pBdr>
        <w:bottom w:val="single" w:sz="6" w:space="1" w:color="auto"/>
      </w:pBdr>
      <w:tabs>
        <w:tab w:val="center" w:pos="4153"/>
        <w:tab w:val="right" w:pos="8306"/>
      </w:tabs>
      <w:snapToGrid w:val="0"/>
      <w:jc w:val="center"/>
    </w:pPr>
    <w:rPr>
      <w:kern w:val="0"/>
      <w:sz w:val="18"/>
      <w:szCs w:val="18"/>
    </w:rPr>
  </w:style>
  <w:style w:type="character" w:customStyle="1" w:styleId="Char">
    <w:name w:val="页脚 Char"/>
    <w:basedOn w:val="a0"/>
    <w:link w:val="a4"/>
    <w:uiPriority w:val="99"/>
    <w:qFormat/>
    <w:locked/>
    <w:rsid w:val="00A920D1"/>
    <w:rPr>
      <w:rFonts w:cs="Times New Roman"/>
      <w:sz w:val="18"/>
    </w:rPr>
  </w:style>
  <w:style w:type="character" w:customStyle="1" w:styleId="Char0">
    <w:name w:val="页眉 Char"/>
    <w:basedOn w:val="a0"/>
    <w:link w:val="a5"/>
    <w:uiPriority w:val="99"/>
    <w:qFormat/>
    <w:locked/>
    <w:rsid w:val="00A920D1"/>
    <w:rPr>
      <w:rFonts w:cs="Times New Roman"/>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587</Words>
  <Characters>355</Characters>
  <Application>Microsoft Office Word</Application>
  <DocSecurity>0</DocSecurity>
  <Lines>2</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AA</cp:lastModifiedBy>
  <cp:revision>9</cp:revision>
  <dcterms:created xsi:type="dcterms:W3CDTF">2021-03-14T07:31:00Z</dcterms:created>
  <dcterms:modified xsi:type="dcterms:W3CDTF">2025-08-23T10:54:00Z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E163569FC66E4A5C82C349BF24E528D2_12</vt:lpwstr>
  </property>
  <property fmtid="{D5CDD505-2E9C-101B-9397-08002B2CF9AE}" pid="4" name="KSOTemplateDocerSaveRecord">
    <vt:lpwstr>eyJoZGlkIjoiZDJlYWZlYmYxMTNiNTEyNzM5N2VhZTRlNmRkNjAyNjUiLCJ1c2VySWQiOiIxNjM1OTQwNzg1In0=</vt:lpwstr>
  </property>
</Properties>
</file>