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4998" w:type="pct"/>
        <w:tblInd w:w="0" w:type="dxa"/>
        <w:tblLayout w:type="autofit"/>
        <w:tblCellMar>
          <w:top w:w="0" w:type="dxa"/>
          <w:left w:w="108" w:type="dxa"/>
          <w:bottom w:w="0" w:type="dxa"/>
          <w:right w:w="108" w:type="dxa"/>
        </w:tblCellMar>
      </w:tblPr>
      <w:tblGrid>
        <w:gridCol w:w="609"/>
        <w:gridCol w:w="819"/>
        <w:gridCol w:w="2159"/>
        <w:gridCol w:w="2196"/>
        <w:gridCol w:w="1785"/>
        <w:gridCol w:w="1930"/>
        <w:gridCol w:w="898"/>
        <w:gridCol w:w="850"/>
        <w:gridCol w:w="1037"/>
        <w:gridCol w:w="1885"/>
      </w:tblGrid>
      <w:tr w14:paraId="771E9C43">
        <w:tblPrEx>
          <w:tblCellMar>
            <w:top w:w="0" w:type="dxa"/>
            <w:left w:w="108" w:type="dxa"/>
            <w:bottom w:w="0" w:type="dxa"/>
            <w:right w:w="108" w:type="dxa"/>
          </w:tblCellMar>
        </w:tblPrEx>
        <w:trPr>
          <w:trHeight w:val="352" w:hRule="atLeast"/>
        </w:trPr>
        <w:tc>
          <w:tcPr>
            <w:tcW w:w="1266" w:type="pct"/>
            <w:gridSpan w:val="3"/>
            <w:tcBorders>
              <w:top w:val="nil"/>
              <w:left w:val="nil"/>
              <w:bottom w:val="nil"/>
              <w:right w:val="nil"/>
            </w:tcBorders>
            <w:shd w:val="clear" w:color="auto" w:fill="auto"/>
            <w:noWrap/>
            <w:vAlign w:val="center"/>
          </w:tcPr>
          <w:p w14:paraId="62F990A3">
            <w:pPr>
              <w:jc w:val="left"/>
              <w:rPr>
                <w:rFonts w:ascii="黑体" w:hAnsi="宋体" w:eastAsia="黑体" w:cs="黑体"/>
                <w:color w:val="000000"/>
                <w:sz w:val="24"/>
              </w:rPr>
            </w:pPr>
          </w:p>
        </w:tc>
        <w:tc>
          <w:tcPr>
            <w:tcW w:w="775" w:type="pct"/>
            <w:tcBorders>
              <w:top w:val="nil"/>
              <w:left w:val="nil"/>
              <w:bottom w:val="nil"/>
              <w:right w:val="nil"/>
            </w:tcBorders>
            <w:shd w:val="clear" w:color="auto" w:fill="auto"/>
            <w:noWrap/>
            <w:vAlign w:val="center"/>
          </w:tcPr>
          <w:p w14:paraId="3439EA1F">
            <w:pPr>
              <w:jc w:val="left"/>
              <w:rPr>
                <w:rFonts w:ascii="宋体" w:hAnsi="宋体" w:eastAsia="宋体" w:cs="宋体"/>
                <w:color w:val="000000"/>
                <w:sz w:val="22"/>
                <w:szCs w:val="22"/>
              </w:rPr>
            </w:pPr>
          </w:p>
        </w:tc>
        <w:tc>
          <w:tcPr>
            <w:tcW w:w="630" w:type="pct"/>
            <w:tcBorders>
              <w:top w:val="nil"/>
              <w:left w:val="nil"/>
              <w:bottom w:val="nil"/>
              <w:right w:val="nil"/>
            </w:tcBorders>
            <w:shd w:val="clear" w:color="auto" w:fill="auto"/>
            <w:noWrap/>
            <w:vAlign w:val="center"/>
          </w:tcPr>
          <w:p w14:paraId="39FF14C8">
            <w:pPr>
              <w:jc w:val="left"/>
              <w:rPr>
                <w:rFonts w:ascii="宋体" w:hAnsi="宋体" w:eastAsia="宋体" w:cs="宋体"/>
                <w:color w:val="000000"/>
                <w:sz w:val="22"/>
                <w:szCs w:val="22"/>
              </w:rPr>
            </w:pPr>
          </w:p>
        </w:tc>
        <w:tc>
          <w:tcPr>
            <w:tcW w:w="681" w:type="pct"/>
            <w:tcBorders>
              <w:top w:val="nil"/>
              <w:left w:val="nil"/>
              <w:bottom w:val="nil"/>
              <w:right w:val="nil"/>
            </w:tcBorders>
            <w:shd w:val="clear" w:color="auto" w:fill="auto"/>
            <w:noWrap/>
            <w:vAlign w:val="center"/>
          </w:tcPr>
          <w:p w14:paraId="7E61B10E">
            <w:pPr>
              <w:jc w:val="left"/>
              <w:rPr>
                <w:rFonts w:ascii="宋体" w:hAnsi="宋体" w:eastAsia="宋体" w:cs="宋体"/>
                <w:color w:val="000000"/>
                <w:sz w:val="22"/>
                <w:szCs w:val="22"/>
              </w:rPr>
            </w:pPr>
          </w:p>
        </w:tc>
        <w:tc>
          <w:tcPr>
            <w:tcW w:w="317" w:type="pct"/>
            <w:tcBorders>
              <w:top w:val="nil"/>
              <w:left w:val="nil"/>
              <w:bottom w:val="nil"/>
              <w:right w:val="nil"/>
            </w:tcBorders>
            <w:shd w:val="clear" w:color="auto" w:fill="auto"/>
            <w:noWrap/>
            <w:vAlign w:val="center"/>
          </w:tcPr>
          <w:p w14:paraId="604D5116">
            <w:pPr>
              <w:jc w:val="left"/>
              <w:rPr>
                <w:rFonts w:ascii="宋体" w:hAnsi="宋体" w:eastAsia="宋体" w:cs="宋体"/>
                <w:color w:val="000000"/>
                <w:sz w:val="22"/>
                <w:szCs w:val="22"/>
              </w:rPr>
            </w:pPr>
          </w:p>
        </w:tc>
        <w:tc>
          <w:tcPr>
            <w:tcW w:w="300" w:type="pct"/>
            <w:tcBorders>
              <w:top w:val="nil"/>
              <w:left w:val="nil"/>
              <w:bottom w:val="nil"/>
              <w:right w:val="nil"/>
            </w:tcBorders>
            <w:shd w:val="clear" w:color="auto" w:fill="auto"/>
            <w:noWrap/>
            <w:vAlign w:val="center"/>
          </w:tcPr>
          <w:p w14:paraId="0E3F76D5">
            <w:pPr>
              <w:jc w:val="left"/>
              <w:rPr>
                <w:rFonts w:ascii="宋体" w:hAnsi="宋体" w:eastAsia="宋体" w:cs="宋体"/>
                <w:color w:val="000000"/>
                <w:sz w:val="22"/>
                <w:szCs w:val="22"/>
              </w:rPr>
            </w:pPr>
          </w:p>
        </w:tc>
        <w:tc>
          <w:tcPr>
            <w:tcW w:w="366" w:type="pct"/>
            <w:tcBorders>
              <w:top w:val="nil"/>
              <w:left w:val="nil"/>
              <w:bottom w:val="nil"/>
              <w:right w:val="nil"/>
            </w:tcBorders>
            <w:shd w:val="clear" w:color="auto" w:fill="auto"/>
            <w:noWrap/>
            <w:vAlign w:val="center"/>
          </w:tcPr>
          <w:p w14:paraId="5D0808F0">
            <w:pPr>
              <w:rPr>
                <w:rFonts w:ascii="宋体" w:hAnsi="宋体" w:eastAsia="宋体" w:cs="宋体"/>
                <w:color w:val="000000"/>
                <w:sz w:val="22"/>
                <w:szCs w:val="22"/>
              </w:rPr>
            </w:pPr>
          </w:p>
        </w:tc>
        <w:tc>
          <w:tcPr>
            <w:tcW w:w="665" w:type="pct"/>
            <w:tcBorders>
              <w:top w:val="nil"/>
              <w:left w:val="nil"/>
              <w:bottom w:val="nil"/>
              <w:right w:val="nil"/>
            </w:tcBorders>
            <w:shd w:val="clear" w:color="auto" w:fill="auto"/>
            <w:noWrap/>
            <w:vAlign w:val="center"/>
          </w:tcPr>
          <w:p w14:paraId="538B6DB6">
            <w:pPr>
              <w:rPr>
                <w:rFonts w:ascii="宋体" w:hAnsi="宋体" w:eastAsia="宋体" w:cs="宋体"/>
                <w:color w:val="000000"/>
                <w:sz w:val="22"/>
                <w:szCs w:val="22"/>
              </w:rPr>
            </w:pPr>
          </w:p>
        </w:tc>
      </w:tr>
      <w:tr w14:paraId="4347953E">
        <w:tblPrEx>
          <w:tblCellMar>
            <w:top w:w="0" w:type="dxa"/>
            <w:left w:w="108" w:type="dxa"/>
            <w:bottom w:w="0" w:type="dxa"/>
            <w:right w:w="108" w:type="dxa"/>
          </w:tblCellMar>
        </w:tblPrEx>
        <w:trPr>
          <w:trHeight w:val="489" w:hRule="atLeast"/>
        </w:trPr>
        <w:tc>
          <w:tcPr>
            <w:tcW w:w="5000" w:type="pct"/>
            <w:gridSpan w:val="10"/>
            <w:tcBorders>
              <w:top w:val="nil"/>
              <w:left w:val="nil"/>
              <w:bottom w:val="nil"/>
              <w:right w:val="nil"/>
            </w:tcBorders>
            <w:shd w:val="clear" w:color="auto" w:fill="auto"/>
            <w:noWrap/>
            <w:vAlign w:val="center"/>
          </w:tcPr>
          <w:p w14:paraId="0035ED4B">
            <w:pPr>
              <w:widowControl/>
              <w:jc w:val="center"/>
              <w:textAlignment w:val="center"/>
              <w:rPr>
                <w:rFonts w:ascii="方正小标宋简体" w:hAnsi="方正小标宋简体" w:eastAsia="方正小标宋简体" w:cs="方正小标宋简体"/>
                <w:color w:val="000000"/>
                <w:sz w:val="36"/>
                <w:szCs w:val="36"/>
              </w:rPr>
            </w:pPr>
            <w:r>
              <w:rPr>
                <w:rFonts w:ascii="方正小标宋简体" w:hAnsi="方正小标宋简体" w:eastAsia="方正小标宋简体" w:cs="方正小标宋简体"/>
                <w:color w:val="000000"/>
                <w:kern w:val="0"/>
                <w:sz w:val="36"/>
                <w:szCs w:val="36"/>
                <w:lang w:bidi="ar"/>
              </w:rPr>
              <w:t>项目支出绩效自评表</w:t>
            </w:r>
          </w:p>
        </w:tc>
      </w:tr>
      <w:tr w14:paraId="2F3B0451">
        <w:tblPrEx>
          <w:tblCellMar>
            <w:top w:w="0" w:type="dxa"/>
            <w:left w:w="108" w:type="dxa"/>
            <w:bottom w:w="0" w:type="dxa"/>
            <w:right w:w="108" w:type="dxa"/>
          </w:tblCellMar>
        </w:tblPrEx>
        <w:trPr>
          <w:trHeight w:val="479" w:hRule="atLeast"/>
        </w:trPr>
        <w:tc>
          <w:tcPr>
            <w:tcW w:w="5000" w:type="pct"/>
            <w:gridSpan w:val="10"/>
            <w:tcBorders>
              <w:top w:val="nil"/>
              <w:left w:val="nil"/>
              <w:bottom w:val="nil"/>
              <w:right w:val="nil"/>
            </w:tcBorders>
            <w:shd w:val="clear" w:color="auto" w:fill="auto"/>
            <w:noWrap/>
            <w:vAlign w:val="center"/>
          </w:tcPr>
          <w:p w14:paraId="17E8CD1F">
            <w:pPr>
              <w:widowControl/>
              <w:jc w:val="center"/>
              <w:textAlignment w:val="center"/>
              <w:rPr>
                <w:rFonts w:ascii="仿宋_GB2312" w:hAnsi="宋体" w:eastAsia="仿宋_GB2312" w:cs="仿宋_GB2312"/>
                <w:color w:val="000000"/>
                <w:sz w:val="28"/>
                <w:szCs w:val="28"/>
              </w:rPr>
            </w:pPr>
            <w:r>
              <w:rPr>
                <w:rFonts w:ascii="仿宋_GB2312" w:hAnsi="宋体" w:eastAsia="仿宋_GB2312" w:cs="仿宋_GB2312"/>
                <w:color w:val="000000"/>
                <w:kern w:val="0"/>
                <w:sz w:val="28"/>
                <w:szCs w:val="28"/>
                <w:lang w:bidi="ar"/>
              </w:rPr>
              <w:t>（2024预算年度）</w:t>
            </w:r>
          </w:p>
        </w:tc>
      </w:tr>
      <w:tr w14:paraId="08513634">
        <w:tblPrEx>
          <w:tblCellMar>
            <w:top w:w="0" w:type="dxa"/>
            <w:left w:w="108" w:type="dxa"/>
            <w:bottom w:w="0" w:type="dxa"/>
            <w:right w:w="108" w:type="dxa"/>
          </w:tblCellMar>
        </w:tblPrEx>
        <w:trPr>
          <w:trHeight w:val="336" w:hRule="atLeast"/>
        </w:trPr>
        <w:tc>
          <w:tcPr>
            <w:tcW w:w="50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3D9396">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项目名称</w:t>
            </w:r>
          </w:p>
        </w:tc>
        <w:tc>
          <w:tcPr>
            <w:tcW w:w="4496"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6979A42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教师队伍建设-青年北京学者-王衍学</w:t>
            </w:r>
          </w:p>
        </w:tc>
      </w:tr>
      <w:tr w14:paraId="71766FF6">
        <w:tblPrEx>
          <w:tblCellMar>
            <w:top w:w="0" w:type="dxa"/>
            <w:left w:w="108" w:type="dxa"/>
            <w:bottom w:w="0" w:type="dxa"/>
            <w:right w:w="108" w:type="dxa"/>
          </w:tblCellMar>
        </w:tblPrEx>
        <w:trPr>
          <w:trHeight w:val="336" w:hRule="atLeast"/>
        </w:trPr>
        <w:tc>
          <w:tcPr>
            <w:tcW w:w="50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D333FA">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主管部门</w:t>
            </w:r>
          </w:p>
        </w:tc>
        <w:tc>
          <w:tcPr>
            <w:tcW w:w="2167"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8280989">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北京市教育委员会</w:t>
            </w:r>
          </w:p>
        </w:tc>
        <w:tc>
          <w:tcPr>
            <w:tcW w:w="6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70493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实施单位</w:t>
            </w:r>
          </w:p>
        </w:tc>
        <w:tc>
          <w:tcPr>
            <w:tcW w:w="164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C426C5D">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北京建筑大学</w:t>
            </w:r>
          </w:p>
        </w:tc>
      </w:tr>
      <w:tr w14:paraId="7F58EB0F">
        <w:tblPrEx>
          <w:tblCellMar>
            <w:top w:w="0" w:type="dxa"/>
            <w:left w:w="108" w:type="dxa"/>
            <w:bottom w:w="0" w:type="dxa"/>
            <w:right w:w="108" w:type="dxa"/>
          </w:tblCellMar>
        </w:tblPrEx>
        <w:trPr>
          <w:trHeight w:val="336" w:hRule="atLeast"/>
        </w:trPr>
        <w:tc>
          <w:tcPr>
            <w:tcW w:w="504"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C5F125">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项目资金（万元）</w:t>
            </w:r>
          </w:p>
        </w:tc>
        <w:tc>
          <w:tcPr>
            <w:tcW w:w="762" w:type="pct"/>
            <w:tcBorders>
              <w:top w:val="single" w:color="000000" w:sz="4" w:space="0"/>
              <w:left w:val="single" w:color="000000" w:sz="4" w:space="0"/>
              <w:bottom w:val="single" w:color="000000" w:sz="4" w:space="0"/>
              <w:right w:val="nil"/>
            </w:tcBorders>
            <w:shd w:val="clear" w:color="auto" w:fill="auto"/>
            <w:vAlign w:val="center"/>
          </w:tcPr>
          <w:p w14:paraId="031A2B67">
            <w:pPr>
              <w:jc w:val="center"/>
              <w:rPr>
                <w:rFonts w:ascii="仿宋_GB2312" w:hAnsi="宋体" w:eastAsia="仿宋_GB2312" w:cs="仿宋_GB2312"/>
                <w:color w:val="000000"/>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3CD5E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年初预算数</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1326D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全年预算数</w:t>
            </w:r>
          </w:p>
        </w:tc>
        <w:tc>
          <w:tcPr>
            <w:tcW w:w="6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7ED55E">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全年执行数</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7A335D">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分值</w:t>
            </w:r>
          </w:p>
        </w:tc>
        <w:tc>
          <w:tcPr>
            <w:tcW w:w="66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0D9EC2">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执行率</w:t>
            </w:r>
          </w:p>
        </w:tc>
        <w:tc>
          <w:tcPr>
            <w:tcW w:w="6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F32015">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得分</w:t>
            </w:r>
          </w:p>
        </w:tc>
      </w:tr>
      <w:tr w14:paraId="0FC77583">
        <w:tblPrEx>
          <w:tblCellMar>
            <w:top w:w="0" w:type="dxa"/>
            <w:left w:w="108" w:type="dxa"/>
            <w:bottom w:w="0" w:type="dxa"/>
            <w:right w:w="108" w:type="dxa"/>
          </w:tblCellMar>
        </w:tblPrEx>
        <w:trPr>
          <w:trHeight w:val="336" w:hRule="atLeast"/>
        </w:trPr>
        <w:tc>
          <w:tcPr>
            <w:tcW w:w="50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142A3B">
            <w:pPr>
              <w:jc w:val="center"/>
              <w:rPr>
                <w:rFonts w:ascii="仿宋_GB2312" w:hAnsi="宋体" w:eastAsia="仿宋_GB2312" w:cs="仿宋_GB2312"/>
                <w:color w:val="000000"/>
                <w:szCs w:val="21"/>
              </w:rPr>
            </w:pPr>
          </w:p>
        </w:tc>
        <w:tc>
          <w:tcPr>
            <w:tcW w:w="762" w:type="pct"/>
            <w:tcBorders>
              <w:top w:val="single" w:color="000000" w:sz="4" w:space="0"/>
              <w:left w:val="single" w:color="000000" w:sz="4" w:space="0"/>
              <w:bottom w:val="single" w:color="000000" w:sz="4" w:space="0"/>
              <w:right w:val="nil"/>
            </w:tcBorders>
            <w:shd w:val="clear" w:color="auto" w:fill="auto"/>
            <w:vAlign w:val="center"/>
          </w:tcPr>
          <w:p w14:paraId="0AD2418F">
            <w:pPr>
              <w:widowControl/>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年度资金总额</w:t>
            </w: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F32DB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80.000000 </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51C99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80.000000 </w:t>
            </w:r>
          </w:p>
        </w:tc>
        <w:tc>
          <w:tcPr>
            <w:tcW w:w="6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0E3AF4">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79.999273 </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781316">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w:t>
            </w:r>
            <w:r>
              <w:rPr>
                <w:rFonts w:hint="eastAsia" w:ascii="仿宋_GB2312" w:hAnsi="宋体" w:eastAsia="仿宋_GB2312" w:cs="仿宋_GB2312"/>
                <w:color w:val="000000"/>
                <w:kern w:val="0"/>
                <w:szCs w:val="21"/>
                <w:lang w:bidi="ar"/>
              </w:rPr>
              <w:t>.00</w:t>
            </w:r>
          </w:p>
        </w:tc>
        <w:tc>
          <w:tcPr>
            <w:tcW w:w="66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3950BD">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100.00%</w:t>
            </w:r>
          </w:p>
        </w:tc>
        <w:tc>
          <w:tcPr>
            <w:tcW w:w="6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55123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w:t>
            </w:r>
          </w:p>
        </w:tc>
      </w:tr>
      <w:tr w14:paraId="507D5D9F">
        <w:tblPrEx>
          <w:tblCellMar>
            <w:top w:w="0" w:type="dxa"/>
            <w:left w:w="108" w:type="dxa"/>
            <w:bottom w:w="0" w:type="dxa"/>
            <w:right w:w="108" w:type="dxa"/>
          </w:tblCellMar>
        </w:tblPrEx>
        <w:trPr>
          <w:trHeight w:val="336" w:hRule="atLeast"/>
        </w:trPr>
        <w:tc>
          <w:tcPr>
            <w:tcW w:w="50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E50AC5">
            <w:pPr>
              <w:jc w:val="center"/>
              <w:rPr>
                <w:rFonts w:ascii="仿宋_GB2312" w:hAnsi="宋体" w:eastAsia="仿宋_GB2312" w:cs="仿宋_GB2312"/>
                <w:color w:val="000000"/>
                <w:szCs w:val="21"/>
              </w:rPr>
            </w:pPr>
          </w:p>
        </w:tc>
        <w:tc>
          <w:tcPr>
            <w:tcW w:w="762" w:type="pct"/>
            <w:tcBorders>
              <w:top w:val="single" w:color="000000" w:sz="4" w:space="0"/>
              <w:left w:val="single" w:color="000000" w:sz="4" w:space="0"/>
              <w:bottom w:val="single" w:color="000000" w:sz="4" w:space="0"/>
              <w:right w:val="nil"/>
            </w:tcBorders>
            <w:shd w:val="clear" w:color="auto" w:fill="auto"/>
            <w:vAlign w:val="center"/>
          </w:tcPr>
          <w:p w14:paraId="33548F85">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其中：当年财政拨款</w:t>
            </w: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5DA189">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80.000000 </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77F634">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80.000000 </w:t>
            </w:r>
          </w:p>
        </w:tc>
        <w:tc>
          <w:tcPr>
            <w:tcW w:w="6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1B6860">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79.999273 </w:t>
            </w:r>
          </w:p>
        </w:tc>
        <w:tc>
          <w:tcPr>
            <w:tcW w:w="317" w:type="pct"/>
            <w:tcBorders>
              <w:top w:val="single" w:color="000000" w:sz="4" w:space="0"/>
              <w:left w:val="single" w:color="000000" w:sz="4" w:space="0"/>
              <w:bottom w:val="single" w:color="000000" w:sz="4" w:space="0"/>
              <w:right w:val="nil"/>
            </w:tcBorders>
            <w:shd w:val="clear" w:color="auto" w:fill="auto"/>
            <w:vAlign w:val="center"/>
          </w:tcPr>
          <w:p w14:paraId="3674ECA4">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c>
          <w:tcPr>
            <w:tcW w:w="66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1A13BE">
            <w:pPr>
              <w:jc w:val="center"/>
              <w:rPr>
                <w:rFonts w:ascii="仿宋_GB2312" w:hAnsi="宋体" w:eastAsia="仿宋_GB2312" w:cs="仿宋_GB2312"/>
                <w:color w:val="000000"/>
                <w:szCs w:val="21"/>
              </w:rPr>
            </w:pPr>
          </w:p>
        </w:tc>
        <w:tc>
          <w:tcPr>
            <w:tcW w:w="6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F27D99">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r>
      <w:tr w14:paraId="524959AA">
        <w:tblPrEx>
          <w:tblCellMar>
            <w:top w:w="0" w:type="dxa"/>
            <w:left w:w="108" w:type="dxa"/>
            <w:bottom w:w="0" w:type="dxa"/>
            <w:right w:w="108" w:type="dxa"/>
          </w:tblCellMar>
        </w:tblPrEx>
        <w:trPr>
          <w:trHeight w:val="336" w:hRule="atLeast"/>
        </w:trPr>
        <w:tc>
          <w:tcPr>
            <w:tcW w:w="50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70248C">
            <w:pPr>
              <w:jc w:val="center"/>
              <w:rPr>
                <w:rFonts w:ascii="仿宋_GB2312" w:hAnsi="宋体" w:eastAsia="仿宋_GB2312" w:cs="仿宋_GB2312"/>
                <w:color w:val="000000"/>
                <w:szCs w:val="21"/>
              </w:rPr>
            </w:pPr>
          </w:p>
        </w:tc>
        <w:tc>
          <w:tcPr>
            <w:tcW w:w="762" w:type="pct"/>
            <w:tcBorders>
              <w:top w:val="single" w:color="000000" w:sz="4" w:space="0"/>
              <w:left w:val="single" w:color="000000" w:sz="4" w:space="0"/>
              <w:bottom w:val="single" w:color="000000" w:sz="4" w:space="0"/>
              <w:right w:val="nil"/>
            </w:tcBorders>
            <w:shd w:val="clear" w:color="auto" w:fill="auto"/>
            <w:vAlign w:val="center"/>
          </w:tcPr>
          <w:p w14:paraId="1012CB25">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上年结转资金</w:t>
            </w: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65C8CE">
            <w:pPr>
              <w:jc w:val="center"/>
              <w:rPr>
                <w:rFonts w:ascii="仿宋_GB2312" w:hAnsi="宋体" w:eastAsia="仿宋_GB2312" w:cs="仿宋_GB2312"/>
                <w:color w:val="000000"/>
                <w:szCs w:val="21"/>
              </w:rPr>
            </w:pP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B84FA1">
            <w:pPr>
              <w:jc w:val="center"/>
              <w:rPr>
                <w:rFonts w:ascii="仿宋_GB2312" w:hAnsi="宋体" w:eastAsia="仿宋_GB2312" w:cs="仿宋_GB2312"/>
                <w:color w:val="000000"/>
                <w:szCs w:val="21"/>
              </w:rPr>
            </w:pPr>
          </w:p>
        </w:tc>
        <w:tc>
          <w:tcPr>
            <w:tcW w:w="6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137DE3">
            <w:pPr>
              <w:jc w:val="center"/>
              <w:rPr>
                <w:rFonts w:ascii="仿宋_GB2312" w:hAnsi="宋体" w:eastAsia="仿宋_GB2312" w:cs="仿宋_GB2312"/>
                <w:color w:val="000000"/>
                <w:szCs w:val="21"/>
              </w:rPr>
            </w:pP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83A452">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c>
          <w:tcPr>
            <w:tcW w:w="66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AD641A">
            <w:pPr>
              <w:jc w:val="center"/>
              <w:rPr>
                <w:rFonts w:ascii="仿宋_GB2312" w:hAnsi="宋体" w:eastAsia="仿宋_GB2312" w:cs="仿宋_GB2312"/>
                <w:color w:val="000000"/>
                <w:szCs w:val="21"/>
              </w:rPr>
            </w:pPr>
          </w:p>
        </w:tc>
        <w:tc>
          <w:tcPr>
            <w:tcW w:w="6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E75177">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r>
      <w:tr w14:paraId="5D9509E9">
        <w:tblPrEx>
          <w:tblCellMar>
            <w:top w:w="0" w:type="dxa"/>
            <w:left w:w="108" w:type="dxa"/>
            <w:bottom w:w="0" w:type="dxa"/>
            <w:right w:w="108" w:type="dxa"/>
          </w:tblCellMar>
        </w:tblPrEx>
        <w:trPr>
          <w:trHeight w:val="336" w:hRule="atLeast"/>
        </w:trPr>
        <w:tc>
          <w:tcPr>
            <w:tcW w:w="50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6E1544">
            <w:pPr>
              <w:jc w:val="center"/>
              <w:rPr>
                <w:rFonts w:ascii="仿宋_GB2312" w:hAnsi="宋体" w:eastAsia="仿宋_GB2312" w:cs="仿宋_GB2312"/>
                <w:color w:val="000000"/>
                <w:szCs w:val="21"/>
              </w:rPr>
            </w:pPr>
          </w:p>
        </w:tc>
        <w:tc>
          <w:tcPr>
            <w:tcW w:w="762" w:type="pct"/>
            <w:tcBorders>
              <w:top w:val="single" w:color="000000" w:sz="4" w:space="0"/>
              <w:left w:val="single" w:color="000000" w:sz="4" w:space="0"/>
              <w:bottom w:val="single" w:color="000000" w:sz="4" w:space="0"/>
              <w:right w:val="nil"/>
            </w:tcBorders>
            <w:shd w:val="clear" w:color="auto" w:fill="auto"/>
            <w:vAlign w:val="center"/>
          </w:tcPr>
          <w:p w14:paraId="52B6F252">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其他资金</w:t>
            </w: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F7597B">
            <w:pPr>
              <w:jc w:val="center"/>
              <w:rPr>
                <w:rFonts w:ascii="仿宋_GB2312" w:hAnsi="宋体" w:eastAsia="仿宋_GB2312" w:cs="仿宋_GB2312"/>
                <w:color w:val="000000"/>
                <w:szCs w:val="21"/>
              </w:rPr>
            </w:pP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49BEA4">
            <w:pPr>
              <w:jc w:val="center"/>
              <w:rPr>
                <w:rFonts w:ascii="仿宋_GB2312" w:hAnsi="宋体" w:eastAsia="仿宋_GB2312" w:cs="仿宋_GB2312"/>
                <w:color w:val="000000"/>
                <w:szCs w:val="21"/>
              </w:rPr>
            </w:pPr>
          </w:p>
        </w:tc>
        <w:tc>
          <w:tcPr>
            <w:tcW w:w="6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BB467A">
            <w:pPr>
              <w:jc w:val="center"/>
              <w:rPr>
                <w:rFonts w:ascii="仿宋_GB2312" w:hAnsi="宋体" w:eastAsia="仿宋_GB2312" w:cs="仿宋_GB2312"/>
                <w:color w:val="000000"/>
                <w:szCs w:val="21"/>
              </w:rPr>
            </w:pP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934187">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c>
          <w:tcPr>
            <w:tcW w:w="66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F06E14">
            <w:pPr>
              <w:jc w:val="center"/>
              <w:rPr>
                <w:rFonts w:ascii="仿宋_GB2312" w:hAnsi="宋体" w:eastAsia="仿宋_GB2312" w:cs="仿宋_GB2312"/>
                <w:color w:val="000000"/>
                <w:szCs w:val="21"/>
              </w:rPr>
            </w:pPr>
          </w:p>
        </w:tc>
        <w:tc>
          <w:tcPr>
            <w:tcW w:w="6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1FE8C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r>
      <w:tr w14:paraId="6B187B34">
        <w:tblPrEx>
          <w:tblCellMar>
            <w:top w:w="0" w:type="dxa"/>
            <w:left w:w="108" w:type="dxa"/>
            <w:bottom w:w="0" w:type="dxa"/>
            <w:right w:w="108" w:type="dxa"/>
          </w:tblCellMar>
        </w:tblPrEx>
        <w:trPr>
          <w:trHeight w:val="336" w:hRule="atLeast"/>
        </w:trPr>
        <w:tc>
          <w:tcPr>
            <w:tcW w:w="21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A0A2C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年度总体目标</w:t>
            </w:r>
          </w:p>
        </w:tc>
        <w:tc>
          <w:tcPr>
            <w:tcW w:w="2456"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5F8F35A">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预期目标</w:t>
            </w:r>
          </w:p>
        </w:tc>
        <w:tc>
          <w:tcPr>
            <w:tcW w:w="2329"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ADAFCB2">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实际完成情况</w:t>
            </w:r>
          </w:p>
        </w:tc>
      </w:tr>
      <w:tr w14:paraId="0CE0969B">
        <w:tblPrEx>
          <w:tblCellMar>
            <w:top w:w="0" w:type="dxa"/>
            <w:left w:w="108" w:type="dxa"/>
            <w:bottom w:w="0" w:type="dxa"/>
            <w:right w:w="108" w:type="dxa"/>
          </w:tblCellMar>
        </w:tblPrEx>
        <w:trPr>
          <w:trHeight w:val="2647" w:hRule="atLeast"/>
        </w:trPr>
        <w:tc>
          <w:tcPr>
            <w:tcW w:w="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78E254">
            <w:pPr>
              <w:jc w:val="center"/>
              <w:rPr>
                <w:rFonts w:ascii="仿宋_GB2312" w:hAnsi="宋体" w:eastAsia="仿宋_GB2312" w:cs="仿宋_GB2312"/>
                <w:color w:val="000000"/>
                <w:szCs w:val="21"/>
              </w:rPr>
            </w:pPr>
          </w:p>
        </w:tc>
        <w:tc>
          <w:tcPr>
            <w:tcW w:w="2456"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8E4E425">
            <w:pPr>
              <w:widowControl/>
              <w:jc w:val="left"/>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本项目以智能装备机械系统的轴承、转子以及多级齿轮系为对象，研究三类关键部件的损伤机理，进而提出新型故障征兆及新的实用化检测方法，并在相应实验台上进行实验研究。在此研究基础上，开展基于大数据和深度学习的智能装备智能诊断方法；并提出大数据驱动的智能装备健康状态预测模型。本项目研究也为将来更宏观组网后的大系统机械故障诊断研究奠定基础。 随着先进传感器、互联网、物联网以及信息处理等技术的运用，智能装备不可避免产生大规模监测数据。因此，内外部复杂环境和大数据的综合影响给装备智能感知机械故障与主动维护带来诸多挑战。因此，需要从大数据中提取动态故障特征，并预测装备关键部件的剩余寿命，从而在出现未料到的故障时自动触发一种主动控制活动，实现面向大数据的智能装备的自主维修以及维修智能化。本项目对于丰富轨道交通车辆装备、风电机组、建筑塔吊等复杂机电装备的故障机理、状态监测与故障诊断研究具有重要科学价值，对于保障装备安全运行具有重要经济和社会效益，并给航空发动机等其他高端装备运维保障提供基础理论与技术支持。 预期总目标： （1）提出了基于图神经网络的智能装备机械系统实用化特征提取与分类新方法； （2）提供多源信息数据融合与深度分析的故障智能识别方法； （3）提出基于多源数据驱动的装备健康监测智能诊断模型。 （4）发表论文3篇，授权发明专利1项，培养研究生4名。</w:t>
            </w:r>
          </w:p>
        </w:tc>
        <w:tc>
          <w:tcPr>
            <w:tcW w:w="2329"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4DF2E39">
            <w:pPr>
              <w:widowControl/>
              <w:jc w:val="left"/>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（1）提出了一种新颖的富连接时空图神经网络（RC-STGNN），该网络通过构建一个考虑同一时间步内传感器连接以及不同时间步间传感器连接的富连接时空图结构。</w:t>
            </w:r>
            <w:r>
              <w:rPr>
                <w:rFonts w:ascii="仿宋_GB2312" w:hAnsi="宋体" w:eastAsia="仿宋_GB2312" w:cs="仿宋_GB2312"/>
                <w:color w:val="000000"/>
                <w:kern w:val="0"/>
                <w:szCs w:val="21"/>
                <w:lang w:bidi="ar"/>
              </w:rPr>
              <w:br w:type="textWrapping"/>
            </w:r>
            <w:r>
              <w:rPr>
                <w:rFonts w:ascii="仿宋_GB2312" w:hAnsi="宋体" w:eastAsia="仿宋_GB2312" w:cs="仿宋_GB2312"/>
                <w:color w:val="000000"/>
                <w:kern w:val="0"/>
                <w:szCs w:val="21"/>
                <w:lang w:bidi="ar"/>
              </w:rPr>
              <w:t>（2）开发了一种新的指标，称为局部化平方ESkurtosis（LoSEnSK），用于指导故障诊断中解调带宽（DFB）的选择，该指标对随机脉冲噪声和循环平稳噪声具有免疫性。</w:t>
            </w:r>
            <w:r>
              <w:rPr>
                <w:rFonts w:ascii="仿宋_GB2312" w:hAnsi="宋体" w:eastAsia="仿宋_GB2312" w:cs="仿宋_GB2312"/>
                <w:color w:val="000000"/>
                <w:kern w:val="0"/>
                <w:szCs w:val="21"/>
                <w:lang w:bidi="ar"/>
              </w:rPr>
              <w:br w:type="textWrapping"/>
            </w:r>
            <w:r>
              <w:rPr>
                <w:rFonts w:ascii="仿宋_GB2312" w:hAnsi="宋体" w:eastAsia="仿宋_GB2312" w:cs="仿宋_GB2312"/>
                <w:color w:val="000000"/>
                <w:kern w:val="0"/>
                <w:szCs w:val="21"/>
                <w:lang w:bidi="ar"/>
              </w:rPr>
              <w:t>（3）提出了一种基于相关性方差贡献的数据级融合方法，有效整合了振动信号，解决了多源信息融合的问题。</w:t>
            </w:r>
            <w:r>
              <w:rPr>
                <w:rFonts w:ascii="仿宋_GB2312" w:hAnsi="宋体" w:eastAsia="仿宋_GB2312" w:cs="仿宋_GB2312"/>
                <w:color w:val="000000"/>
                <w:kern w:val="0"/>
                <w:szCs w:val="21"/>
                <w:lang w:bidi="ar"/>
              </w:rPr>
              <w:br w:type="textWrapping"/>
            </w:r>
            <w:r>
              <w:rPr>
                <w:rFonts w:ascii="仿宋_GB2312" w:hAnsi="宋体" w:eastAsia="仿宋_GB2312" w:cs="仿宋_GB2312"/>
                <w:color w:val="000000"/>
                <w:kern w:val="0"/>
                <w:szCs w:val="21"/>
                <w:lang w:bidi="ar"/>
              </w:rPr>
              <w:t>（4）发表论文8篇，授权发明专利5项，培养研究生5名。</w:t>
            </w:r>
          </w:p>
        </w:tc>
      </w:tr>
      <w:tr w14:paraId="0B9FAC17">
        <w:tblPrEx>
          <w:tblCellMar>
            <w:top w:w="0" w:type="dxa"/>
            <w:left w:w="108" w:type="dxa"/>
            <w:bottom w:w="0" w:type="dxa"/>
            <w:right w:w="108" w:type="dxa"/>
          </w:tblCellMar>
        </w:tblPrEx>
        <w:trPr>
          <w:trHeight w:val="640" w:hRule="atLeast"/>
        </w:trPr>
        <w:tc>
          <w:tcPr>
            <w:tcW w:w="21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EC9E1E">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绩效指标</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073E20">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一级指标</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0E15E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二级指标</w:t>
            </w: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1284AA">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三级指标</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7E4E08">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年度指标值</w:t>
            </w:r>
          </w:p>
        </w:tc>
        <w:tc>
          <w:tcPr>
            <w:tcW w:w="6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06F317">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实际完成值</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6F801E">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分值</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F0041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得分</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546D68">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偏差原因分析及改进措施</w:t>
            </w:r>
          </w:p>
        </w:tc>
      </w:tr>
      <w:tr w14:paraId="1010F246">
        <w:tblPrEx>
          <w:tblCellMar>
            <w:top w:w="0" w:type="dxa"/>
            <w:left w:w="108" w:type="dxa"/>
            <w:bottom w:w="0" w:type="dxa"/>
            <w:right w:w="108" w:type="dxa"/>
          </w:tblCellMar>
        </w:tblPrEx>
        <w:trPr>
          <w:trHeight w:val="580" w:hRule="atLeast"/>
        </w:trPr>
        <w:tc>
          <w:tcPr>
            <w:tcW w:w="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8C06DB">
            <w:pPr>
              <w:jc w:val="center"/>
              <w:rPr>
                <w:rFonts w:ascii="仿宋_GB2312" w:hAnsi="宋体" w:eastAsia="仿宋_GB2312" w:cs="仿宋_GB2312"/>
                <w:color w:val="000000"/>
                <w:szCs w:val="21"/>
              </w:rPr>
            </w:pPr>
          </w:p>
        </w:tc>
        <w:tc>
          <w:tcPr>
            <w:tcW w:w="289" w:type="pct"/>
            <w:vMerge w:val="restart"/>
            <w:tcBorders>
              <w:top w:val="single" w:color="000000" w:sz="4" w:space="0"/>
              <w:left w:val="single" w:color="000000" w:sz="4" w:space="0"/>
              <w:bottom w:val="nil"/>
              <w:right w:val="single" w:color="000000" w:sz="4" w:space="0"/>
            </w:tcBorders>
            <w:shd w:val="clear" w:color="auto" w:fill="auto"/>
            <w:vAlign w:val="center"/>
          </w:tcPr>
          <w:p w14:paraId="3F5E6970">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产出指标</w:t>
            </w:r>
          </w:p>
        </w:tc>
        <w:tc>
          <w:tcPr>
            <w:tcW w:w="76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9DAD52">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数量指标</w:t>
            </w: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86066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培养研究生数量</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B0A174">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＝4个</w:t>
            </w:r>
          </w:p>
        </w:tc>
        <w:tc>
          <w:tcPr>
            <w:tcW w:w="6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70D0B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6</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B77332">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B711D5">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9</w:t>
            </w:r>
            <w:r>
              <w:rPr>
                <w:rFonts w:ascii="仿宋_GB2312" w:hAnsi="宋体" w:eastAsia="仿宋_GB2312" w:cs="仿宋_GB2312"/>
                <w:color w:val="000000"/>
                <w:kern w:val="0"/>
                <w:szCs w:val="21"/>
                <w:lang w:bidi="ar"/>
              </w:rPr>
              <w:t>.</w:t>
            </w:r>
            <w:r>
              <w:rPr>
                <w:rFonts w:hint="eastAsia" w:ascii="仿宋_GB2312" w:hAnsi="宋体" w:eastAsia="仿宋_GB2312" w:cs="仿宋_GB2312"/>
                <w:color w:val="000000"/>
                <w:kern w:val="0"/>
                <w:szCs w:val="21"/>
                <w:lang w:bidi="ar"/>
              </w:rPr>
              <w:t>0</w:t>
            </w:r>
            <w:r>
              <w:rPr>
                <w:rFonts w:ascii="仿宋_GB2312" w:hAnsi="宋体" w:eastAsia="仿宋_GB2312" w:cs="仿宋_GB2312"/>
                <w:color w:val="000000"/>
                <w:kern w:val="0"/>
                <w:szCs w:val="21"/>
                <w:lang w:bidi="ar"/>
              </w:rPr>
              <w:t>0</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CE0A6E">
            <w:pPr>
              <w:widowControl/>
              <w:jc w:val="center"/>
              <w:textAlignment w:val="center"/>
              <w:rPr>
                <w:rFonts w:ascii="仿宋_GB2312" w:hAnsi="宋体" w:eastAsia="仿宋_GB2312" w:cs="仿宋_GB2312"/>
                <w:strike/>
                <w:dstrike w:val="0"/>
                <w:color w:val="000000"/>
                <w:szCs w:val="21"/>
                <w:highlight w:val="yellow"/>
              </w:rPr>
            </w:pPr>
            <w:r>
              <w:rPr>
                <w:rFonts w:ascii="仿宋_GB2312" w:hAnsi="宋体" w:eastAsia="仿宋_GB2312" w:cs="仿宋_GB2312"/>
                <w:color w:val="000000"/>
                <w:kern w:val="0"/>
                <w:szCs w:val="21"/>
                <w:lang w:bidi="ar"/>
              </w:rPr>
              <w:t>无</w:t>
            </w:r>
          </w:p>
        </w:tc>
      </w:tr>
      <w:tr w14:paraId="287943C9">
        <w:tblPrEx>
          <w:tblCellMar>
            <w:top w:w="0" w:type="dxa"/>
            <w:left w:w="108" w:type="dxa"/>
            <w:bottom w:w="0" w:type="dxa"/>
            <w:right w:w="108" w:type="dxa"/>
          </w:tblCellMar>
        </w:tblPrEx>
        <w:trPr>
          <w:trHeight w:val="580" w:hRule="atLeast"/>
        </w:trPr>
        <w:tc>
          <w:tcPr>
            <w:tcW w:w="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563829">
            <w:pPr>
              <w:jc w:val="center"/>
              <w:rPr>
                <w:rFonts w:ascii="仿宋_GB2312" w:hAnsi="宋体" w:eastAsia="仿宋_GB2312" w:cs="仿宋_GB2312"/>
                <w:color w:val="000000"/>
                <w:szCs w:val="21"/>
              </w:rPr>
            </w:pPr>
          </w:p>
        </w:tc>
        <w:tc>
          <w:tcPr>
            <w:tcW w:w="289" w:type="pct"/>
            <w:vMerge w:val="continue"/>
            <w:tcBorders>
              <w:top w:val="single" w:color="000000" w:sz="4" w:space="0"/>
              <w:left w:val="single" w:color="000000" w:sz="4" w:space="0"/>
              <w:bottom w:val="nil"/>
              <w:right w:val="single" w:color="000000" w:sz="4" w:space="0"/>
            </w:tcBorders>
            <w:shd w:val="clear" w:color="auto" w:fill="auto"/>
            <w:vAlign w:val="center"/>
          </w:tcPr>
          <w:p w14:paraId="7A8CCE53">
            <w:pPr>
              <w:jc w:val="center"/>
              <w:rPr>
                <w:rFonts w:ascii="仿宋_GB2312" w:hAnsi="宋体" w:eastAsia="仿宋_GB2312" w:cs="仿宋_GB2312"/>
                <w:color w:val="000000"/>
                <w:szCs w:val="21"/>
              </w:rPr>
            </w:pPr>
          </w:p>
        </w:tc>
        <w:tc>
          <w:tcPr>
            <w:tcW w:w="7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043402">
            <w:pPr>
              <w:jc w:val="center"/>
              <w:rPr>
                <w:rFonts w:ascii="仿宋_GB2312" w:hAnsi="宋体" w:eastAsia="仿宋_GB2312" w:cs="仿宋_GB2312"/>
                <w:color w:val="000000"/>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4184A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授权发明专利</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5111BE">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＝1个</w:t>
            </w:r>
          </w:p>
        </w:tc>
        <w:tc>
          <w:tcPr>
            <w:tcW w:w="6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24564B">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5</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CDAD78">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03B8C4">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8.00</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1EC306">
            <w:pPr>
              <w:widowControl/>
              <w:jc w:val="center"/>
              <w:textAlignment w:val="center"/>
              <w:rPr>
                <w:rFonts w:ascii="仿宋_GB2312" w:hAnsi="宋体" w:eastAsia="仿宋_GB2312" w:cs="仿宋_GB2312"/>
                <w:strike/>
                <w:dstrike w:val="0"/>
                <w:color w:val="000000"/>
                <w:szCs w:val="21"/>
                <w:highlight w:val="yellow"/>
              </w:rPr>
            </w:pPr>
            <w:r>
              <w:rPr>
                <w:rFonts w:ascii="仿宋_GB2312" w:hAnsi="宋体" w:eastAsia="仿宋_GB2312" w:cs="仿宋_GB2312"/>
                <w:color w:val="000000"/>
                <w:kern w:val="0"/>
                <w:szCs w:val="21"/>
                <w:lang w:bidi="ar"/>
              </w:rPr>
              <w:t>无</w:t>
            </w:r>
          </w:p>
        </w:tc>
      </w:tr>
      <w:tr w14:paraId="71928B48">
        <w:tblPrEx>
          <w:tblCellMar>
            <w:top w:w="0" w:type="dxa"/>
            <w:left w:w="108" w:type="dxa"/>
            <w:bottom w:w="0" w:type="dxa"/>
            <w:right w:w="108" w:type="dxa"/>
          </w:tblCellMar>
        </w:tblPrEx>
        <w:trPr>
          <w:trHeight w:val="580" w:hRule="atLeast"/>
        </w:trPr>
        <w:tc>
          <w:tcPr>
            <w:tcW w:w="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BC9971">
            <w:pPr>
              <w:jc w:val="center"/>
              <w:rPr>
                <w:rFonts w:ascii="仿宋_GB2312" w:hAnsi="宋体" w:eastAsia="仿宋_GB2312" w:cs="仿宋_GB2312"/>
                <w:color w:val="000000"/>
                <w:szCs w:val="21"/>
              </w:rPr>
            </w:pPr>
          </w:p>
        </w:tc>
        <w:tc>
          <w:tcPr>
            <w:tcW w:w="289" w:type="pct"/>
            <w:vMerge w:val="continue"/>
            <w:tcBorders>
              <w:top w:val="single" w:color="000000" w:sz="4" w:space="0"/>
              <w:left w:val="single" w:color="000000" w:sz="4" w:space="0"/>
              <w:bottom w:val="nil"/>
              <w:right w:val="single" w:color="000000" w:sz="4" w:space="0"/>
            </w:tcBorders>
            <w:shd w:val="clear" w:color="auto" w:fill="auto"/>
            <w:vAlign w:val="center"/>
          </w:tcPr>
          <w:p w14:paraId="761B925A">
            <w:pPr>
              <w:jc w:val="center"/>
              <w:rPr>
                <w:rFonts w:ascii="仿宋_GB2312" w:hAnsi="宋体" w:eastAsia="仿宋_GB2312" w:cs="仿宋_GB2312"/>
                <w:color w:val="000000"/>
                <w:szCs w:val="21"/>
              </w:rPr>
            </w:pPr>
          </w:p>
        </w:tc>
        <w:tc>
          <w:tcPr>
            <w:tcW w:w="7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4F991E">
            <w:pPr>
              <w:jc w:val="center"/>
              <w:rPr>
                <w:rFonts w:ascii="仿宋_GB2312" w:hAnsi="宋体" w:eastAsia="仿宋_GB2312" w:cs="仿宋_GB2312"/>
                <w:color w:val="000000"/>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6F77D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高水平期刊论文</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3EFD72">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＝3个</w:t>
            </w:r>
          </w:p>
        </w:tc>
        <w:tc>
          <w:tcPr>
            <w:tcW w:w="6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EAF4A5">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8</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F38AC6">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09FBE4">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8.00</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A70919">
            <w:pPr>
              <w:widowControl/>
              <w:jc w:val="center"/>
              <w:textAlignment w:val="center"/>
              <w:rPr>
                <w:rFonts w:ascii="仿宋_GB2312" w:hAnsi="宋体" w:eastAsia="仿宋_GB2312" w:cs="仿宋_GB2312"/>
                <w:strike/>
                <w:dstrike w:val="0"/>
                <w:color w:val="000000"/>
                <w:szCs w:val="21"/>
                <w:highlight w:val="yellow"/>
              </w:rPr>
            </w:pPr>
            <w:r>
              <w:rPr>
                <w:rFonts w:ascii="仿宋_GB2312" w:hAnsi="宋体" w:eastAsia="仿宋_GB2312" w:cs="仿宋_GB2312"/>
                <w:color w:val="000000"/>
                <w:kern w:val="0"/>
                <w:szCs w:val="21"/>
                <w:lang w:bidi="ar"/>
              </w:rPr>
              <w:t>无</w:t>
            </w:r>
          </w:p>
        </w:tc>
      </w:tr>
      <w:tr w14:paraId="3D226CA9">
        <w:tblPrEx>
          <w:tblCellMar>
            <w:top w:w="0" w:type="dxa"/>
            <w:left w:w="108" w:type="dxa"/>
            <w:bottom w:w="0" w:type="dxa"/>
            <w:right w:w="108" w:type="dxa"/>
          </w:tblCellMar>
        </w:tblPrEx>
        <w:trPr>
          <w:trHeight w:val="580" w:hRule="atLeast"/>
        </w:trPr>
        <w:tc>
          <w:tcPr>
            <w:tcW w:w="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9BE515">
            <w:pPr>
              <w:jc w:val="center"/>
              <w:rPr>
                <w:rFonts w:ascii="仿宋_GB2312" w:hAnsi="宋体" w:eastAsia="仿宋_GB2312" w:cs="仿宋_GB2312"/>
                <w:color w:val="000000"/>
                <w:szCs w:val="21"/>
              </w:rPr>
            </w:pPr>
          </w:p>
        </w:tc>
        <w:tc>
          <w:tcPr>
            <w:tcW w:w="289" w:type="pct"/>
            <w:vMerge w:val="continue"/>
            <w:tcBorders>
              <w:top w:val="single" w:color="000000" w:sz="4" w:space="0"/>
              <w:left w:val="single" w:color="000000" w:sz="4" w:space="0"/>
              <w:bottom w:val="nil"/>
              <w:right w:val="single" w:color="000000" w:sz="4" w:space="0"/>
            </w:tcBorders>
            <w:shd w:val="clear" w:color="auto" w:fill="auto"/>
            <w:vAlign w:val="center"/>
          </w:tcPr>
          <w:p w14:paraId="6BC83490">
            <w:pPr>
              <w:jc w:val="center"/>
              <w:rPr>
                <w:rFonts w:ascii="仿宋_GB2312" w:hAnsi="宋体" w:eastAsia="仿宋_GB2312" w:cs="仿宋_GB2312"/>
                <w:color w:val="000000"/>
                <w:szCs w:val="21"/>
              </w:rPr>
            </w:pP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F9CDAB">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质量指标</w:t>
            </w: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A7B41E">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论文发表于SCI期刊的比例</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32C0AD">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≥60%</w:t>
            </w:r>
          </w:p>
        </w:tc>
        <w:tc>
          <w:tcPr>
            <w:tcW w:w="6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608D49">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3149C7">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50888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0CCCF9">
            <w:pPr>
              <w:widowControl/>
              <w:jc w:val="center"/>
              <w:textAlignment w:val="center"/>
              <w:rPr>
                <w:rFonts w:ascii="仿宋_GB2312" w:hAnsi="宋体" w:eastAsia="仿宋_GB2312" w:cs="仿宋_GB2312"/>
                <w:color w:val="000000"/>
                <w:szCs w:val="21"/>
              </w:rPr>
            </w:pPr>
            <w:bookmarkStart w:id="0" w:name="_GoBack"/>
            <w:bookmarkEnd w:id="0"/>
            <w:r>
              <w:rPr>
                <w:rFonts w:ascii="仿宋_GB2312" w:hAnsi="宋体" w:eastAsia="仿宋_GB2312" w:cs="仿宋_GB2312"/>
                <w:color w:val="000000"/>
                <w:kern w:val="0"/>
                <w:szCs w:val="21"/>
                <w:lang w:bidi="ar"/>
              </w:rPr>
              <w:t>无</w:t>
            </w:r>
          </w:p>
        </w:tc>
      </w:tr>
      <w:tr w14:paraId="342A3C80">
        <w:tblPrEx>
          <w:tblCellMar>
            <w:top w:w="0" w:type="dxa"/>
            <w:left w:w="108" w:type="dxa"/>
            <w:bottom w:w="0" w:type="dxa"/>
            <w:right w:w="108" w:type="dxa"/>
          </w:tblCellMar>
        </w:tblPrEx>
        <w:trPr>
          <w:trHeight w:val="714" w:hRule="atLeast"/>
        </w:trPr>
        <w:tc>
          <w:tcPr>
            <w:tcW w:w="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D6DB35">
            <w:pPr>
              <w:jc w:val="center"/>
              <w:rPr>
                <w:rFonts w:ascii="仿宋_GB2312" w:hAnsi="宋体" w:eastAsia="仿宋_GB2312" w:cs="仿宋_GB2312"/>
                <w:color w:val="000000"/>
                <w:szCs w:val="21"/>
              </w:rPr>
            </w:pPr>
          </w:p>
        </w:tc>
        <w:tc>
          <w:tcPr>
            <w:tcW w:w="289" w:type="pct"/>
            <w:vMerge w:val="continue"/>
            <w:tcBorders>
              <w:top w:val="single" w:color="000000" w:sz="4" w:space="0"/>
              <w:left w:val="single" w:color="000000" w:sz="4" w:space="0"/>
              <w:bottom w:val="nil"/>
              <w:right w:val="single" w:color="000000" w:sz="4" w:space="0"/>
            </w:tcBorders>
            <w:shd w:val="clear" w:color="auto" w:fill="auto"/>
            <w:vAlign w:val="center"/>
          </w:tcPr>
          <w:p w14:paraId="7C4CD51C">
            <w:pPr>
              <w:jc w:val="center"/>
              <w:rPr>
                <w:rFonts w:ascii="仿宋_GB2312" w:hAnsi="宋体" w:eastAsia="仿宋_GB2312" w:cs="仿宋_GB2312"/>
                <w:color w:val="000000"/>
                <w:szCs w:val="21"/>
              </w:rPr>
            </w:pP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CF487A">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时效指标</w:t>
            </w: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BC5901">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各类项目完成进度</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684245">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6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388B5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71CAC6">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3292BB">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FE3650">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14:paraId="5BF8F719">
        <w:tblPrEx>
          <w:tblCellMar>
            <w:top w:w="0" w:type="dxa"/>
            <w:left w:w="108" w:type="dxa"/>
            <w:bottom w:w="0" w:type="dxa"/>
            <w:right w:w="108" w:type="dxa"/>
          </w:tblCellMar>
        </w:tblPrEx>
        <w:trPr>
          <w:trHeight w:val="740" w:hRule="atLeast"/>
        </w:trPr>
        <w:tc>
          <w:tcPr>
            <w:tcW w:w="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05BF4C">
            <w:pPr>
              <w:jc w:val="center"/>
              <w:rPr>
                <w:rFonts w:ascii="仿宋_GB2312" w:hAnsi="宋体" w:eastAsia="仿宋_GB2312" w:cs="仿宋_GB2312"/>
                <w:color w:val="000000"/>
                <w:szCs w:val="21"/>
              </w:rPr>
            </w:pP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1104AD">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成本指标</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2E4317">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经济成本指标</w:t>
            </w: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30EE9D">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项目预算控制数</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2C4C10">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≤80万元</w:t>
            </w:r>
          </w:p>
        </w:tc>
        <w:tc>
          <w:tcPr>
            <w:tcW w:w="6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583B25">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79.999万元</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8F884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75AC3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ADCFF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14:paraId="67FD89D6">
        <w:tblPrEx>
          <w:tblCellMar>
            <w:top w:w="0" w:type="dxa"/>
            <w:left w:w="108" w:type="dxa"/>
            <w:bottom w:w="0" w:type="dxa"/>
            <w:right w:w="108" w:type="dxa"/>
          </w:tblCellMar>
        </w:tblPrEx>
        <w:trPr>
          <w:trHeight w:val="760" w:hRule="atLeast"/>
        </w:trPr>
        <w:tc>
          <w:tcPr>
            <w:tcW w:w="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BD1663">
            <w:pPr>
              <w:jc w:val="center"/>
              <w:rPr>
                <w:rFonts w:ascii="仿宋_GB2312" w:hAnsi="宋体" w:eastAsia="仿宋_GB2312" w:cs="仿宋_GB2312"/>
                <w:color w:val="000000"/>
                <w:szCs w:val="21"/>
              </w:rPr>
            </w:pPr>
          </w:p>
        </w:tc>
        <w:tc>
          <w:tcPr>
            <w:tcW w:w="2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B58D48">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效益指标</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F884F6">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经济效益指标</w:t>
            </w: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AF477E">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图上时变信号特征提取方法数量</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1A44C9">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≥1个</w:t>
            </w:r>
          </w:p>
        </w:tc>
        <w:tc>
          <w:tcPr>
            <w:tcW w:w="6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3E1E51">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2</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DE509A">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3536B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578C11">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14:paraId="10F4F0BB">
        <w:tblPrEx>
          <w:tblCellMar>
            <w:top w:w="0" w:type="dxa"/>
            <w:left w:w="108" w:type="dxa"/>
            <w:bottom w:w="0" w:type="dxa"/>
            <w:right w:w="108" w:type="dxa"/>
          </w:tblCellMar>
        </w:tblPrEx>
        <w:trPr>
          <w:trHeight w:val="794" w:hRule="atLeast"/>
        </w:trPr>
        <w:tc>
          <w:tcPr>
            <w:tcW w:w="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B57A47">
            <w:pPr>
              <w:jc w:val="center"/>
              <w:rPr>
                <w:rFonts w:ascii="仿宋_GB2312" w:hAnsi="宋体" w:eastAsia="仿宋_GB2312" w:cs="仿宋_GB2312"/>
                <w:color w:val="000000"/>
                <w:szCs w:val="21"/>
              </w:rPr>
            </w:pPr>
          </w:p>
        </w:tc>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96C364">
            <w:pPr>
              <w:jc w:val="center"/>
              <w:rPr>
                <w:rFonts w:ascii="仿宋_GB2312" w:hAnsi="宋体" w:eastAsia="仿宋_GB2312" w:cs="仿宋_GB2312"/>
                <w:color w:val="000000"/>
                <w:szCs w:val="21"/>
              </w:rPr>
            </w:pP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B2C20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可持续影响指标</w:t>
            </w: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EA8335">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群故障特征提取准确率</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A28838">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≥80%</w:t>
            </w:r>
          </w:p>
        </w:tc>
        <w:tc>
          <w:tcPr>
            <w:tcW w:w="6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61CFE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95%</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4C1B0D">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33FD2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A89C68">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14:paraId="11142FD0">
        <w:tblPrEx>
          <w:tblCellMar>
            <w:top w:w="0" w:type="dxa"/>
            <w:left w:w="108" w:type="dxa"/>
            <w:bottom w:w="0" w:type="dxa"/>
            <w:right w:w="108" w:type="dxa"/>
          </w:tblCellMar>
        </w:tblPrEx>
        <w:trPr>
          <w:trHeight w:val="794" w:hRule="atLeast"/>
        </w:trPr>
        <w:tc>
          <w:tcPr>
            <w:tcW w:w="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BB060B">
            <w:pPr>
              <w:jc w:val="center"/>
              <w:rPr>
                <w:rFonts w:ascii="仿宋_GB2312" w:hAnsi="宋体" w:eastAsia="仿宋_GB2312" w:cs="仿宋_GB2312"/>
                <w:color w:val="000000"/>
                <w:szCs w:val="21"/>
              </w:rPr>
            </w:pPr>
          </w:p>
        </w:tc>
        <w:tc>
          <w:tcPr>
            <w:tcW w:w="289" w:type="pct"/>
            <w:vMerge w:val="restart"/>
            <w:tcBorders>
              <w:top w:val="nil"/>
              <w:left w:val="single" w:color="000000" w:sz="4" w:space="0"/>
              <w:bottom w:val="single" w:color="000000" w:sz="4" w:space="0"/>
              <w:right w:val="single" w:color="000000" w:sz="4" w:space="0"/>
            </w:tcBorders>
            <w:shd w:val="clear" w:color="auto" w:fill="auto"/>
            <w:vAlign w:val="center"/>
          </w:tcPr>
          <w:p w14:paraId="2532704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满意度指标</w:t>
            </w:r>
          </w:p>
        </w:tc>
        <w:tc>
          <w:tcPr>
            <w:tcW w:w="76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537087">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服务对象满意度指标</w:t>
            </w: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9FB02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教师对培养/培训的满意度</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1EBE2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≥90%</w:t>
            </w:r>
          </w:p>
        </w:tc>
        <w:tc>
          <w:tcPr>
            <w:tcW w:w="6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12B469">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95%</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A4AE68">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5.00</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FA0FA0">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5.00</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9CBB68">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14:paraId="7060D70F">
        <w:tblPrEx>
          <w:tblCellMar>
            <w:top w:w="0" w:type="dxa"/>
            <w:left w:w="108" w:type="dxa"/>
            <w:bottom w:w="0" w:type="dxa"/>
            <w:right w:w="108" w:type="dxa"/>
          </w:tblCellMar>
        </w:tblPrEx>
        <w:trPr>
          <w:trHeight w:val="580" w:hRule="atLeast"/>
        </w:trPr>
        <w:tc>
          <w:tcPr>
            <w:tcW w:w="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97ABFB">
            <w:pPr>
              <w:jc w:val="center"/>
              <w:rPr>
                <w:rFonts w:ascii="仿宋_GB2312" w:hAnsi="宋体" w:eastAsia="仿宋_GB2312" w:cs="仿宋_GB2312"/>
                <w:color w:val="000000"/>
                <w:szCs w:val="21"/>
              </w:rPr>
            </w:pPr>
          </w:p>
        </w:tc>
        <w:tc>
          <w:tcPr>
            <w:tcW w:w="289" w:type="pct"/>
            <w:vMerge w:val="continue"/>
            <w:tcBorders>
              <w:top w:val="nil"/>
              <w:left w:val="single" w:color="000000" w:sz="4" w:space="0"/>
              <w:bottom w:val="single" w:color="000000" w:sz="4" w:space="0"/>
              <w:right w:val="single" w:color="000000" w:sz="4" w:space="0"/>
            </w:tcBorders>
            <w:shd w:val="clear" w:color="auto" w:fill="auto"/>
            <w:vAlign w:val="center"/>
          </w:tcPr>
          <w:p w14:paraId="54269C2B">
            <w:pPr>
              <w:jc w:val="center"/>
              <w:rPr>
                <w:rFonts w:ascii="仿宋_GB2312" w:hAnsi="宋体" w:eastAsia="仿宋_GB2312" w:cs="仿宋_GB2312"/>
                <w:color w:val="000000"/>
                <w:szCs w:val="21"/>
              </w:rPr>
            </w:pPr>
          </w:p>
        </w:tc>
        <w:tc>
          <w:tcPr>
            <w:tcW w:w="7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1341D8">
            <w:pPr>
              <w:jc w:val="center"/>
              <w:rPr>
                <w:rFonts w:ascii="仿宋_GB2312" w:hAnsi="宋体" w:eastAsia="仿宋_GB2312" w:cs="仿宋_GB2312"/>
                <w:color w:val="000000"/>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5B16F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院系/所处对所培养教师的满意度</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DBF8C0">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≥90%</w:t>
            </w:r>
          </w:p>
        </w:tc>
        <w:tc>
          <w:tcPr>
            <w:tcW w:w="6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1AAAED">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95%</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D9FC91">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5.00</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3E52AA">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5.00</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34315B">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14:paraId="2D85DD3D">
        <w:tblPrEx>
          <w:tblCellMar>
            <w:top w:w="0" w:type="dxa"/>
            <w:left w:w="108" w:type="dxa"/>
            <w:bottom w:w="0" w:type="dxa"/>
            <w:right w:w="108" w:type="dxa"/>
          </w:tblCellMar>
        </w:tblPrEx>
        <w:trPr>
          <w:trHeight w:val="450" w:hRule="atLeast"/>
        </w:trPr>
        <w:tc>
          <w:tcPr>
            <w:tcW w:w="3352"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5D46391">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总分</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9D8CED">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100.00</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DF655B">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w:t>
            </w:r>
            <w:r>
              <w:rPr>
                <w:rFonts w:hint="eastAsia" w:ascii="仿宋_GB2312" w:hAnsi="宋体" w:eastAsia="仿宋_GB2312" w:cs="仿宋_GB2312"/>
                <w:color w:val="000000"/>
                <w:kern w:val="0"/>
                <w:szCs w:val="21"/>
                <w:lang w:bidi="ar"/>
              </w:rPr>
              <w:t>5</w:t>
            </w:r>
            <w:r>
              <w:rPr>
                <w:rFonts w:ascii="仿宋_GB2312" w:hAnsi="宋体" w:eastAsia="仿宋_GB2312" w:cs="仿宋_GB2312"/>
                <w:color w:val="000000"/>
                <w:kern w:val="0"/>
                <w:szCs w:val="21"/>
                <w:lang w:bidi="ar"/>
              </w:rPr>
              <w:t>.00</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1B2CDB75">
            <w:pPr>
              <w:jc w:val="center"/>
              <w:rPr>
                <w:rFonts w:ascii="仿宋_GB2312" w:hAnsi="宋体" w:eastAsia="仿宋_GB2312" w:cs="仿宋_GB2312"/>
                <w:color w:val="000000"/>
                <w:szCs w:val="21"/>
              </w:rPr>
            </w:pPr>
          </w:p>
        </w:tc>
      </w:tr>
    </w:tbl>
    <w:p w14:paraId="5ABB6908"/>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yMDJiNzU2NzY2OTk2OWFlYzVmZGU5OWEyMGNiNTUifQ=="/>
  </w:docVars>
  <w:rsids>
    <w:rsidRoot w:val="FB7FB274"/>
    <w:rsid w:val="00233382"/>
    <w:rsid w:val="003A76B6"/>
    <w:rsid w:val="00450B68"/>
    <w:rsid w:val="004C1D51"/>
    <w:rsid w:val="00C82624"/>
    <w:rsid w:val="00CB0A7D"/>
    <w:rsid w:val="00E114E0"/>
    <w:rsid w:val="40B41DFA"/>
    <w:rsid w:val="52E32F4D"/>
    <w:rsid w:val="673B6C94"/>
    <w:rsid w:val="72BE08C2"/>
    <w:rsid w:val="F3DF470A"/>
    <w:rsid w:val="FB7FB274"/>
    <w:rsid w:val="FFFB6E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1194</Words>
  <Characters>1396</Characters>
  <Lines>12</Lines>
  <Paragraphs>3</Paragraphs>
  <TotalTime>0</TotalTime>
  <ScaleCrop>false</ScaleCrop>
  <LinksUpToDate>false</LinksUpToDate>
  <CharactersWithSpaces>1422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2025-04-24T11:08:00Z</dcterms:created>
  <dc:creator>王小艳</dc:creator>
  <cp:lastModifiedBy>cwc</cp:lastModifiedBy>
  <dcterms:modified xsi:type="dcterms:W3CDTF">2025-08-23T10:41:19Z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46566E77D72743A3871F35D246321E3F_13</vt:lpwstr>
  </property>
  <property fmtid="{D5CDD505-2E9C-101B-9397-08002B2CF9AE}" pid="4" name="KSOTemplateDocerSaveRecord">
    <vt:lpwstr>eyJoZGlkIjoiM2NjY2IyOWExOWI4NDk5NzVlMDZlMWE0ZTkyYmU0YjAifQ==</vt:lpwstr>
  </property>
</Properties>
</file>