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EB1C19B1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C55E685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8B840264">
      <w:pPr>
        <w:pStyle w:val="style0"/>
        <w:spacing w:lineRule="exact" w:line="240"/>
        <w:rPr>
          <w:rFonts w:ascii="仿宋_GB2312" w:eastAsia="仿宋_GB2312" w:hAnsi="宋体" w:hint="eastAsia"/>
          <w:sz w:val="30"/>
          <w:szCs w:val="30"/>
        </w:rPr>
      </w:pPr>
    </w:p>
    <w:tbl>
      <w:tblPr>
        <w:tblStyle w:val="style105"/>
        <w:tblW w:w="95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39"/>
        <w:gridCol w:w="793"/>
        <w:gridCol w:w="591"/>
        <w:gridCol w:w="536"/>
        <w:gridCol w:w="1075"/>
        <w:gridCol w:w="959"/>
        <w:gridCol w:w="225"/>
        <w:gridCol w:w="350"/>
        <w:gridCol w:w="354"/>
        <w:gridCol w:w="331"/>
        <w:gridCol w:w="515"/>
        <w:gridCol w:w="1237"/>
      </w:tblGrid>
      <w:tr w14:paraId="76494F50"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9D2886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80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B1FACD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向基础教育倾斜-学生卡采购</w:t>
            </w:r>
          </w:p>
        </w:tc>
      </w:tr>
      <w:tr w14:paraId="116778AF">
        <w:tblPrEx/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2F31F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6A1569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3A3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27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01FA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北京市数字教育中心</w:t>
            </w:r>
          </w:p>
        </w:tc>
      </w:tr>
      <w:tr w14:paraId="5FD95DB3"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3D2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3DF1D2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4CE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 w14:paraId="C0BD531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47EE7B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 w14:paraId="F69B740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AAAB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 w14:paraId="5791EEA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444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9BBB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C701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 w14:paraId="3A248266"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C77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2FFC70">
            <w:pPr>
              <w:pStyle w:val="style0"/>
              <w:widowControl/>
              <w:spacing w:lineRule="exact" w:line="240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3D2A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833.000000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813C87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830.100000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CB09F3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830.100000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924E86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D9F5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903773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E715DED2">
        <w:tblPrEx/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D40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632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</w:t>
            </w:r>
          </w:p>
          <w:p w14:paraId="3F0CA47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5AD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833.000000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D47B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830.100000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9D11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830.100000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DEA232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ED1E54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4A9CF8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6D91E0E2"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0F7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6E2D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250C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90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6A597E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F133D7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60F80E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0550BA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6C467693"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6A8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051B8C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001F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733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0488D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64566A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DBC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8DFF4A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02A3D2AF">
        <w:tblPrEx/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AE67A5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5F6D6B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预期目标</w:t>
            </w:r>
          </w:p>
        </w:tc>
        <w:tc>
          <w:tcPr>
            <w:tcW w:w="39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BD6BE4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实际完成情况</w:t>
            </w:r>
          </w:p>
        </w:tc>
      </w:tr>
      <w:tr w14:paraId="0104D6EA">
        <w:tblPrEx/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13C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5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EF1754D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在规定期限内保质、保量完成学生卡和专用卡贴的制作和发放，满足全市教育教学应用需求，特别是学生参加社会实践、课外活动、中考体育考试、体质健康测试等对学生有效身份证件的需求，以及保证全市中小学生享受乘坐市内公共交通优惠的权益。服务对象满意度不低于95%。</w:t>
            </w:r>
          </w:p>
        </w:tc>
        <w:tc>
          <w:tcPr>
            <w:tcW w:w="39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1720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完成了相关工作，按时交付了2024年9月新制学生卡及卡贴，保障了相关工作的平稳运行。</w:t>
            </w:r>
          </w:p>
        </w:tc>
      </w:tr>
      <w:tr w14:paraId="62BFACA0">
        <w:tblPrEx/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39F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绩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F2DE0B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一级指标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AE6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二级指标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B73821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三级指标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892298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</w:t>
            </w:r>
          </w:p>
          <w:p w14:paraId="B6B9B26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指标值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D479BA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</w:t>
            </w:r>
          </w:p>
          <w:p w14:paraId="6D3B365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B8FE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D4D9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EA6F5B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偏差原因分析及改进</w:t>
            </w:r>
          </w:p>
          <w:p w14:paraId="6AD7008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措施</w:t>
            </w:r>
          </w:p>
        </w:tc>
      </w:tr>
      <w:tr w14:paraId="6466F598">
        <w:tblPrEx/>
        <w:trPr>
          <w:trHeight w:val="3670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0EF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C49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产出指标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9E1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数量指标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FB5DC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北京通学生卡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/卡贴</w:t>
            </w:r>
          </w:p>
          <w:p w14:paraId="8CDDF44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0D1021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290000/785000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B83037C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287586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/714823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8B19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565CA1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16.80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D0F84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加强项目进度管理，提升项目执行效率。</w:t>
            </w:r>
          </w:p>
        </w:tc>
      </w:tr>
      <w:tr w14:paraId="C3B57092">
        <w:tblPrEx/>
        <w:trPr>
          <w:trHeight w:val="5038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61E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B5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46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质量指标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66CF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符合ISO/IEC 14443 识别卡无触点集成电路卡、GB/T 14916 识别卡 物理特性、JT/T978-2015  城市公共交通IC卡技术规范；通过北京市政交通一卡通交通部规范的规模测试；环保材料。“北京通-学生卡”功能包括北京市教育应用、北京通应用和北京市公共交通一卡通应用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8E1ED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F06D6E8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完成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0B0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584217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451E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89B71F76">
        <w:tblPrEx/>
        <w:trPr>
          <w:trHeight w:val="1230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FF8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0EA84B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606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时效指标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07CFDB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年内完成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24A9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≤12月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FCC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  <w:t>12月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BB4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7DE40F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8.20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93E8C">
            <w:pPr>
              <w:pStyle w:val="style0"/>
              <w:widowControl/>
              <w:tabs>
                <w:tab w:val="left" w:leader="none" w:pos="458"/>
              </w:tabs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</w:p>
        </w:tc>
      </w:tr>
      <w:tr w14:paraId="C31ABBF2">
        <w:tblPrEx/>
        <w:trPr>
          <w:trHeight w:val="1255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D97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970A069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成本指标</w:t>
            </w:r>
          </w:p>
          <w:p w14:paraId="1C299D1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DE771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经济成本指标</w:t>
            </w:r>
          </w:p>
          <w:p w14:paraId="E6EE34CC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2D0E9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项目成本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21668D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≤</w:t>
            </w: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833万元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90F5C54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830.10万元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F6BC48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2C26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C1F241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7D4B9C88">
        <w:tblPrEx/>
        <w:trPr>
          <w:trHeight w:val="4417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5A4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389E7E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效益指标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6DDD4B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社会效益</w:t>
            </w:r>
          </w:p>
          <w:p w14:paraId="39C99F9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B0C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BB0807C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为学生更好地共享社会教育资源，参加社会实践、开展课外活动、接受思想品德教育提供有效的身份凭证。学生持卡可享受乘坐市内公共交通优惠的权益。通过“北京通”、“京学通”系统，使学生卡用户能够享受政府提供的更多公共服务。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A301DB9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符合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80DB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6815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13.40</w:t>
            </w:r>
          </w:p>
          <w:bookmarkStart w:id="0" w:name="_GoBack"/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6D4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进一步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加强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资料的收集。</w:t>
            </w:r>
            <w:bookmarkEnd w:id="0"/>
          </w:p>
        </w:tc>
      </w:tr>
      <w:tr w14:paraId="91B7A4FA">
        <w:tblPrEx/>
        <w:trPr>
          <w:trHeight w:val="3362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D1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F4904C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10395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F095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D2D8FB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“北京通学生卡”是北京市中小学生学籍状况及学生身份的有效载体和凭证，是每位中小学生乘坐市内公共交通享有优惠权益的唯一凭证。在中小学各学段内具有持续的证件效力。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EEFE3DA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符合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90B1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A7D9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13.40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1251C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结合项目情况，进一步量化量化项目指标。</w:t>
            </w:r>
          </w:p>
        </w:tc>
      </w:tr>
      <w:tr w14:paraId="31D0CBF9">
        <w:tblPrEx/>
        <w:trPr>
          <w:trHeight w:val="2612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8006FB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3C8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满意度</w:t>
            </w:r>
          </w:p>
          <w:p w14:paraId="B11F70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418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DD2C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服务对象</w:t>
            </w:r>
          </w:p>
          <w:p w14:paraId="50D88B96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6F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用户满意度≥95%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AF55420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95.54%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9649E8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74B621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9.20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E713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加大用户调查覆盖面。</w:t>
            </w:r>
          </w:p>
        </w:tc>
      </w:tr>
      <w:tr w14:paraId="A5E2B8DE">
        <w:tblPrEx/>
        <w:trPr>
          <w:trHeight w:val="477" w:hRule="exact"/>
          <w:jc w:val="center"/>
        </w:trPr>
        <w:tc>
          <w:tcPr>
            <w:tcW w:w="6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004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DD874A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54FB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91.00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CD2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</w:tr>
    </w:tbl>
    <w:p w14:paraId="C3B4AEF3">
      <w:pPr>
        <w:pStyle w:val="style0"/>
        <w:rPr>
          <w:rFonts w:ascii="仿宋_GB2312" w:eastAsia="仿宋_GB2312" w:hint="eastAsia"/>
          <w:vanish/>
          <w:sz w:val="32"/>
          <w:szCs w:val="32"/>
        </w:rPr>
      </w:pPr>
    </w:p>
    <w:p w14:paraId="A05BF5D8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50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846</Words>
  <Pages>3</Pages>
  <Characters>1033</Characters>
  <Application>WPS Office</Application>
  <DocSecurity>0</DocSecurity>
  <Paragraphs>163</Paragraphs>
  <ScaleCrop>false</ScaleCrop>
  <LinksUpToDate>false</LinksUpToDate>
  <CharactersWithSpaces>1049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2021-03-14T15:31:00Z</dcterms:created>
  <dc:creator>Administrator</dc:creator>
  <lastModifiedBy>2211133C</lastModifiedBy>
  <dcterms:modified xsi:type="dcterms:W3CDTF">2025-08-27T06:20:05Z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7209DA67940A46B8AEB657C152F622B4_13</vt:lpwstr>
  </property>
  <property fmtid="{D5CDD505-2E9C-101B-9397-08002B2CF9AE}" pid="4" name="KSOTemplateDocerSaveRecord">
    <vt:lpwstr>eyJoZGlkIjoiM2NjY2IyOWExOWI4NDk5NzVlMDZlMWE0ZTkyYmU0YjAifQ==</vt:lpwstr>
  </property>
</Properties>
</file>