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F4D2C">
      <w:pPr>
        <w:spacing w:line="480" w:lineRule="exact"/>
        <w:jc w:val="center"/>
        <w:rPr>
          <w:rFonts w:hint="eastAsia" w:ascii="Arial Unicode MS" w:hAnsi="黑体" w:eastAsia="Arial Unicode MS"/>
          <w:sz w:val="36"/>
          <w:szCs w:val="36"/>
          <w:highlight w:val="none"/>
        </w:rPr>
      </w:pPr>
      <w:bookmarkStart w:id="0" w:name="_GoBack"/>
      <w:r>
        <w:rPr>
          <w:rFonts w:hint="eastAsia" w:ascii="Arial Unicode MS" w:hAnsi="黑体" w:eastAsia="Arial Unicode MS"/>
          <w:sz w:val="36"/>
          <w:szCs w:val="36"/>
          <w:highlight w:val="none"/>
        </w:rPr>
        <w:t>项目支出绩效自评表</w:t>
      </w:r>
    </w:p>
    <w:p w14:paraId="4D4D6739">
      <w:pPr>
        <w:spacing w:line="48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2024</w:t>
      </w:r>
      <w:r>
        <w:rPr>
          <w:rFonts w:hint="eastAsia" w:ascii="仿宋_GB2312" w:hAnsi="宋体" w:eastAsia="仿宋_GB2312"/>
          <w:sz w:val="28"/>
          <w:szCs w:val="28"/>
          <w:highlight w:val="none"/>
          <w:lang w:eastAsia="zh-CN"/>
        </w:rPr>
        <w:t>预算</w:t>
      </w:r>
      <w:r>
        <w:rPr>
          <w:rFonts w:hint="eastAsia" w:ascii="仿宋_GB2312" w:hAnsi="宋体" w:eastAsia="仿宋_GB2312"/>
          <w:sz w:val="28"/>
          <w:szCs w:val="28"/>
          <w:highlight w:val="none"/>
        </w:rPr>
        <w:t>年度）</w:t>
      </w:r>
    </w:p>
    <w:p w14:paraId="6D9AC4F5">
      <w:pPr>
        <w:spacing w:line="240" w:lineRule="exact"/>
        <w:rPr>
          <w:rFonts w:hint="eastAsia" w:ascii="仿宋_GB2312" w:hAnsi="宋体" w:eastAsia="仿宋_GB2312"/>
          <w:sz w:val="30"/>
          <w:szCs w:val="30"/>
          <w:highlight w:val="none"/>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529"/>
        <w:gridCol w:w="1254"/>
        <w:gridCol w:w="71"/>
        <w:gridCol w:w="1020"/>
        <w:gridCol w:w="665"/>
        <w:gridCol w:w="317"/>
        <w:gridCol w:w="196"/>
        <w:gridCol w:w="567"/>
        <w:gridCol w:w="198"/>
        <w:gridCol w:w="846"/>
        <w:gridCol w:w="710"/>
      </w:tblGrid>
      <w:tr w14:paraId="0F03A4D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B3F381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6B14201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改善办学保障条件-延庆校区海棠公寓（留学生公寓）内部改造项目</w:t>
            </w:r>
          </w:p>
        </w:tc>
      </w:tr>
      <w:tr w14:paraId="00A63B79">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9CC3EA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主管部门</w:t>
            </w:r>
          </w:p>
        </w:tc>
        <w:tc>
          <w:tcPr>
            <w:tcW w:w="3979" w:type="dxa"/>
            <w:gridSpan w:val="5"/>
            <w:tcBorders>
              <w:top w:val="single" w:color="auto" w:sz="4" w:space="0"/>
              <w:left w:val="nil"/>
              <w:bottom w:val="single" w:color="auto" w:sz="4" w:space="0"/>
              <w:right w:val="single" w:color="auto" w:sz="4" w:space="0"/>
            </w:tcBorders>
            <w:noWrap w:val="0"/>
            <w:vAlign w:val="center"/>
          </w:tcPr>
          <w:p w14:paraId="6EF93A94">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北京市教育委员会</w:t>
            </w:r>
          </w:p>
        </w:tc>
        <w:tc>
          <w:tcPr>
            <w:tcW w:w="982" w:type="dxa"/>
            <w:gridSpan w:val="2"/>
            <w:tcBorders>
              <w:top w:val="nil"/>
              <w:left w:val="nil"/>
              <w:bottom w:val="single" w:color="auto" w:sz="4" w:space="0"/>
              <w:right w:val="single" w:color="auto" w:sz="4" w:space="0"/>
            </w:tcBorders>
            <w:noWrap w:val="0"/>
            <w:vAlign w:val="center"/>
          </w:tcPr>
          <w:p w14:paraId="68E3C49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实施单位</w:t>
            </w:r>
          </w:p>
        </w:tc>
        <w:tc>
          <w:tcPr>
            <w:tcW w:w="2517" w:type="dxa"/>
            <w:gridSpan w:val="5"/>
            <w:tcBorders>
              <w:top w:val="single" w:color="auto" w:sz="4" w:space="0"/>
              <w:left w:val="nil"/>
              <w:bottom w:val="single" w:color="auto" w:sz="4" w:space="0"/>
              <w:right w:val="single" w:color="auto" w:sz="4" w:space="0"/>
            </w:tcBorders>
            <w:noWrap w:val="0"/>
            <w:vAlign w:val="center"/>
          </w:tcPr>
          <w:p w14:paraId="26AA22B2">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北京第二外国语学院</w:t>
            </w:r>
          </w:p>
        </w:tc>
      </w:tr>
      <w:tr w14:paraId="2324C806">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0B74681">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项目资金</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（万元）</w:t>
            </w:r>
          </w:p>
        </w:tc>
        <w:tc>
          <w:tcPr>
            <w:tcW w:w="1634" w:type="dxa"/>
            <w:gridSpan w:val="2"/>
            <w:tcBorders>
              <w:top w:val="single" w:color="auto" w:sz="4" w:space="0"/>
              <w:left w:val="nil"/>
              <w:bottom w:val="single" w:color="auto" w:sz="4" w:space="0"/>
              <w:right w:val="single" w:color="auto" w:sz="4" w:space="0"/>
            </w:tcBorders>
            <w:noWrap w:val="0"/>
            <w:vAlign w:val="center"/>
          </w:tcPr>
          <w:p w14:paraId="5D4CB643">
            <w:pPr>
              <w:widowControl/>
              <w:spacing w:line="240" w:lineRule="exact"/>
              <w:jc w:val="center"/>
              <w:rPr>
                <w:rFonts w:hint="eastAsia" w:ascii="仿宋_GB2312" w:hAnsi="宋体" w:eastAsia="仿宋_GB2312" w:cs="宋体"/>
                <w:kern w:val="0"/>
                <w:szCs w:val="21"/>
                <w:highlight w:val="none"/>
              </w:rPr>
            </w:pPr>
          </w:p>
        </w:tc>
        <w:tc>
          <w:tcPr>
            <w:tcW w:w="1325" w:type="dxa"/>
            <w:gridSpan w:val="2"/>
            <w:tcBorders>
              <w:top w:val="nil"/>
              <w:left w:val="nil"/>
              <w:bottom w:val="single" w:color="auto" w:sz="4" w:space="0"/>
              <w:right w:val="single" w:color="auto" w:sz="4" w:space="0"/>
            </w:tcBorders>
            <w:noWrap w:val="0"/>
            <w:vAlign w:val="center"/>
          </w:tcPr>
          <w:p w14:paraId="31093D18">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年初预</w:t>
            </w:r>
          </w:p>
          <w:p w14:paraId="2014272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算数</w:t>
            </w:r>
          </w:p>
        </w:tc>
        <w:tc>
          <w:tcPr>
            <w:tcW w:w="1020" w:type="dxa"/>
            <w:tcBorders>
              <w:top w:val="nil"/>
              <w:left w:val="nil"/>
              <w:bottom w:val="single" w:color="auto" w:sz="4" w:space="0"/>
              <w:right w:val="single" w:color="auto" w:sz="4" w:space="0"/>
            </w:tcBorders>
            <w:noWrap w:val="0"/>
            <w:vAlign w:val="center"/>
          </w:tcPr>
          <w:p w14:paraId="0A6E8791">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全年预</w:t>
            </w:r>
          </w:p>
          <w:p w14:paraId="423B05B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算数</w:t>
            </w:r>
          </w:p>
        </w:tc>
        <w:tc>
          <w:tcPr>
            <w:tcW w:w="982" w:type="dxa"/>
            <w:gridSpan w:val="2"/>
            <w:tcBorders>
              <w:top w:val="nil"/>
              <w:left w:val="nil"/>
              <w:bottom w:val="single" w:color="auto" w:sz="4" w:space="0"/>
              <w:right w:val="single" w:color="auto" w:sz="4" w:space="0"/>
            </w:tcBorders>
            <w:noWrap w:val="0"/>
            <w:vAlign w:val="center"/>
          </w:tcPr>
          <w:p w14:paraId="06551AA2">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w:t>
            </w:r>
          </w:p>
          <w:p w14:paraId="16F62AA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执行数</w:t>
            </w:r>
          </w:p>
        </w:tc>
        <w:tc>
          <w:tcPr>
            <w:tcW w:w="961" w:type="dxa"/>
            <w:gridSpan w:val="3"/>
            <w:tcBorders>
              <w:top w:val="nil"/>
              <w:left w:val="nil"/>
              <w:bottom w:val="single" w:color="auto" w:sz="4" w:space="0"/>
              <w:right w:val="single" w:color="auto" w:sz="4" w:space="0"/>
            </w:tcBorders>
            <w:noWrap w:val="0"/>
            <w:vAlign w:val="center"/>
          </w:tcPr>
          <w:p w14:paraId="73E288B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分值</w:t>
            </w:r>
          </w:p>
        </w:tc>
        <w:tc>
          <w:tcPr>
            <w:tcW w:w="846" w:type="dxa"/>
            <w:tcBorders>
              <w:top w:val="single" w:color="auto" w:sz="4" w:space="0"/>
              <w:left w:val="nil"/>
              <w:bottom w:val="single" w:color="auto" w:sz="4" w:space="0"/>
              <w:right w:val="single" w:color="auto" w:sz="4" w:space="0"/>
            </w:tcBorders>
            <w:noWrap w:val="0"/>
            <w:vAlign w:val="center"/>
          </w:tcPr>
          <w:p w14:paraId="0AF6C64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执行率</w:t>
            </w:r>
          </w:p>
        </w:tc>
        <w:tc>
          <w:tcPr>
            <w:tcW w:w="710" w:type="dxa"/>
            <w:tcBorders>
              <w:top w:val="nil"/>
              <w:left w:val="nil"/>
              <w:bottom w:val="single" w:color="auto" w:sz="4" w:space="0"/>
              <w:right w:val="single" w:color="auto" w:sz="4" w:space="0"/>
            </w:tcBorders>
            <w:noWrap w:val="0"/>
            <w:vAlign w:val="center"/>
          </w:tcPr>
          <w:p w14:paraId="17EE626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得分</w:t>
            </w:r>
          </w:p>
        </w:tc>
      </w:tr>
      <w:tr w14:paraId="10E0E776">
        <w:tblPrEx>
          <w:tblCellMar>
            <w:top w:w="0" w:type="dxa"/>
            <w:left w:w="108" w:type="dxa"/>
            <w:bottom w:w="0" w:type="dxa"/>
            <w:right w:w="108" w:type="dxa"/>
          </w:tblCellMar>
        </w:tblPrEx>
        <w:trPr>
          <w:trHeight w:val="5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92877C2">
            <w:pPr>
              <w:widowControl/>
              <w:spacing w:line="240" w:lineRule="exact"/>
              <w:jc w:val="center"/>
              <w:rPr>
                <w:rFonts w:hint="eastAsia" w:ascii="仿宋_GB2312" w:hAnsi="宋体" w:eastAsia="仿宋_GB2312" w:cs="宋体"/>
                <w:kern w:val="0"/>
                <w:szCs w:val="21"/>
                <w:highlight w:val="none"/>
              </w:rPr>
            </w:pPr>
          </w:p>
        </w:tc>
        <w:tc>
          <w:tcPr>
            <w:tcW w:w="1634" w:type="dxa"/>
            <w:gridSpan w:val="2"/>
            <w:tcBorders>
              <w:top w:val="single" w:color="auto" w:sz="4" w:space="0"/>
              <w:left w:val="nil"/>
              <w:bottom w:val="single" w:color="auto" w:sz="4" w:space="0"/>
              <w:right w:val="single" w:color="auto" w:sz="4" w:space="0"/>
            </w:tcBorders>
            <w:noWrap w:val="0"/>
            <w:vAlign w:val="center"/>
          </w:tcPr>
          <w:p w14:paraId="280AEE50">
            <w:pPr>
              <w:widowControl/>
              <w:spacing w:line="240" w:lineRule="exac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年度资金总额</w:t>
            </w:r>
          </w:p>
        </w:tc>
        <w:tc>
          <w:tcPr>
            <w:tcW w:w="1325" w:type="dxa"/>
            <w:gridSpan w:val="2"/>
            <w:tcBorders>
              <w:top w:val="nil"/>
              <w:left w:val="nil"/>
              <w:bottom w:val="single" w:color="auto" w:sz="4" w:space="0"/>
              <w:right w:val="single" w:color="auto" w:sz="4" w:space="0"/>
            </w:tcBorders>
            <w:noWrap w:val="0"/>
            <w:vAlign w:val="center"/>
          </w:tcPr>
          <w:p w14:paraId="119452CF">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0.000000</w:t>
            </w:r>
          </w:p>
        </w:tc>
        <w:tc>
          <w:tcPr>
            <w:tcW w:w="1020" w:type="dxa"/>
            <w:tcBorders>
              <w:top w:val="nil"/>
              <w:left w:val="nil"/>
              <w:bottom w:val="single" w:color="auto" w:sz="4" w:space="0"/>
              <w:right w:val="single" w:color="auto" w:sz="4" w:space="0"/>
            </w:tcBorders>
            <w:noWrap w:val="0"/>
            <w:vAlign w:val="center"/>
          </w:tcPr>
          <w:p w14:paraId="290C269C">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660.000000</w:t>
            </w:r>
          </w:p>
        </w:tc>
        <w:tc>
          <w:tcPr>
            <w:tcW w:w="982" w:type="dxa"/>
            <w:gridSpan w:val="2"/>
            <w:tcBorders>
              <w:top w:val="nil"/>
              <w:left w:val="nil"/>
              <w:bottom w:val="single" w:color="auto" w:sz="4" w:space="0"/>
              <w:right w:val="single" w:color="auto" w:sz="4" w:space="0"/>
            </w:tcBorders>
            <w:noWrap w:val="0"/>
            <w:vAlign w:val="center"/>
          </w:tcPr>
          <w:p w14:paraId="0AB6469D">
            <w:pPr>
              <w:widowControl/>
              <w:spacing w:line="240" w:lineRule="exact"/>
              <w:jc w:val="right"/>
              <w:rPr>
                <w:rFonts w:hint="default" w:ascii="仿宋_GB2312" w:hAnsi="宋体" w:eastAsia="仿宋_GB2312" w:cs="宋体"/>
                <w:kern w:val="0"/>
                <w:sz w:val="18"/>
                <w:szCs w:val="18"/>
                <w:highlight w:val="none"/>
                <w:lang w:val="en-US"/>
              </w:rPr>
            </w:pPr>
            <w:r>
              <w:rPr>
                <w:rFonts w:hint="eastAsia" w:ascii="仿宋_GB2312" w:hAnsi="宋体" w:eastAsia="仿宋_GB2312" w:cs="宋体"/>
                <w:kern w:val="0"/>
                <w:sz w:val="18"/>
                <w:szCs w:val="18"/>
                <w:highlight w:val="none"/>
                <w:lang w:val="en-US" w:eastAsia="zh-CN"/>
              </w:rPr>
              <w:t>660.000000</w:t>
            </w:r>
          </w:p>
        </w:tc>
        <w:tc>
          <w:tcPr>
            <w:tcW w:w="961" w:type="dxa"/>
            <w:gridSpan w:val="3"/>
            <w:tcBorders>
              <w:top w:val="nil"/>
              <w:left w:val="nil"/>
              <w:bottom w:val="single" w:color="auto" w:sz="4" w:space="0"/>
              <w:right w:val="single" w:color="auto" w:sz="4" w:space="0"/>
            </w:tcBorders>
            <w:noWrap w:val="0"/>
            <w:vAlign w:val="center"/>
          </w:tcPr>
          <w:p w14:paraId="50B03F1F">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10</w:t>
            </w:r>
          </w:p>
        </w:tc>
        <w:tc>
          <w:tcPr>
            <w:tcW w:w="846" w:type="dxa"/>
            <w:tcBorders>
              <w:top w:val="single" w:color="auto" w:sz="4" w:space="0"/>
              <w:left w:val="nil"/>
              <w:bottom w:val="single" w:color="auto" w:sz="4" w:space="0"/>
              <w:right w:val="single" w:color="auto" w:sz="4" w:space="0"/>
            </w:tcBorders>
            <w:noWrap w:val="0"/>
            <w:vAlign w:val="center"/>
          </w:tcPr>
          <w:p w14:paraId="5472670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100.00%</w:t>
            </w:r>
          </w:p>
        </w:tc>
        <w:tc>
          <w:tcPr>
            <w:tcW w:w="710" w:type="dxa"/>
            <w:tcBorders>
              <w:top w:val="nil"/>
              <w:left w:val="nil"/>
              <w:bottom w:val="single" w:color="auto" w:sz="4" w:space="0"/>
              <w:right w:val="single" w:color="auto" w:sz="4" w:space="0"/>
            </w:tcBorders>
            <w:noWrap w:val="0"/>
            <w:vAlign w:val="center"/>
          </w:tcPr>
          <w:p w14:paraId="6740E66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r>
      <w:tr w14:paraId="639F8AEC">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9E57B9D">
            <w:pPr>
              <w:widowControl/>
              <w:spacing w:line="240" w:lineRule="exact"/>
              <w:jc w:val="center"/>
              <w:rPr>
                <w:rFonts w:hint="eastAsia" w:ascii="仿宋_GB2312" w:hAnsi="宋体" w:eastAsia="仿宋_GB2312" w:cs="宋体"/>
                <w:kern w:val="0"/>
                <w:szCs w:val="21"/>
                <w:highlight w:val="none"/>
              </w:rPr>
            </w:pPr>
          </w:p>
        </w:tc>
        <w:tc>
          <w:tcPr>
            <w:tcW w:w="1634" w:type="dxa"/>
            <w:gridSpan w:val="2"/>
            <w:tcBorders>
              <w:top w:val="single" w:color="auto" w:sz="4" w:space="0"/>
              <w:left w:val="nil"/>
              <w:bottom w:val="single" w:color="auto" w:sz="4" w:space="0"/>
              <w:right w:val="single" w:color="auto" w:sz="4" w:space="0"/>
            </w:tcBorders>
            <w:noWrap w:val="0"/>
            <w:vAlign w:val="center"/>
          </w:tcPr>
          <w:p w14:paraId="61688287">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其中：当年财政</w:t>
            </w:r>
          </w:p>
          <w:p w14:paraId="1A915E0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拨款</w:t>
            </w:r>
          </w:p>
        </w:tc>
        <w:tc>
          <w:tcPr>
            <w:tcW w:w="1325" w:type="dxa"/>
            <w:gridSpan w:val="2"/>
            <w:tcBorders>
              <w:top w:val="nil"/>
              <w:left w:val="nil"/>
              <w:bottom w:val="single" w:color="auto" w:sz="4" w:space="0"/>
              <w:right w:val="single" w:color="auto" w:sz="4" w:space="0"/>
            </w:tcBorders>
            <w:noWrap w:val="0"/>
            <w:vAlign w:val="center"/>
          </w:tcPr>
          <w:p w14:paraId="03CEBCCC">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0.000000</w:t>
            </w:r>
          </w:p>
        </w:tc>
        <w:tc>
          <w:tcPr>
            <w:tcW w:w="1020" w:type="dxa"/>
            <w:tcBorders>
              <w:top w:val="nil"/>
              <w:left w:val="nil"/>
              <w:bottom w:val="single" w:color="auto" w:sz="4" w:space="0"/>
              <w:right w:val="single" w:color="auto" w:sz="4" w:space="0"/>
            </w:tcBorders>
            <w:noWrap w:val="0"/>
            <w:vAlign w:val="center"/>
          </w:tcPr>
          <w:p w14:paraId="4BA97173">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660.000000</w:t>
            </w:r>
          </w:p>
        </w:tc>
        <w:tc>
          <w:tcPr>
            <w:tcW w:w="982" w:type="dxa"/>
            <w:gridSpan w:val="2"/>
            <w:tcBorders>
              <w:top w:val="nil"/>
              <w:left w:val="nil"/>
              <w:bottom w:val="single" w:color="auto" w:sz="4" w:space="0"/>
              <w:right w:val="single" w:color="auto" w:sz="4" w:space="0"/>
            </w:tcBorders>
            <w:noWrap w:val="0"/>
            <w:vAlign w:val="center"/>
          </w:tcPr>
          <w:p w14:paraId="1C1DC345">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660.000000</w:t>
            </w:r>
          </w:p>
        </w:tc>
        <w:tc>
          <w:tcPr>
            <w:tcW w:w="961" w:type="dxa"/>
            <w:gridSpan w:val="3"/>
            <w:tcBorders>
              <w:top w:val="nil"/>
              <w:left w:val="nil"/>
              <w:bottom w:val="single" w:color="auto" w:sz="4" w:space="0"/>
              <w:right w:val="single" w:color="auto" w:sz="4" w:space="0"/>
            </w:tcBorders>
            <w:noWrap w:val="0"/>
            <w:vAlign w:val="center"/>
          </w:tcPr>
          <w:p w14:paraId="15D7975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tcBorders>
              <w:top w:val="single" w:color="auto" w:sz="4" w:space="0"/>
              <w:left w:val="nil"/>
              <w:bottom w:val="single" w:color="auto" w:sz="4" w:space="0"/>
              <w:right w:val="single" w:color="auto" w:sz="4" w:space="0"/>
            </w:tcBorders>
            <w:noWrap w:val="0"/>
            <w:vAlign w:val="center"/>
          </w:tcPr>
          <w:p w14:paraId="5C97DC40">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100.00%</w:t>
            </w:r>
          </w:p>
        </w:tc>
        <w:tc>
          <w:tcPr>
            <w:tcW w:w="710" w:type="dxa"/>
            <w:tcBorders>
              <w:top w:val="nil"/>
              <w:left w:val="nil"/>
              <w:bottom w:val="single" w:color="auto" w:sz="4" w:space="0"/>
              <w:right w:val="single" w:color="auto" w:sz="4" w:space="0"/>
            </w:tcBorders>
            <w:noWrap w:val="0"/>
            <w:vAlign w:val="center"/>
          </w:tcPr>
          <w:p w14:paraId="572F752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1D5B715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C7A0B6C">
            <w:pPr>
              <w:widowControl/>
              <w:spacing w:line="240" w:lineRule="exact"/>
              <w:jc w:val="center"/>
              <w:rPr>
                <w:rFonts w:hint="eastAsia" w:ascii="仿宋_GB2312" w:hAnsi="宋体" w:eastAsia="仿宋_GB2312" w:cs="宋体"/>
                <w:kern w:val="0"/>
                <w:szCs w:val="21"/>
                <w:highlight w:val="none"/>
              </w:rPr>
            </w:pPr>
          </w:p>
        </w:tc>
        <w:tc>
          <w:tcPr>
            <w:tcW w:w="1634" w:type="dxa"/>
            <w:gridSpan w:val="2"/>
            <w:tcBorders>
              <w:top w:val="single" w:color="auto" w:sz="4" w:space="0"/>
              <w:left w:val="nil"/>
              <w:bottom w:val="single" w:color="auto" w:sz="4" w:space="0"/>
              <w:right w:val="single" w:color="auto" w:sz="4" w:space="0"/>
            </w:tcBorders>
            <w:noWrap w:val="0"/>
            <w:vAlign w:val="center"/>
          </w:tcPr>
          <w:p w14:paraId="1DB8C4D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      上年结转资金</w:t>
            </w:r>
          </w:p>
        </w:tc>
        <w:tc>
          <w:tcPr>
            <w:tcW w:w="1325" w:type="dxa"/>
            <w:gridSpan w:val="2"/>
            <w:tcBorders>
              <w:top w:val="nil"/>
              <w:left w:val="nil"/>
              <w:bottom w:val="single" w:color="auto" w:sz="4" w:space="0"/>
              <w:right w:val="single" w:color="auto" w:sz="4" w:space="0"/>
            </w:tcBorders>
            <w:noWrap w:val="0"/>
            <w:vAlign w:val="center"/>
          </w:tcPr>
          <w:p w14:paraId="71C91ABB">
            <w:pPr>
              <w:widowControl/>
              <w:spacing w:line="240" w:lineRule="exact"/>
              <w:jc w:val="center"/>
              <w:rPr>
                <w:rFonts w:hint="eastAsia" w:ascii="仿宋_GB2312" w:hAnsi="宋体" w:eastAsia="仿宋_GB2312" w:cs="宋体"/>
                <w:kern w:val="0"/>
                <w:szCs w:val="21"/>
                <w:highlight w:val="none"/>
              </w:rPr>
            </w:pPr>
          </w:p>
        </w:tc>
        <w:tc>
          <w:tcPr>
            <w:tcW w:w="1020" w:type="dxa"/>
            <w:tcBorders>
              <w:top w:val="nil"/>
              <w:left w:val="nil"/>
              <w:bottom w:val="single" w:color="auto" w:sz="4" w:space="0"/>
              <w:right w:val="single" w:color="auto" w:sz="4" w:space="0"/>
            </w:tcBorders>
            <w:noWrap w:val="0"/>
            <w:vAlign w:val="center"/>
          </w:tcPr>
          <w:p w14:paraId="081AAFE9">
            <w:pPr>
              <w:widowControl/>
              <w:spacing w:line="240" w:lineRule="exact"/>
              <w:jc w:val="center"/>
              <w:rPr>
                <w:rFonts w:hint="eastAsia" w:ascii="仿宋_GB2312" w:hAnsi="宋体" w:eastAsia="仿宋_GB2312" w:cs="宋体"/>
                <w:kern w:val="0"/>
                <w:szCs w:val="21"/>
                <w:highlight w:val="none"/>
              </w:rPr>
            </w:pPr>
          </w:p>
        </w:tc>
        <w:tc>
          <w:tcPr>
            <w:tcW w:w="982" w:type="dxa"/>
            <w:gridSpan w:val="2"/>
            <w:tcBorders>
              <w:top w:val="nil"/>
              <w:left w:val="nil"/>
              <w:bottom w:val="single" w:color="auto" w:sz="4" w:space="0"/>
              <w:right w:val="single" w:color="auto" w:sz="4" w:space="0"/>
            </w:tcBorders>
            <w:noWrap w:val="0"/>
            <w:vAlign w:val="center"/>
          </w:tcPr>
          <w:p w14:paraId="2D0A6E45">
            <w:pPr>
              <w:widowControl/>
              <w:spacing w:line="240" w:lineRule="exact"/>
              <w:jc w:val="center"/>
              <w:rPr>
                <w:rFonts w:hint="eastAsia" w:ascii="仿宋_GB2312" w:hAnsi="宋体" w:eastAsia="仿宋_GB2312" w:cs="宋体"/>
                <w:kern w:val="0"/>
                <w:szCs w:val="21"/>
                <w:highlight w:val="none"/>
              </w:rPr>
            </w:pPr>
          </w:p>
        </w:tc>
        <w:tc>
          <w:tcPr>
            <w:tcW w:w="961" w:type="dxa"/>
            <w:gridSpan w:val="3"/>
            <w:tcBorders>
              <w:top w:val="nil"/>
              <w:left w:val="nil"/>
              <w:bottom w:val="single" w:color="auto" w:sz="4" w:space="0"/>
              <w:right w:val="single" w:color="auto" w:sz="4" w:space="0"/>
            </w:tcBorders>
            <w:noWrap w:val="0"/>
            <w:vAlign w:val="center"/>
          </w:tcPr>
          <w:p w14:paraId="1A6E5AA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tcBorders>
              <w:top w:val="single" w:color="auto" w:sz="4" w:space="0"/>
              <w:left w:val="nil"/>
              <w:bottom w:val="single" w:color="auto" w:sz="4" w:space="0"/>
              <w:right w:val="single" w:color="auto" w:sz="4" w:space="0"/>
            </w:tcBorders>
            <w:noWrap w:val="0"/>
            <w:vAlign w:val="center"/>
          </w:tcPr>
          <w:p w14:paraId="01E1D279">
            <w:pPr>
              <w:widowControl/>
              <w:spacing w:line="240" w:lineRule="exact"/>
              <w:jc w:val="center"/>
              <w:rPr>
                <w:rFonts w:hint="eastAsia" w:ascii="仿宋_GB2312" w:hAnsi="宋体" w:eastAsia="仿宋_GB2312" w:cs="宋体"/>
                <w:kern w:val="0"/>
                <w:szCs w:val="21"/>
                <w:highlight w:val="none"/>
              </w:rPr>
            </w:pPr>
          </w:p>
        </w:tc>
        <w:tc>
          <w:tcPr>
            <w:tcW w:w="710" w:type="dxa"/>
            <w:tcBorders>
              <w:top w:val="nil"/>
              <w:left w:val="nil"/>
              <w:bottom w:val="single" w:color="auto" w:sz="4" w:space="0"/>
              <w:right w:val="single" w:color="auto" w:sz="4" w:space="0"/>
            </w:tcBorders>
            <w:noWrap w:val="0"/>
            <w:vAlign w:val="center"/>
          </w:tcPr>
          <w:p w14:paraId="237C610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614AC1D1">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1974142">
            <w:pPr>
              <w:widowControl/>
              <w:spacing w:line="240" w:lineRule="exact"/>
              <w:jc w:val="center"/>
              <w:rPr>
                <w:rFonts w:hint="eastAsia" w:ascii="仿宋_GB2312" w:hAnsi="宋体" w:eastAsia="仿宋_GB2312" w:cs="宋体"/>
                <w:kern w:val="0"/>
                <w:szCs w:val="21"/>
                <w:highlight w:val="none"/>
              </w:rPr>
            </w:pPr>
          </w:p>
        </w:tc>
        <w:tc>
          <w:tcPr>
            <w:tcW w:w="1634" w:type="dxa"/>
            <w:gridSpan w:val="2"/>
            <w:tcBorders>
              <w:top w:val="single" w:color="auto" w:sz="4" w:space="0"/>
              <w:left w:val="nil"/>
              <w:bottom w:val="single" w:color="auto" w:sz="4" w:space="0"/>
              <w:right w:val="single" w:color="auto" w:sz="4" w:space="0"/>
            </w:tcBorders>
            <w:noWrap w:val="0"/>
            <w:vAlign w:val="center"/>
          </w:tcPr>
          <w:p w14:paraId="2E87A73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  其他资金</w:t>
            </w:r>
          </w:p>
        </w:tc>
        <w:tc>
          <w:tcPr>
            <w:tcW w:w="1325" w:type="dxa"/>
            <w:gridSpan w:val="2"/>
            <w:tcBorders>
              <w:top w:val="nil"/>
              <w:left w:val="nil"/>
              <w:bottom w:val="single" w:color="auto" w:sz="4" w:space="0"/>
              <w:right w:val="single" w:color="auto" w:sz="4" w:space="0"/>
            </w:tcBorders>
            <w:noWrap w:val="0"/>
            <w:vAlign w:val="center"/>
          </w:tcPr>
          <w:p w14:paraId="2BD0A066">
            <w:pPr>
              <w:widowControl/>
              <w:spacing w:line="240" w:lineRule="exact"/>
              <w:jc w:val="center"/>
              <w:rPr>
                <w:rFonts w:hint="eastAsia" w:ascii="仿宋_GB2312" w:hAnsi="宋体" w:eastAsia="仿宋_GB2312" w:cs="宋体"/>
                <w:kern w:val="0"/>
                <w:szCs w:val="21"/>
                <w:highlight w:val="none"/>
              </w:rPr>
            </w:pPr>
          </w:p>
        </w:tc>
        <w:tc>
          <w:tcPr>
            <w:tcW w:w="1020" w:type="dxa"/>
            <w:tcBorders>
              <w:top w:val="nil"/>
              <w:left w:val="nil"/>
              <w:bottom w:val="single" w:color="auto" w:sz="4" w:space="0"/>
              <w:right w:val="single" w:color="auto" w:sz="4" w:space="0"/>
            </w:tcBorders>
            <w:noWrap w:val="0"/>
            <w:vAlign w:val="center"/>
          </w:tcPr>
          <w:p w14:paraId="076F76B6">
            <w:pPr>
              <w:widowControl/>
              <w:spacing w:line="240" w:lineRule="exact"/>
              <w:jc w:val="center"/>
              <w:rPr>
                <w:rFonts w:hint="eastAsia" w:ascii="仿宋_GB2312" w:hAnsi="宋体" w:eastAsia="仿宋_GB2312" w:cs="宋体"/>
                <w:kern w:val="0"/>
                <w:szCs w:val="21"/>
                <w:highlight w:val="none"/>
              </w:rPr>
            </w:pPr>
          </w:p>
        </w:tc>
        <w:tc>
          <w:tcPr>
            <w:tcW w:w="982" w:type="dxa"/>
            <w:gridSpan w:val="2"/>
            <w:tcBorders>
              <w:top w:val="nil"/>
              <w:left w:val="nil"/>
              <w:bottom w:val="single" w:color="auto" w:sz="4" w:space="0"/>
              <w:right w:val="single" w:color="auto" w:sz="4" w:space="0"/>
            </w:tcBorders>
            <w:noWrap w:val="0"/>
            <w:vAlign w:val="center"/>
          </w:tcPr>
          <w:p w14:paraId="0A9F8230">
            <w:pPr>
              <w:widowControl/>
              <w:spacing w:line="240" w:lineRule="exact"/>
              <w:jc w:val="center"/>
              <w:rPr>
                <w:rFonts w:hint="eastAsia" w:ascii="仿宋_GB2312" w:hAnsi="宋体" w:eastAsia="仿宋_GB2312" w:cs="宋体"/>
                <w:kern w:val="0"/>
                <w:szCs w:val="21"/>
                <w:highlight w:val="none"/>
              </w:rPr>
            </w:pPr>
          </w:p>
        </w:tc>
        <w:tc>
          <w:tcPr>
            <w:tcW w:w="961" w:type="dxa"/>
            <w:gridSpan w:val="3"/>
            <w:tcBorders>
              <w:top w:val="nil"/>
              <w:left w:val="nil"/>
              <w:bottom w:val="single" w:color="auto" w:sz="4" w:space="0"/>
              <w:right w:val="single" w:color="auto" w:sz="4" w:space="0"/>
            </w:tcBorders>
            <w:noWrap w:val="0"/>
            <w:vAlign w:val="center"/>
          </w:tcPr>
          <w:p w14:paraId="6EEBA5D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tcBorders>
              <w:top w:val="single" w:color="auto" w:sz="4" w:space="0"/>
              <w:left w:val="nil"/>
              <w:bottom w:val="single" w:color="auto" w:sz="4" w:space="0"/>
              <w:right w:val="single" w:color="auto" w:sz="4" w:space="0"/>
            </w:tcBorders>
            <w:noWrap w:val="0"/>
            <w:vAlign w:val="center"/>
          </w:tcPr>
          <w:p w14:paraId="07524C1B">
            <w:pPr>
              <w:widowControl/>
              <w:spacing w:line="240" w:lineRule="exact"/>
              <w:jc w:val="center"/>
              <w:rPr>
                <w:rFonts w:hint="eastAsia" w:ascii="仿宋_GB2312" w:hAnsi="宋体" w:eastAsia="仿宋_GB2312" w:cs="宋体"/>
                <w:kern w:val="0"/>
                <w:szCs w:val="21"/>
                <w:highlight w:val="none"/>
              </w:rPr>
            </w:pPr>
          </w:p>
        </w:tc>
        <w:tc>
          <w:tcPr>
            <w:tcW w:w="710" w:type="dxa"/>
            <w:tcBorders>
              <w:top w:val="nil"/>
              <w:left w:val="nil"/>
              <w:bottom w:val="single" w:color="auto" w:sz="4" w:space="0"/>
              <w:right w:val="single" w:color="auto" w:sz="4" w:space="0"/>
            </w:tcBorders>
            <w:noWrap w:val="0"/>
            <w:vAlign w:val="center"/>
          </w:tcPr>
          <w:p w14:paraId="6D2AD93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15EE1CD2">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6136D0E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年度总体目标</w:t>
            </w:r>
          </w:p>
        </w:tc>
        <w:tc>
          <w:tcPr>
            <w:tcW w:w="4954" w:type="dxa"/>
            <w:gridSpan w:val="6"/>
            <w:tcBorders>
              <w:top w:val="single" w:color="auto" w:sz="4" w:space="0"/>
              <w:left w:val="nil"/>
              <w:bottom w:val="single" w:color="auto" w:sz="4" w:space="0"/>
              <w:right w:val="single" w:color="auto" w:sz="4" w:space="0"/>
            </w:tcBorders>
            <w:noWrap w:val="0"/>
            <w:vAlign w:val="center"/>
          </w:tcPr>
          <w:p w14:paraId="2734B28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预期目标</w:t>
            </w:r>
          </w:p>
        </w:tc>
        <w:tc>
          <w:tcPr>
            <w:tcW w:w="3499" w:type="dxa"/>
            <w:gridSpan w:val="7"/>
            <w:tcBorders>
              <w:top w:val="single" w:color="auto" w:sz="4" w:space="0"/>
              <w:left w:val="nil"/>
              <w:bottom w:val="single" w:color="auto" w:sz="4" w:space="0"/>
              <w:right w:val="single" w:color="auto" w:sz="4" w:space="0"/>
            </w:tcBorders>
            <w:noWrap w:val="0"/>
            <w:vAlign w:val="center"/>
          </w:tcPr>
          <w:p w14:paraId="0762518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实际完成情况</w:t>
            </w:r>
          </w:p>
        </w:tc>
      </w:tr>
      <w:tr w14:paraId="5123136D">
        <w:tblPrEx>
          <w:tblCellMar>
            <w:top w:w="0" w:type="dxa"/>
            <w:left w:w="108" w:type="dxa"/>
            <w:bottom w:w="0" w:type="dxa"/>
            <w:right w:w="108" w:type="dxa"/>
          </w:tblCellMar>
        </w:tblPrEx>
        <w:trPr>
          <w:trHeight w:val="2794"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24C7574F">
            <w:pPr>
              <w:widowControl/>
              <w:spacing w:line="240" w:lineRule="exact"/>
              <w:jc w:val="center"/>
              <w:rPr>
                <w:rFonts w:hint="eastAsia" w:ascii="仿宋_GB2312" w:hAnsi="宋体" w:eastAsia="仿宋_GB2312" w:cs="宋体"/>
                <w:kern w:val="0"/>
                <w:szCs w:val="21"/>
                <w:highlight w:val="none"/>
              </w:rPr>
            </w:pPr>
          </w:p>
        </w:tc>
        <w:tc>
          <w:tcPr>
            <w:tcW w:w="4954" w:type="dxa"/>
            <w:gridSpan w:val="6"/>
            <w:tcBorders>
              <w:top w:val="single" w:color="auto" w:sz="4" w:space="0"/>
              <w:left w:val="nil"/>
              <w:bottom w:val="single" w:color="auto" w:sz="4" w:space="0"/>
              <w:right w:val="single" w:color="auto" w:sz="4" w:space="0"/>
            </w:tcBorders>
            <w:noWrap w:val="0"/>
            <w:vAlign w:val="center"/>
          </w:tcPr>
          <w:p w14:paraId="79EBECAB">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本项目拟采用财政资金对延庆校区留学生公寓内部进行改造，内部改造范围包括103间宿舍、1间管理室及楼道、公共卫生间、公共盥洗室等区域。主要改造内容为公寓内原有装饰装修层（地面、墙面及顶面）拆除后新做，对强弱电、给排水、通风、采暖、消防等各专业系统进行更新改造，更换所有门、洁具。改造完成后，将满足206名留学生基本住宿需求，进一步改善学生住宿环境和校园设施建设，学生居住舒适度与满意度显著提升。</w:t>
            </w:r>
          </w:p>
        </w:tc>
        <w:tc>
          <w:tcPr>
            <w:tcW w:w="3499" w:type="dxa"/>
            <w:gridSpan w:val="7"/>
            <w:tcBorders>
              <w:top w:val="single" w:color="auto" w:sz="4" w:space="0"/>
              <w:left w:val="nil"/>
              <w:bottom w:val="single" w:color="auto" w:sz="4" w:space="0"/>
              <w:right w:val="single" w:color="auto" w:sz="4" w:space="0"/>
            </w:tcBorders>
            <w:noWrap w:val="0"/>
            <w:vAlign w:val="center"/>
          </w:tcPr>
          <w:p w14:paraId="2ABA771C">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完成了包括103间宿舍、1间管理室及楼道、公共卫生间、公共盥洗室等区域的改造内容。主要改造内容为公寓内原有装饰装修层（地面、墙面及顶面）拆除后新做，对强弱电、给排水、通风、采暖、消防等各专业系统进行更新改造，更换所有门、洁具。改造完成后，满足了206名留学生基本住宿需求，进一步改善学生住宿环境和校园设施建设，学生居住舒适度与满意度显著提升。</w:t>
            </w:r>
          </w:p>
        </w:tc>
      </w:tr>
      <w:tr w14:paraId="2B0F7DE0">
        <w:tblPrEx>
          <w:tblCellMar>
            <w:top w:w="0" w:type="dxa"/>
            <w:left w:w="108" w:type="dxa"/>
            <w:bottom w:w="0" w:type="dxa"/>
            <w:right w:w="108" w:type="dxa"/>
          </w:tblCellMar>
        </w:tblPrEx>
        <w:trPr>
          <w:trHeight w:val="671"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49E548F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绩</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效</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指</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标</w:t>
            </w:r>
          </w:p>
        </w:tc>
        <w:tc>
          <w:tcPr>
            <w:tcW w:w="975" w:type="dxa"/>
            <w:tcBorders>
              <w:top w:val="single" w:color="auto" w:sz="4" w:space="0"/>
              <w:left w:val="nil"/>
              <w:bottom w:val="single" w:color="auto" w:sz="4" w:space="0"/>
              <w:right w:val="single" w:color="auto" w:sz="4" w:space="0"/>
            </w:tcBorders>
            <w:noWrap w:val="0"/>
            <w:vAlign w:val="center"/>
          </w:tcPr>
          <w:p w14:paraId="7B9DB60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一级指标</w:t>
            </w:r>
          </w:p>
        </w:tc>
        <w:tc>
          <w:tcPr>
            <w:tcW w:w="1105" w:type="dxa"/>
            <w:tcBorders>
              <w:top w:val="single" w:color="auto" w:sz="4" w:space="0"/>
              <w:left w:val="nil"/>
              <w:bottom w:val="single" w:color="auto" w:sz="4" w:space="0"/>
              <w:right w:val="single" w:color="auto" w:sz="4" w:space="0"/>
            </w:tcBorders>
            <w:noWrap w:val="0"/>
            <w:vAlign w:val="center"/>
          </w:tcPr>
          <w:p w14:paraId="5B04610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二级指标</w:t>
            </w:r>
          </w:p>
        </w:tc>
        <w:tc>
          <w:tcPr>
            <w:tcW w:w="1783" w:type="dxa"/>
            <w:gridSpan w:val="2"/>
            <w:tcBorders>
              <w:top w:val="single" w:color="auto" w:sz="4" w:space="0"/>
              <w:left w:val="nil"/>
              <w:bottom w:val="single" w:color="auto" w:sz="4" w:space="0"/>
              <w:right w:val="single" w:color="auto" w:sz="4" w:space="0"/>
            </w:tcBorders>
            <w:noWrap w:val="0"/>
            <w:vAlign w:val="center"/>
          </w:tcPr>
          <w:p w14:paraId="6D66121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三级指标</w:t>
            </w:r>
          </w:p>
        </w:tc>
        <w:tc>
          <w:tcPr>
            <w:tcW w:w="1091" w:type="dxa"/>
            <w:gridSpan w:val="2"/>
            <w:tcBorders>
              <w:top w:val="single" w:color="auto" w:sz="4" w:space="0"/>
              <w:left w:val="nil"/>
              <w:bottom w:val="single" w:color="auto" w:sz="4" w:space="0"/>
              <w:right w:val="single" w:color="auto" w:sz="4" w:space="0"/>
            </w:tcBorders>
            <w:noWrap w:val="0"/>
            <w:vAlign w:val="center"/>
          </w:tcPr>
          <w:p w14:paraId="41ACF9C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w:t>
            </w:r>
          </w:p>
          <w:p w14:paraId="29BF4DA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指标值</w:t>
            </w:r>
          </w:p>
        </w:tc>
        <w:tc>
          <w:tcPr>
            <w:tcW w:w="665" w:type="dxa"/>
            <w:tcBorders>
              <w:top w:val="single" w:color="auto" w:sz="4" w:space="0"/>
              <w:left w:val="nil"/>
              <w:bottom w:val="single" w:color="auto" w:sz="4" w:space="0"/>
              <w:right w:val="single" w:color="auto" w:sz="4" w:space="0"/>
            </w:tcBorders>
            <w:noWrap w:val="0"/>
            <w:vAlign w:val="center"/>
          </w:tcPr>
          <w:p w14:paraId="652331F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实际</w:t>
            </w:r>
          </w:p>
          <w:p w14:paraId="151B970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完成值</w:t>
            </w:r>
          </w:p>
        </w:tc>
        <w:tc>
          <w:tcPr>
            <w:tcW w:w="513" w:type="dxa"/>
            <w:gridSpan w:val="2"/>
            <w:tcBorders>
              <w:top w:val="single" w:color="auto" w:sz="4" w:space="0"/>
              <w:left w:val="nil"/>
              <w:bottom w:val="single" w:color="auto" w:sz="4" w:space="0"/>
              <w:right w:val="single" w:color="auto" w:sz="4" w:space="0"/>
            </w:tcBorders>
            <w:noWrap w:val="0"/>
            <w:vAlign w:val="center"/>
          </w:tcPr>
          <w:p w14:paraId="57AB4FF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分值</w:t>
            </w:r>
          </w:p>
        </w:tc>
        <w:tc>
          <w:tcPr>
            <w:tcW w:w="567" w:type="dxa"/>
            <w:tcBorders>
              <w:top w:val="single" w:color="auto" w:sz="4" w:space="0"/>
              <w:left w:val="nil"/>
              <w:bottom w:val="single" w:color="auto" w:sz="4" w:space="0"/>
              <w:right w:val="single" w:color="auto" w:sz="4" w:space="0"/>
            </w:tcBorders>
            <w:noWrap w:val="0"/>
            <w:vAlign w:val="center"/>
          </w:tcPr>
          <w:p w14:paraId="7E71D2D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得分</w:t>
            </w:r>
          </w:p>
        </w:tc>
        <w:tc>
          <w:tcPr>
            <w:tcW w:w="1754" w:type="dxa"/>
            <w:gridSpan w:val="3"/>
            <w:tcBorders>
              <w:top w:val="single" w:color="auto" w:sz="4" w:space="0"/>
              <w:left w:val="nil"/>
              <w:bottom w:val="single" w:color="auto" w:sz="4" w:space="0"/>
              <w:right w:val="single" w:color="auto" w:sz="4" w:space="0"/>
            </w:tcBorders>
            <w:noWrap w:val="0"/>
            <w:vAlign w:val="center"/>
          </w:tcPr>
          <w:p w14:paraId="60BF62CD">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偏差原因分析及改进</w:t>
            </w:r>
          </w:p>
          <w:p w14:paraId="22CD2CF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措施</w:t>
            </w:r>
          </w:p>
        </w:tc>
      </w:tr>
      <w:tr w14:paraId="2E292EF0">
        <w:tblPrEx>
          <w:tblCellMar>
            <w:top w:w="0" w:type="dxa"/>
            <w:left w:w="108" w:type="dxa"/>
            <w:bottom w:w="0" w:type="dxa"/>
            <w:right w:w="108" w:type="dxa"/>
          </w:tblCellMar>
        </w:tblPrEx>
        <w:trPr>
          <w:trHeight w:val="41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24F20CB">
            <w:pPr>
              <w:widowControl/>
              <w:spacing w:line="240" w:lineRule="exact"/>
              <w:jc w:val="center"/>
              <w:rPr>
                <w:rFonts w:hint="eastAsia" w:ascii="仿宋_GB2312" w:hAnsi="宋体" w:eastAsia="仿宋_GB2312" w:cs="宋体"/>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3E9B48E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6A0C7F9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数量指标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18353BCD">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lang w:val="en-US" w:eastAsia="zh-CN"/>
              </w:rPr>
              <w:t>金属塑钢门更新改造</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59244AC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＝103个</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796CCA55">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103个</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58C799C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2E8FE332">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56E8A96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2"/>
                <w:szCs w:val="12"/>
                <w:highlight w:val="none"/>
                <w:lang w:val="en-US" w:eastAsia="zh-CN"/>
              </w:rPr>
            </w:pPr>
            <w:r>
              <w:rPr>
                <w:rFonts w:hint="eastAsia" w:ascii="仿宋_GB2312" w:hAnsi="宋体" w:eastAsia="仿宋_GB2312" w:cs="宋体"/>
                <w:kern w:val="0"/>
                <w:szCs w:val="21"/>
                <w:highlight w:val="none"/>
                <w:lang w:val="en-US" w:eastAsia="zh-CN"/>
              </w:rPr>
              <w:t>无</w:t>
            </w:r>
          </w:p>
        </w:tc>
      </w:tr>
      <w:tr w14:paraId="4776B745">
        <w:tblPrEx>
          <w:tblCellMar>
            <w:top w:w="0" w:type="dxa"/>
            <w:left w:w="108" w:type="dxa"/>
            <w:bottom w:w="0" w:type="dxa"/>
            <w:right w:w="108" w:type="dxa"/>
          </w:tblCellMar>
        </w:tblPrEx>
        <w:trPr>
          <w:trHeight w:val="54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45D0FF0">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B8609A4">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7D7B23A">
            <w:pPr>
              <w:widowControl/>
              <w:spacing w:line="240" w:lineRule="exact"/>
              <w:jc w:val="center"/>
              <w:rPr>
                <w:rFonts w:hint="eastAsia" w:ascii="仿宋_GB2312" w:hAnsi="宋体" w:eastAsia="仿宋_GB2312" w:cs="宋体"/>
                <w:kern w:val="0"/>
                <w:szCs w:val="21"/>
                <w:highlight w:val="none"/>
              </w:rPr>
            </w:pP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4D124BAE">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lang w:val="en-US" w:eastAsia="zh-CN"/>
              </w:rPr>
              <w:t>木门更新改造</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4DC9188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＝104个</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78D464D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 xml:space="preserve">104个 </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1AE82417">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62DE5C0D">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62C60443">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04E1B85E">
        <w:tblPrEx>
          <w:tblCellMar>
            <w:top w:w="0" w:type="dxa"/>
            <w:left w:w="108" w:type="dxa"/>
            <w:bottom w:w="0" w:type="dxa"/>
            <w:right w:w="108" w:type="dxa"/>
          </w:tblCellMar>
        </w:tblPrEx>
        <w:trPr>
          <w:trHeight w:val="37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05D9BFD">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3953915">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7884A8AE">
            <w:pPr>
              <w:widowControl/>
              <w:spacing w:line="240" w:lineRule="exact"/>
              <w:jc w:val="center"/>
              <w:rPr>
                <w:rFonts w:hint="eastAsia" w:ascii="仿宋_GB2312" w:hAnsi="宋体" w:eastAsia="仿宋_GB2312" w:cs="宋体"/>
                <w:kern w:val="0"/>
                <w:szCs w:val="21"/>
                <w:highlight w:val="none"/>
              </w:rPr>
            </w:pP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41F32A15">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lang w:val="en-US" w:eastAsia="zh-CN"/>
              </w:rPr>
              <w:t>地面更新改造</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645B210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＝3280平方米</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74C1C4D4">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3189平方米</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3DEB9970">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4CCBD2AB">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2.91</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7B45EF2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0116FA2D">
        <w:tblPrEx>
          <w:tblCellMar>
            <w:top w:w="0" w:type="dxa"/>
            <w:left w:w="108" w:type="dxa"/>
            <w:bottom w:w="0" w:type="dxa"/>
            <w:right w:w="108" w:type="dxa"/>
          </w:tblCellMar>
        </w:tblPrEx>
        <w:trPr>
          <w:trHeight w:val="34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ACEAE82">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77E0BF0">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3968ADFB">
            <w:pPr>
              <w:widowControl/>
              <w:spacing w:line="240" w:lineRule="exact"/>
              <w:jc w:val="center"/>
              <w:rPr>
                <w:rFonts w:hint="eastAsia" w:ascii="仿宋_GB2312" w:hAnsi="宋体" w:eastAsia="仿宋_GB2312" w:cs="宋体"/>
                <w:kern w:val="0"/>
                <w:szCs w:val="21"/>
                <w:highlight w:val="none"/>
              </w:rPr>
            </w:pP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5885D9B4">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lang w:val="en-US" w:eastAsia="zh-CN"/>
              </w:rPr>
              <w:t>墙面更新改造</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687BC55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＝7654平方米</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4FA9ECE5">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8698平方米</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13545B0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48E36488">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0EA847D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lang w:val="en-US" w:eastAsia="zh-CN" w:bidi="ar-SA"/>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046A3314">
        <w:tblPrEx>
          <w:tblCellMar>
            <w:top w:w="0" w:type="dxa"/>
            <w:left w:w="108" w:type="dxa"/>
            <w:bottom w:w="0" w:type="dxa"/>
            <w:right w:w="108" w:type="dxa"/>
          </w:tblCellMar>
        </w:tblPrEx>
        <w:trPr>
          <w:trHeight w:val="30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C09C7CC">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B9A58A4">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E3117BB">
            <w:pPr>
              <w:widowControl/>
              <w:spacing w:line="240" w:lineRule="exact"/>
              <w:jc w:val="center"/>
              <w:rPr>
                <w:rFonts w:hint="eastAsia" w:ascii="仿宋_GB2312" w:hAnsi="宋体" w:eastAsia="仿宋_GB2312" w:cs="宋体"/>
                <w:kern w:val="0"/>
                <w:szCs w:val="21"/>
                <w:highlight w:val="none"/>
              </w:rPr>
            </w:pP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6FCEF173">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lang w:val="en-US" w:eastAsia="zh-CN"/>
              </w:rPr>
              <w:t>天棚更新改造</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4834920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＝3644平方米</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5B12F4C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2995平方米</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1497E2A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14BAB7B9">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2.46</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22EAF7B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33E0F270">
        <w:tblPrEx>
          <w:tblCellMar>
            <w:top w:w="0" w:type="dxa"/>
            <w:left w:w="108" w:type="dxa"/>
            <w:bottom w:w="0" w:type="dxa"/>
            <w:right w:w="108" w:type="dxa"/>
          </w:tblCellMar>
        </w:tblPrEx>
        <w:trPr>
          <w:trHeight w:val="64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DA94265">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CC13412">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4D647A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质量指标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51BC9551">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项目竣工验收合格率100%</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1E2EC870">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024B886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2AA41345">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5B651CDA">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20</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262D08D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378379BA">
        <w:tblPrEx>
          <w:tblCellMar>
            <w:top w:w="0" w:type="dxa"/>
            <w:left w:w="108" w:type="dxa"/>
            <w:bottom w:w="0" w:type="dxa"/>
            <w:right w:w="108" w:type="dxa"/>
          </w:tblCellMar>
        </w:tblPrEx>
        <w:trPr>
          <w:trHeight w:val="94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20819C0">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D4D2B84">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6865C3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时效指标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68757892">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2024年8月完成工程施工。改造周期控制时效≤3个月</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430F1312">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color w:val="000000"/>
                <w:kern w:val="0"/>
                <w:szCs w:val="21"/>
                <w:highlight w:val="none"/>
                <w:lang w:val="en-US" w:eastAsia="zh-CN"/>
              </w:rPr>
              <w:t>3月</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6BBCA61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3月</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5873E50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60DA3E3C">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15</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1B5F6C1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09E5B8A7">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105FB00">
            <w:pPr>
              <w:widowControl/>
              <w:spacing w:line="240" w:lineRule="exact"/>
              <w:jc w:val="center"/>
              <w:rPr>
                <w:rFonts w:hint="eastAsia"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7D905A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成本指标</w:t>
            </w:r>
          </w:p>
          <w:p w14:paraId="5E16A6EA">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391ACC8">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经济成本指标</w:t>
            </w:r>
          </w:p>
          <w:p w14:paraId="60B066C2">
            <w:pPr>
              <w:widowControl/>
              <w:spacing w:line="240" w:lineRule="exact"/>
              <w:jc w:val="center"/>
              <w:rPr>
                <w:rFonts w:hint="eastAsia" w:ascii="仿宋_GB2312" w:hAnsi="宋体" w:eastAsia="仿宋_GB2312" w:cs="宋体"/>
                <w:kern w:val="0"/>
                <w:szCs w:val="21"/>
                <w:highlight w:val="none"/>
                <w:lang w:val="en-US" w:eastAsia="zh-CN"/>
              </w:rPr>
            </w:pP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534FF3D3">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项目总成本控制在</w:t>
            </w:r>
            <w:r>
              <w:rPr>
                <w:rFonts w:hint="eastAsia" w:ascii="仿宋_GB2312" w:hAnsi="宋体" w:eastAsia="仿宋_GB2312" w:cs="宋体"/>
                <w:color w:val="000000"/>
                <w:kern w:val="0"/>
                <w:szCs w:val="21"/>
                <w:highlight w:val="none"/>
                <w:lang w:val="en-US" w:eastAsia="zh-CN"/>
              </w:rPr>
              <w:t>747.130435</w:t>
            </w:r>
            <w:r>
              <w:rPr>
                <w:rFonts w:hint="eastAsia" w:ascii="仿宋_GB2312" w:hAnsi="宋体" w:eastAsia="仿宋_GB2312" w:cs="宋体"/>
                <w:color w:val="000000"/>
                <w:kern w:val="0"/>
                <w:szCs w:val="21"/>
                <w:highlight w:val="none"/>
              </w:rPr>
              <w:t>万元内</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31E9788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kern w:val="0"/>
                <w:szCs w:val="21"/>
                <w:highlight w:val="none"/>
                <w:lang w:val="en-US" w:eastAsia="zh-CN"/>
              </w:rPr>
              <w:t>747.130435万元</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69DABB6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660万元</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78A192B1">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77EB270A">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10</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5FC9D8F5">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295ABA3A">
        <w:tblPrEx>
          <w:tblCellMar>
            <w:top w:w="0" w:type="dxa"/>
            <w:left w:w="108" w:type="dxa"/>
            <w:bottom w:w="0" w:type="dxa"/>
            <w:right w:w="108" w:type="dxa"/>
          </w:tblCellMar>
        </w:tblPrEx>
        <w:trPr>
          <w:trHeight w:val="15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A930CD">
            <w:pPr>
              <w:widowControl/>
              <w:spacing w:line="240" w:lineRule="exact"/>
              <w:jc w:val="center"/>
              <w:rPr>
                <w:rFonts w:hint="eastAsia" w:ascii="仿宋_GB2312" w:hAnsi="宋体" w:eastAsia="仿宋_GB2312" w:cs="宋体"/>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7155A8BF">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FB3228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社会效益</w:t>
            </w:r>
          </w:p>
          <w:p w14:paraId="2578EF8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507E5EE5">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改善学生住宿环境和校园设施建设，提升学生居住舒适度与满意度，公共服务能力提升≥50%</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71D4195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kern w:val="0"/>
                <w:szCs w:val="21"/>
                <w:highlight w:val="none"/>
                <w:lang w:val="en-US" w:eastAsia="zh-CN"/>
              </w:rPr>
              <w:t>50%</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770D93A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33%</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50FEF36B">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5A091199">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3.3</w:t>
            </w:r>
            <w:r>
              <w:rPr>
                <w:rFonts w:hint="eastAsia" w:ascii="宋体" w:hAnsi="宋体" w:cs="宋体"/>
                <w:i w:val="0"/>
                <w:iCs w:val="0"/>
                <w:color w:val="000000"/>
                <w:kern w:val="0"/>
                <w:sz w:val="20"/>
                <w:szCs w:val="20"/>
                <w:highlight w:val="none"/>
                <w:u w:val="none"/>
                <w:lang w:val="en-US" w:eastAsia="zh-CN" w:bidi="ar"/>
              </w:rPr>
              <w:t>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25A646CE">
            <w:pPr>
              <w:widowControl/>
              <w:spacing w:line="240" w:lineRule="exact"/>
              <w:jc w:val="center"/>
              <w:rPr>
                <w:rFonts w:hint="default" w:ascii="仿宋_GB2312" w:hAnsi="宋体" w:eastAsia="仿宋_GB2312" w:cs="宋体"/>
                <w:kern w:val="0"/>
                <w:sz w:val="12"/>
                <w:szCs w:val="12"/>
                <w:highlight w:val="none"/>
                <w:lang w:val="en-US" w:eastAsia="zh-CN"/>
              </w:rPr>
            </w:pPr>
            <w:r>
              <w:rPr>
                <w:rFonts w:hint="default" w:ascii="仿宋_GB2312" w:hAnsi="宋体" w:eastAsia="仿宋_GB2312" w:cs="宋体"/>
                <w:color w:val="auto"/>
                <w:kern w:val="0"/>
                <w:sz w:val="18"/>
                <w:szCs w:val="18"/>
                <w:highlight w:val="none"/>
                <w:lang w:eastAsia="zh-CN"/>
              </w:rPr>
              <w:t>加强项目前期统筹谋划，进一步强化指标论证</w:t>
            </w:r>
            <w:r>
              <w:rPr>
                <w:rFonts w:hint="eastAsia" w:ascii="仿宋_GB2312" w:hAnsi="宋体" w:eastAsia="仿宋_GB2312" w:cs="宋体"/>
                <w:color w:val="auto"/>
                <w:kern w:val="0"/>
                <w:sz w:val="18"/>
                <w:szCs w:val="18"/>
                <w:highlight w:val="none"/>
                <w:lang w:eastAsia="zh-CN"/>
              </w:rPr>
              <w:t>。</w:t>
            </w:r>
          </w:p>
        </w:tc>
      </w:tr>
      <w:tr w14:paraId="289F6761">
        <w:tblPrEx>
          <w:tblCellMar>
            <w:top w:w="0" w:type="dxa"/>
            <w:left w:w="108" w:type="dxa"/>
            <w:bottom w:w="0" w:type="dxa"/>
            <w:right w:w="108" w:type="dxa"/>
          </w:tblCellMar>
        </w:tblPrEx>
        <w:trPr>
          <w:trHeight w:val="126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2705961">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8E5F72A">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6C8FBE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生态效益</w:t>
            </w:r>
          </w:p>
          <w:p w14:paraId="1E3009A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43285376">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改善住宿环境，提升学生居住舒适度，环境形象提升≥50%</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358FD92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kern w:val="0"/>
                <w:szCs w:val="21"/>
                <w:highlight w:val="none"/>
                <w:lang w:val="en-US" w:eastAsia="zh-CN"/>
              </w:rPr>
              <w:t>50%</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5BD238E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24%</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75565699">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378E37DD">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2.4</w:t>
            </w:r>
            <w:r>
              <w:rPr>
                <w:rFonts w:hint="eastAsia" w:ascii="宋体" w:hAnsi="宋体" w:cs="宋体"/>
                <w:i w:val="0"/>
                <w:iCs w:val="0"/>
                <w:color w:val="000000"/>
                <w:kern w:val="0"/>
                <w:sz w:val="20"/>
                <w:szCs w:val="20"/>
                <w:highlight w:val="none"/>
                <w:u w:val="none"/>
                <w:lang w:val="en-US" w:eastAsia="zh-CN" w:bidi="ar"/>
              </w:rPr>
              <w:t>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2D6DE8FB">
            <w:pPr>
              <w:widowControl/>
              <w:spacing w:line="240" w:lineRule="exact"/>
              <w:jc w:val="center"/>
              <w:rPr>
                <w:rFonts w:hint="eastAsia" w:ascii="仿宋_GB2312" w:hAnsi="宋体" w:eastAsia="仿宋_GB2312" w:cs="宋体"/>
                <w:color w:val="auto"/>
                <w:kern w:val="0"/>
                <w:sz w:val="18"/>
                <w:szCs w:val="18"/>
                <w:highlight w:val="none"/>
                <w:lang w:val="en-US" w:eastAsia="zh-CN" w:bidi="ar-SA"/>
              </w:rPr>
            </w:pPr>
            <w:r>
              <w:rPr>
                <w:rFonts w:hint="default" w:ascii="仿宋_GB2312" w:hAnsi="宋体" w:eastAsia="仿宋_GB2312" w:cs="宋体"/>
                <w:color w:val="auto"/>
                <w:kern w:val="0"/>
                <w:sz w:val="18"/>
                <w:szCs w:val="18"/>
                <w:highlight w:val="none"/>
                <w:lang w:eastAsia="zh-CN"/>
              </w:rPr>
              <w:t>加强项目前期统筹谋划，进一步强化指标论证</w:t>
            </w:r>
            <w:r>
              <w:rPr>
                <w:rFonts w:hint="eastAsia" w:ascii="仿宋_GB2312" w:hAnsi="宋体" w:eastAsia="仿宋_GB2312" w:cs="宋体"/>
                <w:color w:val="auto"/>
                <w:kern w:val="0"/>
                <w:sz w:val="18"/>
                <w:szCs w:val="18"/>
                <w:highlight w:val="none"/>
                <w:lang w:eastAsia="zh-CN"/>
              </w:rPr>
              <w:t>。</w:t>
            </w:r>
          </w:p>
        </w:tc>
      </w:tr>
      <w:tr w14:paraId="49D9E040">
        <w:tblPrEx>
          <w:tblCellMar>
            <w:top w:w="0" w:type="dxa"/>
            <w:left w:w="108" w:type="dxa"/>
            <w:bottom w:w="0" w:type="dxa"/>
            <w:right w:w="108" w:type="dxa"/>
          </w:tblCellMar>
        </w:tblPrEx>
        <w:trPr>
          <w:trHeight w:val="131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E36E66A">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86DE531">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9080D8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可持续影响指标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1F9C51B6">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可持续使用15年以上</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7872B2E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kern w:val="0"/>
                <w:szCs w:val="21"/>
                <w:highlight w:val="none"/>
                <w:lang w:val="en-US" w:eastAsia="zh-CN"/>
              </w:rPr>
              <w:t>15年</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2B7C44D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15年</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3EEFFCA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203ABCE0">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10</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9A20A1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无</w:t>
            </w:r>
          </w:p>
        </w:tc>
      </w:tr>
      <w:tr w14:paraId="2396C5D8">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A232CB2">
            <w:pPr>
              <w:widowControl/>
              <w:spacing w:line="240" w:lineRule="exact"/>
              <w:jc w:val="center"/>
              <w:rPr>
                <w:rFonts w:hint="eastAsia"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45A53B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满意度</w:t>
            </w:r>
          </w:p>
          <w:p w14:paraId="00434CEF">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48977D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服务对象满意度</w:t>
            </w:r>
            <w:r>
              <w:rPr>
                <w:rFonts w:hint="eastAsia" w:ascii="仿宋_GB2312" w:hAnsi="宋体" w:eastAsia="仿宋_GB2312" w:cs="宋体"/>
                <w:kern w:val="0"/>
                <w:szCs w:val="21"/>
                <w:highlight w:val="none"/>
                <w:lang w:val="en-US" w:eastAsia="zh-CN"/>
              </w:rPr>
              <w:t>指</w:t>
            </w:r>
            <w:r>
              <w:rPr>
                <w:rFonts w:hint="eastAsia" w:ascii="仿宋_GB2312" w:hAnsi="宋体" w:eastAsia="仿宋_GB2312" w:cs="宋体"/>
                <w:kern w:val="0"/>
                <w:szCs w:val="21"/>
                <w:highlight w:val="none"/>
              </w:rPr>
              <w:t>标</w:t>
            </w:r>
          </w:p>
        </w:tc>
        <w:tc>
          <w:tcPr>
            <w:tcW w:w="1783" w:type="dxa"/>
            <w:gridSpan w:val="2"/>
            <w:tcBorders>
              <w:top w:val="single" w:color="auto" w:sz="4" w:space="0"/>
              <w:left w:val="single" w:color="auto" w:sz="4" w:space="0"/>
              <w:bottom w:val="single" w:color="auto" w:sz="4" w:space="0"/>
              <w:right w:val="single" w:color="auto" w:sz="4" w:space="0"/>
            </w:tcBorders>
            <w:noWrap w:val="0"/>
            <w:vAlign w:val="center"/>
          </w:tcPr>
          <w:p w14:paraId="2C83AEDC">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受益师生满意度不低于95%</w:t>
            </w:r>
          </w:p>
        </w:tc>
        <w:tc>
          <w:tcPr>
            <w:tcW w:w="1091" w:type="dxa"/>
            <w:gridSpan w:val="2"/>
            <w:tcBorders>
              <w:top w:val="single" w:color="auto" w:sz="4" w:space="0"/>
              <w:left w:val="single" w:color="auto" w:sz="4" w:space="0"/>
              <w:bottom w:val="single" w:color="auto" w:sz="4" w:space="0"/>
              <w:right w:val="single" w:color="auto" w:sz="4" w:space="0"/>
            </w:tcBorders>
            <w:noWrap w:val="0"/>
            <w:vAlign w:val="center"/>
          </w:tcPr>
          <w:p w14:paraId="63FD6BC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kern w:val="0"/>
                <w:szCs w:val="21"/>
                <w:highlight w:val="none"/>
                <w:lang w:val="en-US" w:eastAsia="zh-CN"/>
              </w:rPr>
              <w:t>95%</w:t>
            </w:r>
          </w:p>
        </w:tc>
        <w:tc>
          <w:tcPr>
            <w:tcW w:w="665" w:type="dxa"/>
            <w:tcBorders>
              <w:top w:val="single" w:color="auto" w:sz="4" w:space="0"/>
              <w:left w:val="single" w:color="auto" w:sz="4" w:space="0"/>
              <w:bottom w:val="single" w:color="auto" w:sz="4" w:space="0"/>
              <w:right w:val="single" w:color="auto" w:sz="4" w:space="0"/>
            </w:tcBorders>
            <w:noWrap w:val="0"/>
            <w:vAlign w:val="center"/>
          </w:tcPr>
          <w:p w14:paraId="17B09BD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513" w:type="dxa"/>
            <w:gridSpan w:val="2"/>
            <w:tcBorders>
              <w:top w:val="single" w:color="auto" w:sz="4" w:space="0"/>
              <w:left w:val="single" w:color="auto" w:sz="4" w:space="0"/>
              <w:bottom w:val="single" w:color="auto" w:sz="4" w:space="0"/>
              <w:right w:val="single" w:color="auto" w:sz="4" w:space="0"/>
            </w:tcBorders>
            <w:noWrap w:val="0"/>
            <w:vAlign w:val="center"/>
          </w:tcPr>
          <w:p w14:paraId="030E5BD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22FE1FAD">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10</w:t>
            </w:r>
            <w:r>
              <w:rPr>
                <w:rFonts w:hint="eastAsia" w:ascii="宋体" w:hAnsi="宋体" w:cs="宋体"/>
                <w:i w:val="0"/>
                <w:iCs w:val="0"/>
                <w:color w:val="000000"/>
                <w:kern w:val="0"/>
                <w:sz w:val="20"/>
                <w:szCs w:val="20"/>
                <w:highlight w:val="none"/>
                <w:u w:val="none"/>
                <w:lang w:val="en-US" w:eastAsia="zh-CN" w:bidi="ar"/>
              </w:rPr>
              <w:t>.00</w:t>
            </w:r>
          </w:p>
        </w:tc>
        <w:tc>
          <w:tcPr>
            <w:tcW w:w="1754" w:type="dxa"/>
            <w:gridSpan w:val="3"/>
            <w:tcBorders>
              <w:top w:val="single" w:color="auto" w:sz="4" w:space="0"/>
              <w:left w:val="single" w:color="auto" w:sz="4" w:space="0"/>
              <w:bottom w:val="single" w:color="auto" w:sz="4" w:space="0"/>
              <w:right w:val="single" w:color="auto" w:sz="4" w:space="0"/>
            </w:tcBorders>
            <w:noWrap w:val="0"/>
            <w:vAlign w:val="center"/>
          </w:tcPr>
          <w:p w14:paraId="768B7B00">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 w:eastAsia="zh-CN"/>
              </w:rPr>
              <w:t>无</w:t>
            </w:r>
          </w:p>
        </w:tc>
      </w:tr>
      <w:tr w14:paraId="71C5BDA8">
        <w:tblPrEx>
          <w:tblCellMar>
            <w:top w:w="0" w:type="dxa"/>
            <w:left w:w="108" w:type="dxa"/>
            <w:bottom w:w="0" w:type="dxa"/>
            <w:right w:w="108" w:type="dxa"/>
          </w:tblCellMar>
        </w:tblPrEx>
        <w:trPr>
          <w:trHeight w:val="620" w:hRule="exact"/>
          <w:jc w:val="center"/>
        </w:trPr>
        <w:tc>
          <w:tcPr>
            <w:tcW w:w="6204" w:type="dxa"/>
            <w:gridSpan w:val="8"/>
            <w:tcBorders>
              <w:top w:val="single" w:color="auto" w:sz="4" w:space="0"/>
              <w:left w:val="single" w:color="auto" w:sz="4" w:space="0"/>
              <w:bottom w:val="single" w:color="auto" w:sz="4" w:space="0"/>
              <w:right w:val="single" w:color="auto" w:sz="4" w:space="0"/>
            </w:tcBorders>
            <w:noWrap w:val="0"/>
            <w:vAlign w:val="center"/>
          </w:tcPr>
          <w:p w14:paraId="6E6D1CF5">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513" w:type="dxa"/>
            <w:gridSpan w:val="2"/>
            <w:tcBorders>
              <w:top w:val="single" w:color="auto" w:sz="4" w:space="0"/>
              <w:left w:val="nil"/>
              <w:bottom w:val="single" w:color="auto" w:sz="4" w:space="0"/>
              <w:right w:val="single" w:color="auto" w:sz="4" w:space="0"/>
            </w:tcBorders>
            <w:noWrap w:val="0"/>
            <w:vAlign w:val="center"/>
          </w:tcPr>
          <w:p w14:paraId="33DEDDF9">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567" w:type="dxa"/>
            <w:tcBorders>
              <w:top w:val="single" w:color="auto" w:sz="4" w:space="0"/>
              <w:left w:val="nil"/>
              <w:bottom w:val="single" w:color="auto" w:sz="4" w:space="0"/>
              <w:right w:val="single" w:color="auto" w:sz="4" w:space="0"/>
            </w:tcBorders>
            <w:noWrap w:val="0"/>
            <w:vAlign w:val="center"/>
          </w:tcPr>
          <w:p w14:paraId="676DC204">
            <w:pPr>
              <w:keepNext w:val="0"/>
              <w:keepLines w:val="0"/>
              <w:widowControl/>
              <w:suppressLineNumbers w:val="0"/>
              <w:jc w:val="center"/>
              <w:textAlignment w:val="center"/>
              <w:rPr>
                <w:rFonts w:hint="default" w:ascii="仿宋_GB2312" w:hAnsi="宋体" w:eastAsia="仿宋_GB2312" w:cs="宋体"/>
                <w:color w:val="FF0000"/>
                <w:kern w:val="0"/>
                <w:szCs w:val="21"/>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95.07</w:t>
            </w:r>
          </w:p>
        </w:tc>
        <w:tc>
          <w:tcPr>
            <w:tcW w:w="1754" w:type="dxa"/>
            <w:gridSpan w:val="3"/>
            <w:tcBorders>
              <w:top w:val="single" w:color="auto" w:sz="4" w:space="0"/>
              <w:left w:val="nil"/>
              <w:bottom w:val="single" w:color="auto" w:sz="4" w:space="0"/>
              <w:right w:val="single" w:color="auto" w:sz="4" w:space="0"/>
            </w:tcBorders>
            <w:noWrap w:val="0"/>
            <w:vAlign w:val="center"/>
          </w:tcPr>
          <w:p w14:paraId="66A2B54B">
            <w:pPr>
              <w:widowControl/>
              <w:spacing w:line="240" w:lineRule="exact"/>
              <w:jc w:val="center"/>
              <w:rPr>
                <w:rFonts w:hint="eastAsia" w:ascii="仿宋_GB2312" w:hAnsi="宋体" w:eastAsia="仿宋_GB2312" w:cs="宋体"/>
                <w:kern w:val="0"/>
                <w:szCs w:val="21"/>
                <w:highlight w:val="none"/>
              </w:rPr>
            </w:pPr>
          </w:p>
        </w:tc>
      </w:tr>
    </w:tbl>
    <w:p w14:paraId="4FF07112">
      <w:pPr>
        <w:rPr>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F3FAA09-AE7A-41E9-9BAB-7F1F3DCEAF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embedRegular r:id="rId2" w:fontKey="{CD28E840-6D14-4A0B-98F5-AA347A047DBF}"/>
  </w:font>
  <w:font w:name="仿宋_GB2312">
    <w:altName w:val="仿宋"/>
    <w:panose1 w:val="02010609030101010101"/>
    <w:charset w:val="86"/>
    <w:family w:val="modern"/>
    <w:pitch w:val="default"/>
    <w:sig w:usb0="00000000" w:usb1="00000000" w:usb2="00000000" w:usb3="00000000" w:csb0="00040000" w:csb1="00000000"/>
    <w:embedRegular r:id="rId3" w:fontKey="{87D535C1-55F7-46A5-929A-0B38E01A88F5}"/>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45622B"/>
    <w:rsid w:val="00512C82"/>
    <w:rsid w:val="008A3EEA"/>
    <w:rsid w:val="00B47A57"/>
    <w:rsid w:val="00CE49C2"/>
    <w:rsid w:val="00E017CD"/>
    <w:rsid w:val="00F561EB"/>
    <w:rsid w:val="046513FC"/>
    <w:rsid w:val="07DB29DD"/>
    <w:rsid w:val="0BC061FD"/>
    <w:rsid w:val="11703A22"/>
    <w:rsid w:val="13535599"/>
    <w:rsid w:val="144C5417"/>
    <w:rsid w:val="17DD0A7A"/>
    <w:rsid w:val="1DD541F1"/>
    <w:rsid w:val="217F3FC6"/>
    <w:rsid w:val="223B471F"/>
    <w:rsid w:val="24053019"/>
    <w:rsid w:val="2AB638DA"/>
    <w:rsid w:val="2AFE41AE"/>
    <w:rsid w:val="2CDE7C0B"/>
    <w:rsid w:val="2CFC1B2C"/>
    <w:rsid w:val="2E511BF0"/>
    <w:rsid w:val="2EDF389D"/>
    <w:rsid w:val="33EA12B0"/>
    <w:rsid w:val="34490A2A"/>
    <w:rsid w:val="35FD276B"/>
    <w:rsid w:val="377C2FE5"/>
    <w:rsid w:val="37E72FFE"/>
    <w:rsid w:val="3E22155B"/>
    <w:rsid w:val="40092958"/>
    <w:rsid w:val="407C04F5"/>
    <w:rsid w:val="43342177"/>
    <w:rsid w:val="45F3102E"/>
    <w:rsid w:val="463749FA"/>
    <w:rsid w:val="4B26517A"/>
    <w:rsid w:val="4C0F06E7"/>
    <w:rsid w:val="502B2AD5"/>
    <w:rsid w:val="528268DB"/>
    <w:rsid w:val="52F12681"/>
    <w:rsid w:val="54646E83"/>
    <w:rsid w:val="596C23A1"/>
    <w:rsid w:val="5ABF4E13"/>
    <w:rsid w:val="5BA57C0C"/>
    <w:rsid w:val="5C4D1CC7"/>
    <w:rsid w:val="5C6B5F1C"/>
    <w:rsid w:val="5E72437C"/>
    <w:rsid w:val="5FB3C5AC"/>
    <w:rsid w:val="63067F1D"/>
    <w:rsid w:val="679772E6"/>
    <w:rsid w:val="67E03378"/>
    <w:rsid w:val="69084559"/>
    <w:rsid w:val="69FC1BE0"/>
    <w:rsid w:val="6EA13894"/>
    <w:rsid w:val="70D87A76"/>
    <w:rsid w:val="77C805A4"/>
    <w:rsid w:val="79894B12"/>
    <w:rsid w:val="7C49342F"/>
    <w:rsid w:val="7EA0554E"/>
    <w:rsid w:val="7FFB8508"/>
    <w:rsid w:val="B9E710A5"/>
    <w:rsid w:val="FFFF0E0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1110</Words>
  <Characters>1320</Characters>
  <Lines>8</Lines>
  <Paragraphs>2</Paragraphs>
  <TotalTime>0</TotalTime>
  <ScaleCrop>false</ScaleCrop>
  <LinksUpToDate>false</LinksUpToDate>
  <CharactersWithSpaces>1329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陈宇</cp:lastModifiedBy>
  <dcterms:modified xsi:type="dcterms:W3CDTF">2025-08-24T07:10:28Z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2C6FC8BC199A02C0635DAA681E67B0A4_43</vt:lpwstr>
  </property>
  <property fmtid="{D5CDD505-2E9C-101B-9397-08002B2CF9AE}" pid="4" name="KSOTemplateDocerSaveRecord">
    <vt:lpwstr>eyJoZGlkIjoiMGNjNDdhZjdhZTU1NGI5ZjE0MmE4MmMzZTFhNjFiNDgiLCJ1c2VySWQiOiIxNjg0MTgzMDE4In0=</vt:lpwstr>
  </property>
</Properties>
</file>