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2D418">
      <w:pPr>
        <w:spacing w:line="480" w:lineRule="exact"/>
        <w:rPr>
          <w:rFonts w:ascii="黑体" w:hAnsi="黑体" w:eastAsia="黑体"/>
          <w:sz w:val="32"/>
          <w:szCs w:val="32"/>
        </w:rPr>
      </w:pPr>
    </w:p>
    <w:p w14:paraId="256FA17E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DEDCB75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B75347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612"/>
        <w:gridCol w:w="515"/>
        <w:gridCol w:w="589"/>
        <w:gridCol w:w="543"/>
        <w:gridCol w:w="411"/>
        <w:gridCol w:w="716"/>
        <w:gridCol w:w="66"/>
        <w:gridCol w:w="638"/>
        <w:gridCol w:w="144"/>
        <w:gridCol w:w="702"/>
        <w:gridCol w:w="711"/>
      </w:tblGrid>
      <w:tr w14:paraId="66F50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EEF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9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362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国际合作与交流-京港澳学生交流夏令营项目</w:t>
            </w:r>
          </w:p>
        </w:tc>
      </w:tr>
      <w:tr w14:paraId="6AAF9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3C7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217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064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374B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北京市国际教育交流中心</w:t>
            </w:r>
          </w:p>
        </w:tc>
      </w:tr>
      <w:tr w14:paraId="47BAE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43F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D5C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558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D0B10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F12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33927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280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2556D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3E6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F25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56C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10D6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60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F5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118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88.883400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51F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88.053800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29F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88.053800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45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5D5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A6C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02E38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120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556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3C96C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35E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88.883400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FA0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88.053800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743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88.053800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B43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C8A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6E1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4C6F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275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CA3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CC7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946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AE8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D24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4EB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A0A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00B0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E41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2223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11E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A65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F0F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5BC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717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352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2E16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77B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F8C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07D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CD19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723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EDC25"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京港澳学生交流夏令营活动，组织京港澳三地师生互访，作为京港澳教育交流的传统项目，该活动为京港澳学生提供了解港澳地区、认识祖国内地的机会，对促进京港澳三地的教育合作与交流起到推动作用。通过面对面交流，增进三地学生之间融合与发展，增强国民身份认同与文化自信。</w:t>
            </w:r>
          </w:p>
          <w:p w14:paraId="3226FC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A4E17">
            <w:pPr>
              <w:widowControl/>
              <w:spacing w:line="240" w:lineRule="exact"/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青春祖国行-京港澳学生交流夏令营于2024年暑期在京成功举办。项目经过前期调研和设计策划，将北京市“见字如面”系列书信交流活动融入夏令营，同时将爱国主义教育实践内容划分四大主题，受到三地主办单位和广大师生的欢迎，圆满完成教育实践目标，扩大了品牌项目影响力。</w:t>
            </w:r>
            <w:bookmarkEnd w:id="0"/>
          </w:p>
        </w:tc>
      </w:tr>
      <w:tr w14:paraId="25FAB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D2D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72D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84A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40A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1A5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9004D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B21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4AD00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88F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A2C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2DF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33250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A05A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FE0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93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828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9349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参访人数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CC3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≤140人次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7F5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140人次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12B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lang w:val="en"/>
              </w:rPr>
              <w:t>10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979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lang w:val="e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53B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  <w:p w14:paraId="4FD081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F09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03F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17E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B36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CB0E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lang w:val="e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"/>
              </w:rPr>
              <w:t>交流与参访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17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≥8次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213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8次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92B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F4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6CF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  <w:p w14:paraId="03DAB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AFD0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56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6C3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761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D075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报道次数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FFC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≥1次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78E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5次</w:t>
            </w:r>
          </w:p>
          <w:p w14:paraId="094687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F0B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44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59F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  <w:p w14:paraId="1CDF94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B28F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698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79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497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987E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完成时间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EF1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216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D70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64E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EE9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  <w:p w14:paraId="6B28DA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BC47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0F4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0199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6661AF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BD4CE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34D237C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EA1E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34E6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≤88.8834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685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88.0538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174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9CB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D40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  <w:p w14:paraId="27B39B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6820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658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2A29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B6F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091D1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30FE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194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BF8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960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D87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6B2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  <w:p w14:paraId="1F5358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4C00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34A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2FD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4C3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5DC0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可持续影响力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FCF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1E8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16E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76F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E58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  <w:p w14:paraId="76EF4E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A33E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395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4A8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F9511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89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61EE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满意度调查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EF7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375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40D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8D5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7FB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  <w:p w14:paraId="4AFD7B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EB36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0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3B7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510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65A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C2F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EC546E5">
      <w:pPr>
        <w:rPr>
          <w:rFonts w:ascii="仿宋_GB2312" w:eastAsia="仿宋_GB2312"/>
          <w:vanish/>
          <w:sz w:val="32"/>
          <w:szCs w:val="32"/>
        </w:rPr>
      </w:pPr>
    </w:p>
    <w:p w14:paraId="44DC55F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3B7FC3A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82"/>
    <w:rsid w:val="003435ED"/>
    <w:rsid w:val="0045622B"/>
    <w:rsid w:val="00512C82"/>
    <w:rsid w:val="008A3EEA"/>
    <w:rsid w:val="00B26078"/>
    <w:rsid w:val="00B47A57"/>
    <w:rsid w:val="00CE49C2"/>
    <w:rsid w:val="00E017CD"/>
    <w:rsid w:val="00EE0145"/>
    <w:rsid w:val="00F561EB"/>
    <w:rsid w:val="01971439"/>
    <w:rsid w:val="01DA157E"/>
    <w:rsid w:val="042F4B0A"/>
    <w:rsid w:val="087E15BA"/>
    <w:rsid w:val="0A8A2498"/>
    <w:rsid w:val="0AF618DB"/>
    <w:rsid w:val="0B785666"/>
    <w:rsid w:val="0B867103"/>
    <w:rsid w:val="119A7465"/>
    <w:rsid w:val="13C92283"/>
    <w:rsid w:val="14641FAC"/>
    <w:rsid w:val="14B32638"/>
    <w:rsid w:val="17F83137"/>
    <w:rsid w:val="197607B7"/>
    <w:rsid w:val="1E430E84"/>
    <w:rsid w:val="1E831490"/>
    <w:rsid w:val="1F3709E9"/>
    <w:rsid w:val="22995516"/>
    <w:rsid w:val="22B365D8"/>
    <w:rsid w:val="27E70AD2"/>
    <w:rsid w:val="28F72F97"/>
    <w:rsid w:val="2EB07E70"/>
    <w:rsid w:val="2EE43FBD"/>
    <w:rsid w:val="3020542D"/>
    <w:rsid w:val="323673A5"/>
    <w:rsid w:val="3514254D"/>
    <w:rsid w:val="36257395"/>
    <w:rsid w:val="36BC13F6"/>
    <w:rsid w:val="3784633D"/>
    <w:rsid w:val="37E72FFE"/>
    <w:rsid w:val="38E70932"/>
    <w:rsid w:val="3A944AE9"/>
    <w:rsid w:val="3AD77EA7"/>
    <w:rsid w:val="3BBE3383"/>
    <w:rsid w:val="3BF33A92"/>
    <w:rsid w:val="3D0E0B83"/>
    <w:rsid w:val="3E4203B8"/>
    <w:rsid w:val="3F247815"/>
    <w:rsid w:val="406D5BC1"/>
    <w:rsid w:val="41067DC3"/>
    <w:rsid w:val="42B775C7"/>
    <w:rsid w:val="457948A6"/>
    <w:rsid w:val="4A190B67"/>
    <w:rsid w:val="4B26517A"/>
    <w:rsid w:val="4D393A1A"/>
    <w:rsid w:val="514A5AAA"/>
    <w:rsid w:val="5604091D"/>
    <w:rsid w:val="566E223B"/>
    <w:rsid w:val="5B1E5FDD"/>
    <w:rsid w:val="5C0827EA"/>
    <w:rsid w:val="5D7E0FB5"/>
    <w:rsid w:val="5FB3C5AC"/>
    <w:rsid w:val="608763D3"/>
    <w:rsid w:val="61F96DCA"/>
    <w:rsid w:val="62B62F9F"/>
    <w:rsid w:val="638766EA"/>
    <w:rsid w:val="63BC2837"/>
    <w:rsid w:val="64355108"/>
    <w:rsid w:val="65BF03BD"/>
    <w:rsid w:val="66552ACF"/>
    <w:rsid w:val="671B7875"/>
    <w:rsid w:val="68295FC1"/>
    <w:rsid w:val="6A38784B"/>
    <w:rsid w:val="6C447806"/>
    <w:rsid w:val="6D6655C2"/>
    <w:rsid w:val="71F238C8"/>
    <w:rsid w:val="723143F0"/>
    <w:rsid w:val="743326A2"/>
    <w:rsid w:val="783B30EA"/>
    <w:rsid w:val="7D5A1E55"/>
    <w:rsid w:val="7F473538"/>
    <w:rsid w:val="7FFB8508"/>
    <w:rsid w:val="A9884A92"/>
    <w:rsid w:val="B9E710A5"/>
    <w:rsid w:val="FFE6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603</Words>
  <Characters>738</Characters>
  <Lines>8</Lines>
  <Paragraphs>2</Paragraphs>
  <TotalTime>0</TotalTime>
  <ScaleCrop>false</ScaleCrop>
  <LinksUpToDate>false</LinksUpToDate>
  <CharactersWithSpaces>746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Rebecca</cp:lastModifiedBy>
  <dcterms:modified xsi:type="dcterms:W3CDTF">2025-08-23T06:56:45Z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0A5B0BEF850E4F57B3FDD394D3E4A64C_13</vt:lpwstr>
  </property>
  <property fmtid="{D5CDD505-2E9C-101B-9397-08002B2CF9AE}" pid="4" name="KSOTemplateDocerSaveRecord">
    <vt:lpwstr>eyJoZGlkIjoiMzEwNTM5NzYwMDRjMzkwZTVkZjY2ODkwMGIxNGU0OTUifQ==</vt:lpwstr>
  </property>
</Properties>
</file>