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617" w:type="dxa"/>
        <w:tblInd w:w="0" w:type="dxa"/>
        <w:tblLayout w:type="autofit"/>
        <w:tblCellMar>
          <w:top w:w="0" w:type="dxa"/>
          <w:left w:w="108" w:type="dxa"/>
          <w:bottom w:w="0" w:type="dxa"/>
          <w:right w:w="108" w:type="dxa"/>
        </w:tblCellMar>
      </w:tblPr>
      <w:tblGrid>
        <w:gridCol w:w="528"/>
        <w:gridCol w:w="426"/>
        <w:gridCol w:w="426"/>
        <w:gridCol w:w="222"/>
        <w:gridCol w:w="1065"/>
        <w:gridCol w:w="427"/>
        <w:gridCol w:w="701"/>
        <w:gridCol w:w="565"/>
        <w:gridCol w:w="709"/>
        <w:gridCol w:w="557"/>
        <w:gridCol w:w="315"/>
        <w:gridCol w:w="318"/>
        <w:gridCol w:w="111"/>
        <w:gridCol w:w="111"/>
        <w:gridCol w:w="111"/>
        <w:gridCol w:w="111"/>
        <w:gridCol w:w="318"/>
        <w:gridCol w:w="317"/>
        <w:gridCol w:w="316"/>
        <w:gridCol w:w="741"/>
        <w:gridCol w:w="222"/>
      </w:tblGrid>
      <w:tr>
        <w:tblPrEx>
          <w:tblCellMar>
            <w:top w:w="0" w:type="dxa"/>
            <w:left w:w="108" w:type="dxa"/>
            <w:bottom w:w="0" w:type="dxa"/>
            <w:right w:w="108" w:type="dxa"/>
          </w:tblCellMar>
        </w:tblPrEx>
        <w:trPr>
          <w:gridAfter w:val="1"/>
          <w:wAfter w:w="111" w:type="dxa"/>
          <w:trHeight w:val="420" w:hRule="atLeast"/>
        </w:trPr>
        <w:tc>
          <w:tcPr>
            <w:tcW w:w="0" w:type="auto"/>
            <w:gridSpan w:val="20"/>
            <w:tcBorders>
              <w:top w:val="nil"/>
              <w:left w:val="nil"/>
              <w:bottom w:val="nil"/>
              <w:right w:val="nil"/>
            </w:tcBorders>
            <w:vAlign w:val="center"/>
          </w:tcPr>
          <w:p>
            <w:pPr>
              <w:widowControl/>
              <w:jc w:val="center"/>
              <w:rPr>
                <w:rFonts w:hint="eastAsia" w:ascii="方正小标宋简体" w:hAnsi="宋体" w:eastAsia="方正小标宋简体" w:cs="宋体"/>
                <w:b/>
                <w:bCs/>
                <w:kern w:val="0"/>
                <w:sz w:val="32"/>
                <w:szCs w:val="32"/>
              </w:rPr>
            </w:pPr>
            <w:r>
              <w:rPr>
                <w:rFonts w:hint="eastAsia" w:ascii="方正小标宋简体" w:hAnsi="宋体" w:eastAsia="方正小标宋简体" w:cs="宋体"/>
                <w:color w:val="000000"/>
                <w:kern w:val="0"/>
                <w:sz w:val="36"/>
                <w:szCs w:val="36"/>
              </w:rPr>
              <w:t>项目支出绩效自评表</w:t>
            </w:r>
          </w:p>
        </w:tc>
      </w:tr>
      <w:tr>
        <w:tblPrEx>
          <w:tblCellMar>
            <w:top w:w="0" w:type="dxa"/>
            <w:left w:w="108" w:type="dxa"/>
            <w:bottom w:w="0" w:type="dxa"/>
            <w:right w:w="108" w:type="dxa"/>
          </w:tblCellMar>
        </w:tblPrEx>
        <w:trPr>
          <w:gridAfter w:val="1"/>
          <w:wAfter w:w="111" w:type="dxa"/>
          <w:trHeight w:val="340" w:hRule="atLeast"/>
        </w:trPr>
        <w:tc>
          <w:tcPr>
            <w:tcW w:w="0" w:type="auto"/>
            <w:gridSpan w:val="20"/>
            <w:tcBorders>
              <w:top w:val="nil"/>
              <w:left w:val="nil"/>
              <w:bottom w:val="nil"/>
              <w:right w:val="nil"/>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color w:val="000000"/>
                <w:kern w:val="0"/>
                <w:sz w:val="28"/>
                <w:szCs w:val="28"/>
              </w:rPr>
              <w:t>（2024预算年度）</w:t>
            </w:r>
          </w:p>
        </w:tc>
      </w:tr>
      <w:tr>
        <w:tblPrEx>
          <w:tblCellMar>
            <w:top w:w="0" w:type="dxa"/>
            <w:left w:w="108" w:type="dxa"/>
            <w:bottom w:w="0" w:type="dxa"/>
            <w:right w:w="108" w:type="dxa"/>
          </w:tblCellMar>
        </w:tblPrEx>
        <w:trPr>
          <w:trHeight w:val="287" w:hRule="atLeast"/>
        </w:trPr>
        <w:tc>
          <w:tcPr>
            <w:tcW w:w="0" w:type="auto"/>
            <w:tcBorders>
              <w:top w:val="nil"/>
              <w:left w:val="nil"/>
              <w:bottom w:val="nil"/>
              <w:right w:val="nil"/>
            </w:tcBorders>
            <w:vAlign w:val="center"/>
          </w:tcPr>
          <w:p>
            <w:pPr>
              <w:widowControl/>
              <w:jc w:val="center"/>
              <w:rPr>
                <w:rFonts w:ascii="仿宋_GB2312" w:hAnsi="宋体" w:eastAsia="仿宋_GB2312" w:cs="宋体"/>
                <w:kern w:val="0"/>
                <w:sz w:val="24"/>
                <w:szCs w:val="24"/>
              </w:rPr>
            </w:pPr>
          </w:p>
        </w:tc>
        <w:tc>
          <w:tcPr>
            <w:tcW w:w="0" w:type="auto"/>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nil"/>
              <w:right w:val="nil"/>
            </w:tcBorders>
            <w:vAlign w:val="center"/>
          </w:tcPr>
          <w:p>
            <w:pPr>
              <w:widowControl/>
              <w:jc w:val="center"/>
              <w:rPr>
                <w:rFonts w:ascii="Times New Roman" w:hAnsi="Times New Roman" w:eastAsia="Times New Roman" w:cs="Times New Roman"/>
                <w:kern w:val="0"/>
                <w:sz w:val="20"/>
                <w:szCs w:val="20"/>
              </w:rPr>
            </w:pPr>
          </w:p>
        </w:tc>
        <w:tc>
          <w:tcPr>
            <w:tcW w:w="0" w:type="auto"/>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710" w:type="dxa"/>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236" w:type="dxa"/>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0" w:type="auto"/>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0" w:type="auto"/>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0" w:type="auto"/>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0" w:type="auto"/>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0" w:type="auto"/>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0" w:type="auto"/>
            <w:gridSpan w:val="2"/>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c>
          <w:tcPr>
            <w:tcW w:w="0" w:type="auto"/>
            <w:tcBorders>
              <w:top w:val="nil"/>
              <w:left w:val="nil"/>
              <w:bottom w:val="nil"/>
              <w:right w:val="nil"/>
            </w:tcBorders>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gridAfter w:val="1"/>
          <w:wAfter w:w="111" w:type="dxa"/>
          <w:trHeight w:val="280" w:hRule="atLeast"/>
        </w:trPr>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0" w:type="auto"/>
            <w:gridSpan w:val="18"/>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改善办学保障条件-首都师范大学良乡校区综合楼等部分楼宇消防报警系统及应急疏散系统改造</w:t>
            </w:r>
          </w:p>
        </w:tc>
      </w:tr>
      <w:tr>
        <w:tblPrEx>
          <w:tblCellMar>
            <w:top w:w="0" w:type="dxa"/>
            <w:left w:w="108" w:type="dxa"/>
            <w:bottom w:w="0" w:type="dxa"/>
            <w:right w:w="108" w:type="dxa"/>
          </w:tblCellMar>
        </w:tblPrEx>
        <w:trPr>
          <w:gridAfter w:val="1"/>
          <w:wAfter w:w="111" w:type="dxa"/>
          <w:trHeight w:val="280" w:hRule="atLeast"/>
        </w:trPr>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0" w:type="auto"/>
            <w:gridSpan w:val="6"/>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0" w:type="auto"/>
            <w:gridSpan w:val="8"/>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首都师范大学</w:t>
            </w:r>
          </w:p>
        </w:tc>
      </w:tr>
      <w:tr>
        <w:tblPrEx>
          <w:tblCellMar>
            <w:top w:w="0" w:type="dxa"/>
            <w:left w:w="108" w:type="dxa"/>
            <w:bottom w:w="0" w:type="dxa"/>
            <w:right w:w="108" w:type="dxa"/>
          </w:tblCellMar>
        </w:tblPrEx>
        <w:trPr>
          <w:gridAfter w:val="1"/>
          <w:wAfter w:w="111" w:type="dxa"/>
          <w:trHeight w:val="280" w:hRule="atLeast"/>
        </w:trPr>
        <w:tc>
          <w:tcPr>
            <w:tcW w:w="0" w:type="auto"/>
            <w:gridSpan w:val="2"/>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Cs w:val="21"/>
              </w:rPr>
            </w:pPr>
            <w:r>
              <w:rPr>
                <w:rFonts w:hint="eastAsia" w:ascii="宋体" w:hAnsi="宋体" w:eastAsia="宋体" w:cs="宋体"/>
                <w:color w:val="000000"/>
                <w:kern w:val="0"/>
                <w:szCs w:val="21"/>
              </w:rPr>
              <w:t>项</w:t>
            </w:r>
            <w:r>
              <w:rPr>
                <w:rFonts w:hint="eastAsia" w:ascii="仿宋_GB2312" w:hAnsi="宋体" w:eastAsia="仿宋_GB2312" w:cs="宋体"/>
                <w:color w:val="000000"/>
                <w:kern w:val="0"/>
                <w:szCs w:val="21"/>
              </w:rPr>
              <w:t>目</w:t>
            </w:r>
            <w:r>
              <w:rPr>
                <w:rFonts w:hint="eastAsia" w:ascii="宋体" w:hAnsi="宋体" w:eastAsia="宋体" w:cs="宋体"/>
                <w:color w:val="000000"/>
                <w:kern w:val="0"/>
                <w:szCs w:val="21"/>
              </w:rPr>
              <w:t>资</w:t>
            </w:r>
            <w:r>
              <w:rPr>
                <w:rFonts w:hint="eastAsia" w:ascii="仿宋_GB2312" w:hAnsi="宋体" w:eastAsia="仿宋_GB2312" w:cs="宋体"/>
                <w:color w:val="000000"/>
                <w:kern w:val="0"/>
                <w:szCs w:val="21"/>
              </w:rPr>
              <w:t>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1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r>
              <w:rPr>
                <w:rFonts w:hint="eastAsia" w:ascii="宋体" w:hAnsi="宋体" w:eastAsia="宋体" w:cs="宋体"/>
                <w:color w:val="000000"/>
                <w:kern w:val="0"/>
                <w:szCs w:val="21"/>
              </w:rPr>
              <w:t>预</w:t>
            </w:r>
            <w:r>
              <w:rPr>
                <w:rFonts w:hint="eastAsia" w:ascii="仿宋_GB2312" w:hAnsi="宋体" w:eastAsia="仿宋_GB2312" w:cs="宋体"/>
                <w:color w:val="000000"/>
                <w:kern w:val="0"/>
                <w:szCs w:val="21"/>
              </w:rPr>
              <w:t>算</w:t>
            </w:r>
            <w:r>
              <w:rPr>
                <w:rFonts w:hint="eastAsia" w:ascii="宋体" w:hAnsi="宋体" w:eastAsia="宋体" w:cs="宋体"/>
                <w:color w:val="000000"/>
                <w:kern w:val="0"/>
                <w:szCs w:val="21"/>
              </w:rPr>
              <w:t>数</w:t>
            </w:r>
          </w:p>
        </w:tc>
        <w:tc>
          <w:tcPr>
            <w:tcW w:w="1551"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r>
              <w:rPr>
                <w:rFonts w:hint="eastAsia" w:ascii="宋体" w:hAnsi="宋体" w:eastAsia="宋体" w:cs="宋体"/>
                <w:color w:val="000000"/>
                <w:kern w:val="0"/>
                <w:szCs w:val="21"/>
              </w:rPr>
              <w:t>预</w:t>
            </w:r>
            <w:r>
              <w:rPr>
                <w:rFonts w:hint="eastAsia" w:ascii="仿宋_GB2312" w:hAnsi="宋体" w:eastAsia="仿宋_GB2312" w:cs="宋体"/>
                <w:color w:val="000000"/>
                <w:kern w:val="0"/>
                <w:szCs w:val="21"/>
              </w:rPr>
              <w:t>算</w:t>
            </w:r>
            <w:r>
              <w:rPr>
                <w:rFonts w:hint="eastAsia" w:ascii="宋体" w:hAnsi="宋体" w:eastAsia="宋体" w:cs="宋体"/>
                <w:color w:val="000000"/>
                <w:kern w:val="0"/>
                <w:szCs w:val="21"/>
              </w:rPr>
              <w:t>数</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gridAfter w:val="1"/>
          <w:wAfter w:w="111" w:type="dxa"/>
          <w:trHeight w:val="287"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71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p>
        </w:tc>
        <w:tc>
          <w:tcPr>
            <w:tcW w:w="1551"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253.692099</w:t>
            </w:r>
          </w:p>
        </w:tc>
        <w:tc>
          <w:tcPr>
            <w:tcW w:w="0" w:type="auto"/>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253.692099</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r>
      <w:tr>
        <w:tblPrEx>
          <w:tblCellMar>
            <w:top w:w="0" w:type="dxa"/>
            <w:left w:w="108" w:type="dxa"/>
            <w:bottom w:w="0" w:type="dxa"/>
            <w:right w:w="108" w:type="dxa"/>
          </w:tblCellMar>
        </w:tblPrEx>
        <w:trPr>
          <w:gridAfter w:val="1"/>
          <w:wAfter w:w="111" w:type="dxa"/>
          <w:trHeight w:val="280"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w:t>
            </w:r>
            <w:r>
              <w:rPr>
                <w:rFonts w:hint="eastAsia" w:ascii="宋体" w:hAnsi="宋体" w:eastAsia="宋体" w:cs="宋体"/>
                <w:color w:val="000000"/>
                <w:kern w:val="0"/>
                <w:szCs w:val="21"/>
              </w:rPr>
              <w:t>当</w:t>
            </w:r>
            <w:r>
              <w:rPr>
                <w:rFonts w:hint="eastAsia" w:ascii="仿宋_GB2312" w:hAnsi="宋体" w:eastAsia="仿宋_GB2312" w:cs="宋体"/>
                <w:color w:val="000000"/>
                <w:kern w:val="0"/>
                <w:szCs w:val="21"/>
              </w:rPr>
              <w:t>年</w:t>
            </w:r>
            <w:r>
              <w:rPr>
                <w:rFonts w:hint="eastAsia" w:ascii="宋体" w:hAnsi="宋体" w:eastAsia="宋体" w:cs="宋体"/>
                <w:color w:val="000000"/>
                <w:kern w:val="0"/>
                <w:szCs w:val="21"/>
              </w:rPr>
              <w:t>财</w:t>
            </w:r>
            <w:r>
              <w:rPr>
                <w:rFonts w:hint="eastAsia" w:ascii="仿宋_GB2312" w:hAnsi="宋体" w:eastAsia="仿宋_GB2312" w:cs="宋体"/>
                <w:color w:val="000000"/>
                <w:kern w:val="0"/>
                <w:szCs w:val="21"/>
              </w:rPr>
              <w:t>政拨款</w:t>
            </w:r>
          </w:p>
        </w:tc>
        <w:tc>
          <w:tcPr>
            <w:tcW w:w="71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   </w:t>
            </w:r>
          </w:p>
        </w:tc>
        <w:tc>
          <w:tcPr>
            <w:tcW w:w="1551"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253.692099</w:t>
            </w:r>
          </w:p>
        </w:tc>
        <w:tc>
          <w:tcPr>
            <w:tcW w:w="0" w:type="auto"/>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253.692099</w:t>
            </w:r>
          </w:p>
        </w:tc>
        <w:tc>
          <w:tcPr>
            <w:tcW w:w="0" w:type="auto"/>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0" w:type="auto"/>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gridAfter w:val="1"/>
          <w:wAfter w:w="111" w:type="dxa"/>
          <w:trHeight w:val="280"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71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p>
        </w:tc>
        <w:tc>
          <w:tcPr>
            <w:tcW w:w="1551"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color w:val="000000"/>
                <w:kern w:val="0"/>
                <w:szCs w:val="21"/>
              </w:rPr>
            </w:pPr>
          </w:p>
        </w:tc>
        <w:tc>
          <w:tcPr>
            <w:tcW w:w="0" w:type="auto"/>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color w:val="000000"/>
                <w:kern w:val="0"/>
                <w:szCs w:val="21"/>
              </w:rPr>
            </w:pP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0" w:type="auto"/>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gridAfter w:val="1"/>
          <w:wAfter w:w="111" w:type="dxa"/>
          <w:trHeight w:val="287" w:hRule="atLeast"/>
        </w:trPr>
        <w:tc>
          <w:tcPr>
            <w:tcW w:w="0" w:type="auto"/>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Cs w:val="21"/>
              </w:rPr>
            </w:pP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71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51"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0" w:type="auto"/>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gridAfter w:val="1"/>
          <w:wAfter w:w="111" w:type="dxa"/>
          <w:trHeight w:val="280" w:hRule="atLeast"/>
        </w:trPr>
        <w:tc>
          <w:tcPr>
            <w:tcW w:w="0" w:type="auto"/>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r>
              <w:rPr>
                <w:rFonts w:hint="eastAsia" w:ascii="宋体" w:hAnsi="宋体" w:eastAsia="宋体" w:cs="宋体"/>
                <w:color w:val="000000"/>
                <w:kern w:val="0"/>
                <w:szCs w:val="21"/>
              </w:rPr>
              <w:t>总</w:t>
            </w:r>
            <w:r>
              <w:rPr>
                <w:rFonts w:hint="eastAsia" w:ascii="仿宋_GB2312" w:hAnsi="宋体" w:eastAsia="仿宋_GB2312" w:cs="宋体"/>
                <w:color w:val="000000"/>
                <w:kern w:val="0"/>
                <w:szCs w:val="21"/>
              </w:rPr>
              <w:t>体目</w:t>
            </w:r>
            <w:r>
              <w:rPr>
                <w:rFonts w:hint="eastAsia" w:ascii="宋体" w:hAnsi="宋体" w:eastAsia="宋体" w:cs="宋体"/>
                <w:color w:val="000000"/>
                <w:kern w:val="0"/>
                <w:szCs w:val="21"/>
              </w:rPr>
              <w:t>标</w:t>
            </w:r>
          </w:p>
        </w:tc>
        <w:tc>
          <w:tcPr>
            <w:tcW w:w="0" w:type="auto"/>
            <w:gridSpan w:val="7"/>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0" w:type="auto"/>
            <w:gridSpan w:val="1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gridAfter w:val="1"/>
          <w:wAfter w:w="111" w:type="dxa"/>
          <w:trHeight w:val="16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gridSpan w:val="7"/>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完善学校消防设施，具备应有的消防联动报警功能，有效提高学校消防安全系数，实现对各个区域消防隐患的监测，维护学校和师生员工生命财产安全。</w:t>
            </w:r>
          </w:p>
        </w:tc>
        <w:tc>
          <w:tcPr>
            <w:tcW w:w="0" w:type="auto"/>
            <w:gridSpan w:val="12"/>
            <w:tcBorders>
              <w:top w:val="single" w:color="auto" w:sz="4" w:space="0"/>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实现对各个区域消防隐患的监测，一旦发生火情消防报警系统能及时将报警信号传输至值班室和消防控制中心，能够快速发现火情并迅速报警，同时启动紧急广播疏散系统，使建筑物内的人员快速疏散撤离</w:t>
            </w:r>
            <w:r>
              <w:rPr>
                <w:rFonts w:hint="eastAsia" w:ascii="仿宋_GB2312" w:hAnsi="宋体" w:eastAsia="仿宋_GB2312" w:cs="宋体"/>
                <w:color w:val="000000"/>
                <w:kern w:val="0"/>
                <w:szCs w:val="21"/>
                <w:lang w:eastAsia="zh-CN"/>
              </w:rPr>
              <w:t>。</w:t>
            </w:r>
          </w:p>
        </w:tc>
      </w:tr>
      <w:tr>
        <w:tblPrEx>
          <w:tblCellMar>
            <w:top w:w="0" w:type="dxa"/>
            <w:left w:w="108" w:type="dxa"/>
            <w:bottom w:w="0" w:type="dxa"/>
            <w:right w:w="108" w:type="dxa"/>
          </w:tblCellMar>
        </w:tblPrEx>
        <w:trPr>
          <w:gridAfter w:val="1"/>
          <w:wAfter w:w="111" w:type="dxa"/>
          <w:trHeight w:val="560" w:hRule="atLeast"/>
        </w:trPr>
        <w:tc>
          <w:tcPr>
            <w:tcW w:w="0" w:type="auto"/>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仿宋_GB2312" w:hAnsi="宋体" w:eastAsia="仿宋_GB2312" w:cs="宋体"/>
                <w:color w:val="000000"/>
                <w:kern w:val="0"/>
                <w:szCs w:val="21"/>
              </w:rPr>
            </w:pPr>
            <w:r>
              <w:rPr>
                <w:rFonts w:hint="eastAsia" w:ascii="宋体" w:hAnsi="宋体" w:eastAsia="宋体" w:cs="宋体"/>
                <w:color w:val="000000"/>
                <w:kern w:val="0"/>
                <w:szCs w:val="21"/>
              </w:rPr>
              <w:t>绩</w:t>
            </w:r>
            <w:r>
              <w:rPr>
                <w:rFonts w:hint="eastAsia" w:ascii="仿宋_GB2312" w:hAnsi="宋体" w:eastAsia="仿宋_GB2312" w:cs="宋体"/>
                <w:color w:val="000000"/>
                <w:kern w:val="0"/>
                <w:szCs w:val="21"/>
              </w:rPr>
              <w:t>效指</w:t>
            </w:r>
            <w:r>
              <w:rPr>
                <w:rFonts w:hint="eastAsia" w:ascii="宋体" w:hAnsi="宋体" w:eastAsia="宋体" w:cs="宋体"/>
                <w:color w:val="000000"/>
                <w:kern w:val="0"/>
                <w:szCs w:val="21"/>
              </w:rPr>
              <w:t>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0" w:type="auto"/>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0" w:type="auto"/>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0" w:type="auto"/>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0" w:type="auto"/>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宋体" w:hAnsi="宋体" w:eastAsia="宋体" w:cs="宋体"/>
                <w:color w:val="000000"/>
                <w:kern w:val="0"/>
                <w:szCs w:val="21"/>
              </w:rPr>
              <w:t>实际</w:t>
            </w:r>
            <w:r>
              <w:rPr>
                <w:rFonts w:hint="eastAsia" w:ascii="仿宋_GB2312" w:hAnsi="宋体" w:eastAsia="仿宋_GB2312" w:cs="宋体"/>
                <w:color w:val="000000"/>
                <w:kern w:val="0"/>
                <w:szCs w:val="21"/>
              </w:rPr>
              <w:t>完成值</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0" w:type="auto"/>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w:t>
            </w:r>
            <w:r>
              <w:rPr>
                <w:rFonts w:hint="eastAsia" w:ascii="宋体" w:hAnsi="宋体" w:eastAsia="宋体" w:cs="宋体"/>
                <w:color w:val="000000"/>
                <w:kern w:val="0"/>
                <w:szCs w:val="21"/>
              </w:rPr>
              <w:t>进</w:t>
            </w:r>
            <w:r>
              <w:rPr>
                <w:rFonts w:hint="eastAsia" w:ascii="仿宋_GB2312" w:hAnsi="宋体" w:eastAsia="仿宋_GB2312" w:cs="宋体"/>
                <w:color w:val="000000"/>
                <w:kern w:val="0"/>
                <w:szCs w:val="21"/>
              </w:rPr>
              <w:t>措施</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消防广播</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≥291个</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314个</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消火栓按钮</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≥164个</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164个</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联网主机</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≥2台</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2台</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气体灭火瓶组</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≥39套</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39套</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感温探测器</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≥20个</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58个</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手动报警按钮</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≥161个</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161个</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声光报警器</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≥161个</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161个</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控制模块</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≥59个</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59个</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隔离模块</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≥117个</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117个</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消防应急、疏散、安全出口灯</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≥2515套</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3065套</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驱动气体瓶组（高压二氧化碳）</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≥3套</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3套</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应急照明集中电源</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≥23台</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78台</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0.9</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前期预估不足，今后加强前期规划，制定符合实际的指标。</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火灾报警控制器</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≥3台</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3台</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感烟探测器</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≥1437个</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1437个</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应急照明控制器</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≥4台</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4台</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1387"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713"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验收合格率</w:t>
            </w:r>
          </w:p>
        </w:tc>
        <w:tc>
          <w:tcPr>
            <w:tcW w:w="126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126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2024年完成招标、项目实施及项目验收</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w:t>
            </w:r>
            <w:r>
              <w:rPr>
                <w:rFonts w:hint="eastAsia" w:ascii="仿宋_GB2312" w:hAnsi="宋体" w:eastAsia="仿宋_GB2312" w:cs="宋体"/>
                <w:color w:val="000000"/>
                <w:kern w:val="0"/>
                <w:szCs w:val="21"/>
                <w:lang w:val="en-US" w:eastAsia="zh-CN"/>
              </w:rPr>
              <w:t>4</w:t>
            </w:r>
            <w:r>
              <w:rPr>
                <w:rFonts w:hint="eastAsia" w:ascii="仿宋_GB2312" w:hAnsi="宋体" w:eastAsia="仿宋_GB2312" w:cs="宋体"/>
                <w:color w:val="000000"/>
                <w:kern w:val="0"/>
                <w:szCs w:val="21"/>
              </w:rPr>
              <w:t>年1-</w:t>
            </w:r>
            <w:r>
              <w:rPr>
                <w:rFonts w:hint="eastAsia" w:ascii="仿宋_GB2312" w:hAnsi="宋体" w:eastAsia="仿宋_GB2312" w:cs="宋体"/>
                <w:color w:val="000000"/>
                <w:kern w:val="0"/>
                <w:szCs w:val="21"/>
                <w:lang w:val="en-US" w:eastAsia="zh-CN"/>
              </w:rPr>
              <w:t>12</w:t>
            </w:r>
            <w:r>
              <w:rPr>
                <w:rFonts w:hint="eastAsia" w:ascii="仿宋_GB2312" w:hAnsi="宋体" w:eastAsia="仿宋_GB2312" w:cs="宋体"/>
                <w:color w:val="000000"/>
                <w:kern w:val="0"/>
                <w:szCs w:val="21"/>
              </w:rPr>
              <w:t>月</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按时完成</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经济成本指标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项目实施成本</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≤253.692099万元</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253.692099万</w:t>
            </w:r>
            <w:r>
              <w:rPr>
                <w:rFonts w:hint="eastAsia" w:ascii="仿宋_GB2312" w:hAnsi="宋体" w:eastAsia="仿宋_GB2312" w:cs="宋体"/>
                <w:color w:val="000000"/>
                <w:kern w:val="0"/>
                <w:szCs w:val="21"/>
                <w:lang w:val="en-US" w:eastAsia="zh-CN"/>
              </w:rPr>
              <w:t>元</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涉及师生人次</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≥3500人次</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本次所有改造楼宇，能满足不低于师生3500人次，改善提高消防安全环境。</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选用节能环保材料及设备，达到绿色环保及相关节能减排目的</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良</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良</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室内改造工程正常使用</w:t>
            </w:r>
            <w:r>
              <w:rPr>
                <w:rFonts w:hint="eastAsia" w:ascii="仿宋_GB2312" w:hAnsi="宋体" w:eastAsia="仿宋_GB2312" w:cs="宋体"/>
                <w:color w:val="000000"/>
                <w:kern w:val="0"/>
                <w:szCs w:val="21"/>
                <w:lang w:val="en-US" w:eastAsia="zh-CN"/>
              </w:rPr>
              <w:t>年限</w:t>
            </w:r>
            <w:bookmarkStart w:id="0" w:name="_GoBack"/>
            <w:bookmarkEnd w:id="0"/>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＞5年</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本次工程改造后能确保5年正常使用</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4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宋体" w:hAnsi="宋体" w:eastAsia="宋体" w:cs="宋体"/>
                <w:color w:val="000000"/>
                <w:kern w:val="0"/>
                <w:szCs w:val="21"/>
              </w:rPr>
              <w:t>满</w:t>
            </w:r>
            <w:r>
              <w:rPr>
                <w:rFonts w:hint="eastAsia" w:ascii="仿宋_GB2312" w:hAnsi="宋体" w:eastAsia="仿宋_GB2312" w:cs="宋体"/>
                <w:color w:val="000000"/>
                <w:kern w:val="0"/>
                <w:szCs w:val="21"/>
              </w:rPr>
              <w:t>意度指标</w:t>
            </w:r>
          </w:p>
        </w:tc>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w:t>
            </w:r>
            <w:r>
              <w:rPr>
                <w:rFonts w:hint="eastAsia" w:ascii="宋体" w:hAnsi="宋体" w:eastAsia="宋体" w:cs="宋体"/>
                <w:color w:val="000000"/>
                <w:kern w:val="0"/>
                <w:szCs w:val="21"/>
              </w:rPr>
              <w:t>务对</w:t>
            </w:r>
            <w:r>
              <w:rPr>
                <w:rFonts w:hint="eastAsia" w:ascii="仿宋_GB2312" w:hAnsi="宋体" w:eastAsia="仿宋_GB2312" w:cs="宋体"/>
                <w:color w:val="000000"/>
                <w:kern w:val="0"/>
                <w:szCs w:val="21"/>
              </w:rPr>
              <w:t>象</w:t>
            </w:r>
            <w:r>
              <w:rPr>
                <w:rFonts w:hint="eastAsia" w:ascii="宋体" w:hAnsi="宋体" w:eastAsia="宋体" w:cs="宋体"/>
                <w:color w:val="000000"/>
                <w:kern w:val="0"/>
                <w:szCs w:val="21"/>
              </w:rPr>
              <w:t>满</w:t>
            </w:r>
            <w:r>
              <w:rPr>
                <w:rFonts w:hint="eastAsia" w:ascii="仿宋_GB2312" w:hAnsi="宋体" w:eastAsia="仿宋_GB2312" w:cs="宋体"/>
                <w:color w:val="000000"/>
                <w:kern w:val="0"/>
                <w:szCs w:val="21"/>
              </w:rPr>
              <w:t>意度指标</w:t>
            </w:r>
          </w:p>
        </w:tc>
        <w:tc>
          <w:tcPr>
            <w:tcW w:w="0" w:type="auto"/>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用户满意度</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0" w:type="auto"/>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gridAfter w:val="1"/>
          <w:wAfter w:w="111" w:type="dxa"/>
          <w:trHeight w:val="287" w:hRule="atLeast"/>
        </w:trPr>
        <w:tc>
          <w:tcPr>
            <w:tcW w:w="0" w:type="auto"/>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总分</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100</w:t>
            </w:r>
          </w:p>
        </w:tc>
        <w:tc>
          <w:tcPr>
            <w:tcW w:w="0" w:type="auto"/>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97.90</w:t>
            </w:r>
          </w:p>
        </w:tc>
        <w:tc>
          <w:tcPr>
            <w:tcW w:w="0" w:type="auto"/>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4ODI2MGQ0NjYwZDc5NmFlNWMyZjY4YjU0Y2Q4NzMifQ=="/>
  </w:docVars>
  <w:rsids>
    <w:rsidRoot w:val="009D4842"/>
    <w:rsid w:val="00004A40"/>
    <w:rsid w:val="000375D2"/>
    <w:rsid w:val="00062DC8"/>
    <w:rsid w:val="00096402"/>
    <w:rsid w:val="000B38AD"/>
    <w:rsid w:val="000B4A07"/>
    <w:rsid w:val="000D6520"/>
    <w:rsid w:val="000E510D"/>
    <w:rsid w:val="000F5228"/>
    <w:rsid w:val="001131E9"/>
    <w:rsid w:val="0014220A"/>
    <w:rsid w:val="0014719F"/>
    <w:rsid w:val="001A1AEB"/>
    <w:rsid w:val="001A7134"/>
    <w:rsid w:val="001F4339"/>
    <w:rsid w:val="00200CBC"/>
    <w:rsid w:val="002413EC"/>
    <w:rsid w:val="00291DFB"/>
    <w:rsid w:val="002C08C0"/>
    <w:rsid w:val="002C617F"/>
    <w:rsid w:val="002D1859"/>
    <w:rsid w:val="002E0382"/>
    <w:rsid w:val="002F35BB"/>
    <w:rsid w:val="0032269A"/>
    <w:rsid w:val="00327220"/>
    <w:rsid w:val="003302C1"/>
    <w:rsid w:val="003314AC"/>
    <w:rsid w:val="00340337"/>
    <w:rsid w:val="00344C86"/>
    <w:rsid w:val="003779AD"/>
    <w:rsid w:val="003A7FFA"/>
    <w:rsid w:val="003B5925"/>
    <w:rsid w:val="003B6ACC"/>
    <w:rsid w:val="003D4B57"/>
    <w:rsid w:val="00417688"/>
    <w:rsid w:val="00461263"/>
    <w:rsid w:val="004719B1"/>
    <w:rsid w:val="004A3B9D"/>
    <w:rsid w:val="004A6606"/>
    <w:rsid w:val="004D5A3B"/>
    <w:rsid w:val="004F1FB9"/>
    <w:rsid w:val="004F6DC9"/>
    <w:rsid w:val="005006EC"/>
    <w:rsid w:val="00523BF4"/>
    <w:rsid w:val="00530881"/>
    <w:rsid w:val="005435FE"/>
    <w:rsid w:val="00547A21"/>
    <w:rsid w:val="005504AB"/>
    <w:rsid w:val="005525C0"/>
    <w:rsid w:val="00561ABB"/>
    <w:rsid w:val="00567D02"/>
    <w:rsid w:val="00580B84"/>
    <w:rsid w:val="005A034F"/>
    <w:rsid w:val="005B4E91"/>
    <w:rsid w:val="00637A4D"/>
    <w:rsid w:val="00641218"/>
    <w:rsid w:val="006543A0"/>
    <w:rsid w:val="00660489"/>
    <w:rsid w:val="006A2850"/>
    <w:rsid w:val="006A711E"/>
    <w:rsid w:val="006B46D0"/>
    <w:rsid w:val="006E69ED"/>
    <w:rsid w:val="006F3BF2"/>
    <w:rsid w:val="0073202C"/>
    <w:rsid w:val="00741BAC"/>
    <w:rsid w:val="00757410"/>
    <w:rsid w:val="007758D9"/>
    <w:rsid w:val="00792074"/>
    <w:rsid w:val="007A6814"/>
    <w:rsid w:val="007B40AE"/>
    <w:rsid w:val="007D524C"/>
    <w:rsid w:val="0080293E"/>
    <w:rsid w:val="00802FAF"/>
    <w:rsid w:val="0082548D"/>
    <w:rsid w:val="0089074F"/>
    <w:rsid w:val="00895E23"/>
    <w:rsid w:val="008A0A74"/>
    <w:rsid w:val="008D57B7"/>
    <w:rsid w:val="008E1DC7"/>
    <w:rsid w:val="008E31A2"/>
    <w:rsid w:val="008F1510"/>
    <w:rsid w:val="008F3D8C"/>
    <w:rsid w:val="009237AC"/>
    <w:rsid w:val="00966305"/>
    <w:rsid w:val="009C12CB"/>
    <w:rsid w:val="009D4842"/>
    <w:rsid w:val="00A42B6E"/>
    <w:rsid w:val="00AB26AF"/>
    <w:rsid w:val="00AC207D"/>
    <w:rsid w:val="00AE1652"/>
    <w:rsid w:val="00B111AA"/>
    <w:rsid w:val="00B12D2D"/>
    <w:rsid w:val="00B30302"/>
    <w:rsid w:val="00B31424"/>
    <w:rsid w:val="00B35D4F"/>
    <w:rsid w:val="00B44813"/>
    <w:rsid w:val="00B911C8"/>
    <w:rsid w:val="00BB18BC"/>
    <w:rsid w:val="00BE0796"/>
    <w:rsid w:val="00C0410D"/>
    <w:rsid w:val="00C0789E"/>
    <w:rsid w:val="00C23654"/>
    <w:rsid w:val="00C30F1C"/>
    <w:rsid w:val="00C50AE3"/>
    <w:rsid w:val="00C667DE"/>
    <w:rsid w:val="00C913D3"/>
    <w:rsid w:val="00C92F41"/>
    <w:rsid w:val="00CF130B"/>
    <w:rsid w:val="00D00872"/>
    <w:rsid w:val="00D00C01"/>
    <w:rsid w:val="00D22B3D"/>
    <w:rsid w:val="00D2631F"/>
    <w:rsid w:val="00D35A3B"/>
    <w:rsid w:val="00D600CF"/>
    <w:rsid w:val="00D70BD2"/>
    <w:rsid w:val="00D752CC"/>
    <w:rsid w:val="00D818AC"/>
    <w:rsid w:val="00D859BB"/>
    <w:rsid w:val="00D922D5"/>
    <w:rsid w:val="00D94E2D"/>
    <w:rsid w:val="00DC06B6"/>
    <w:rsid w:val="00DC6B8B"/>
    <w:rsid w:val="00DE6158"/>
    <w:rsid w:val="00DF46FE"/>
    <w:rsid w:val="00E34F9D"/>
    <w:rsid w:val="00E358B7"/>
    <w:rsid w:val="00E36CBE"/>
    <w:rsid w:val="00E50E78"/>
    <w:rsid w:val="00E52EBD"/>
    <w:rsid w:val="00E6166C"/>
    <w:rsid w:val="00E7715D"/>
    <w:rsid w:val="00E839E5"/>
    <w:rsid w:val="00E94BA6"/>
    <w:rsid w:val="00EC0719"/>
    <w:rsid w:val="00ED1C5F"/>
    <w:rsid w:val="00EE09B3"/>
    <w:rsid w:val="00EF30BD"/>
    <w:rsid w:val="00F46078"/>
    <w:rsid w:val="00F57CBE"/>
    <w:rsid w:val="00F866AF"/>
    <w:rsid w:val="00FA1ED0"/>
    <w:rsid w:val="00FA584B"/>
    <w:rsid w:val="00FC7497"/>
    <w:rsid w:val="00FE2D1B"/>
    <w:rsid w:val="00FE6453"/>
    <w:rsid w:val="00FE69BF"/>
    <w:rsid w:val="0CA43CE5"/>
    <w:rsid w:val="0FCF68E2"/>
    <w:rsid w:val="2F1C7453"/>
    <w:rsid w:val="3D6827F7"/>
    <w:rsid w:val="482567DB"/>
    <w:rsid w:val="5BBB1A7E"/>
    <w:rsid w:val="61F52CB0"/>
    <w:rsid w:val="64177337"/>
    <w:rsid w:val="6565643D"/>
    <w:rsid w:val="72F40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859</Words>
  <Characters>998</Characters>
  <Lines>249</Lines>
  <Paragraphs>265</Paragraphs>
  <TotalTime>0</TotalTime>
  <ScaleCrop>false</ScaleCrop>
  <LinksUpToDate>false</LinksUpToDate>
  <CharactersWithSpaces>1592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2024-04-24T05:56:00Z</dcterms:created>
  <dc:creator>雪 韩</dc:creator>
  <cp:lastModifiedBy>6414</cp:lastModifiedBy>
  <dcterms:modified xsi:type="dcterms:W3CDTF">2025-08-24T10:17:21Z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eyJoZGlkIjoiOGIzMTcwOGNkMmI4ZWZjZTQxZjkyMmY5NGVkYzIxNDAiLCJ1c2VySWQiOiIzMjk5ODMyMjIifQ==</vt:lpwstr>
  </property>
  <property fmtid="{D5CDD505-2E9C-101B-9397-08002B2CF9AE}" pid="3" name="KSOProductBuildVer">
    <vt:lpwstr>2052-12.1.0.16388</vt:lpwstr>
  </property>
  <property fmtid="{D5CDD505-2E9C-101B-9397-08002B2CF9AE}" pid="4" name="ICV">
    <vt:lpwstr>D60072A142834DA89A1EFB03D8767E2F_12</vt:lpwstr>
  </property>
</Properties>
</file>