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4968A" w14:textId="77777777" w:rsidR="00024B67" w:rsidRDefault="00024B67">
      <w:pPr>
        <w:spacing w:line="480" w:lineRule="exact"/>
        <w:jc w:val="center"/>
        <w:rPr>
          <w:rFonts w:ascii="方正小标宋简体" w:eastAsia="方正小标宋简体" w:hAnsi="黑体" w:cs="Times New Roman" w:hint="eastAsia"/>
          <w:sz w:val="36"/>
          <w:szCs w:val="36"/>
        </w:rPr>
      </w:pPr>
    </w:p>
    <w:p w14:paraId="7E13086B" w14:textId="77777777" w:rsidR="00024B67" w:rsidRDefault="00000000">
      <w:pPr>
        <w:spacing w:line="480" w:lineRule="exact"/>
        <w:jc w:val="center"/>
        <w:rPr>
          <w:rFonts w:ascii="方正小标宋简体" w:eastAsia="方正小标宋简体" w:hAnsi="黑体" w:cs="Times New Roman" w:hint="eastAsia"/>
          <w:sz w:val="36"/>
          <w:szCs w:val="36"/>
        </w:rPr>
      </w:pPr>
      <w:r>
        <w:rPr>
          <w:rFonts w:ascii="方正小标宋简体" w:eastAsia="方正小标宋简体" w:hAnsi="黑体" w:cs="Times New Roman" w:hint="eastAsia"/>
          <w:sz w:val="36"/>
          <w:szCs w:val="36"/>
        </w:rPr>
        <w:t>项目支出绩效自评表</w:t>
      </w:r>
    </w:p>
    <w:p w14:paraId="271E6E4B" w14:textId="77777777" w:rsidR="00024B67" w:rsidRDefault="00000000">
      <w:pPr>
        <w:spacing w:line="480" w:lineRule="exact"/>
        <w:jc w:val="center"/>
        <w:rPr>
          <w:rFonts w:ascii="仿宋_GB2312" w:eastAsia="仿宋_GB2312" w:hAnsi="宋体" w:cs="Times New Roman" w:hint="eastAsia"/>
          <w:sz w:val="28"/>
          <w:szCs w:val="28"/>
        </w:rPr>
      </w:pPr>
      <w:r>
        <w:rPr>
          <w:rFonts w:ascii="仿宋_GB2312" w:eastAsia="仿宋_GB2312" w:hAnsi="宋体" w:cs="Times New Roman" w:hint="eastAsia"/>
          <w:sz w:val="28"/>
          <w:szCs w:val="28"/>
        </w:rPr>
        <w:t>（2024预算年度）</w:t>
      </w:r>
    </w:p>
    <w:p w14:paraId="1AE23EDF" w14:textId="77777777" w:rsidR="00024B67" w:rsidRDefault="00024B67">
      <w:pPr>
        <w:spacing w:line="480" w:lineRule="exact"/>
        <w:jc w:val="center"/>
        <w:rPr>
          <w:rFonts w:ascii="仿宋_GB2312" w:eastAsia="仿宋_GB2312" w:hAnsi="宋体" w:cs="Times New Roman" w:hint="eastAsia"/>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633"/>
        <w:gridCol w:w="904"/>
        <w:gridCol w:w="687"/>
        <w:gridCol w:w="1363"/>
        <w:gridCol w:w="197"/>
        <w:gridCol w:w="1176"/>
        <w:gridCol w:w="1176"/>
        <w:gridCol w:w="228"/>
        <w:gridCol w:w="308"/>
        <w:gridCol w:w="424"/>
        <w:gridCol w:w="323"/>
        <w:gridCol w:w="1048"/>
        <w:gridCol w:w="637"/>
      </w:tblGrid>
      <w:tr w:rsidR="00024B67" w14:paraId="03DF9E60" w14:textId="77777777" w:rsidTr="006E7F79">
        <w:trPr>
          <w:trHeight w:val="280"/>
        </w:trPr>
        <w:tc>
          <w:tcPr>
            <w:tcW w:w="650" w:type="pct"/>
            <w:gridSpan w:val="2"/>
            <w:vAlign w:val="center"/>
          </w:tcPr>
          <w:p w14:paraId="47F21B3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项目名称</w:t>
            </w:r>
          </w:p>
        </w:tc>
        <w:tc>
          <w:tcPr>
            <w:tcW w:w="4350" w:type="pct"/>
            <w:gridSpan w:val="12"/>
            <w:vAlign w:val="center"/>
          </w:tcPr>
          <w:p w14:paraId="42837E36"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市属高校分类发展-面向新时代首都发展的经管拔尖创新人才培养平台建设</w:t>
            </w:r>
          </w:p>
        </w:tc>
      </w:tr>
      <w:tr w:rsidR="00024B67" w14:paraId="2D81AC67" w14:textId="77777777" w:rsidTr="006E7F79">
        <w:trPr>
          <w:trHeight w:val="280"/>
        </w:trPr>
        <w:tc>
          <w:tcPr>
            <w:tcW w:w="650" w:type="pct"/>
            <w:gridSpan w:val="2"/>
            <w:vAlign w:val="center"/>
          </w:tcPr>
          <w:p w14:paraId="4C7A6E3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主管部门</w:t>
            </w:r>
          </w:p>
        </w:tc>
        <w:tc>
          <w:tcPr>
            <w:tcW w:w="2222" w:type="pct"/>
            <w:gridSpan w:val="5"/>
            <w:vAlign w:val="center"/>
          </w:tcPr>
          <w:p w14:paraId="6A6D541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北京市教育委员会</w:t>
            </w:r>
          </w:p>
        </w:tc>
        <w:tc>
          <w:tcPr>
            <w:tcW w:w="721" w:type="pct"/>
            <w:gridSpan w:val="2"/>
            <w:vAlign w:val="center"/>
          </w:tcPr>
          <w:p w14:paraId="7954840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实施单位</w:t>
            </w:r>
          </w:p>
        </w:tc>
        <w:tc>
          <w:tcPr>
            <w:tcW w:w="1407" w:type="pct"/>
            <w:gridSpan w:val="5"/>
            <w:vAlign w:val="center"/>
          </w:tcPr>
          <w:p w14:paraId="3A982F84"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首都经济贸易大学</w:t>
            </w:r>
          </w:p>
        </w:tc>
      </w:tr>
      <w:tr w:rsidR="00024B67" w14:paraId="5CC44042" w14:textId="77777777" w:rsidTr="006E7F79">
        <w:trPr>
          <w:trHeight w:val="280"/>
        </w:trPr>
        <w:tc>
          <w:tcPr>
            <w:tcW w:w="650" w:type="pct"/>
            <w:gridSpan w:val="2"/>
            <w:vMerge w:val="restart"/>
            <w:vAlign w:val="center"/>
          </w:tcPr>
          <w:p w14:paraId="26D2C04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项目资金</w:t>
            </w:r>
            <w:r>
              <w:rPr>
                <w:rFonts w:ascii="仿宋_GB2312" w:eastAsia="仿宋_GB2312" w:hAnsi="宋体" w:cs="宋体" w:hint="eastAsia"/>
                <w:color w:val="000000"/>
                <w:kern w:val="0"/>
                <w:szCs w:val="21"/>
              </w:rPr>
              <w:br/>
              <w:t>（万元）</w:t>
            </w:r>
          </w:p>
        </w:tc>
        <w:tc>
          <w:tcPr>
            <w:tcW w:w="817" w:type="pct"/>
            <w:gridSpan w:val="2"/>
            <w:vAlign w:val="center"/>
          </w:tcPr>
          <w:p w14:paraId="082739D1"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700" w:type="pct"/>
            <w:vAlign w:val="center"/>
          </w:tcPr>
          <w:p w14:paraId="32F130C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年初预算数</w:t>
            </w:r>
          </w:p>
        </w:tc>
        <w:tc>
          <w:tcPr>
            <w:tcW w:w="705" w:type="pct"/>
            <w:gridSpan w:val="2"/>
            <w:vAlign w:val="center"/>
          </w:tcPr>
          <w:p w14:paraId="174900D5"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全年预算数</w:t>
            </w:r>
          </w:p>
        </w:tc>
        <w:tc>
          <w:tcPr>
            <w:tcW w:w="721" w:type="pct"/>
            <w:gridSpan w:val="2"/>
            <w:vAlign w:val="center"/>
          </w:tcPr>
          <w:p w14:paraId="4A7910D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全年执行数</w:t>
            </w:r>
          </w:p>
        </w:tc>
        <w:tc>
          <w:tcPr>
            <w:tcW w:w="376" w:type="pct"/>
            <w:gridSpan w:val="2"/>
            <w:vAlign w:val="center"/>
          </w:tcPr>
          <w:p w14:paraId="594851F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分值</w:t>
            </w:r>
          </w:p>
        </w:tc>
        <w:tc>
          <w:tcPr>
            <w:tcW w:w="704" w:type="pct"/>
            <w:gridSpan w:val="2"/>
            <w:vAlign w:val="center"/>
          </w:tcPr>
          <w:p w14:paraId="1266A32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执行率</w:t>
            </w:r>
          </w:p>
        </w:tc>
        <w:tc>
          <w:tcPr>
            <w:tcW w:w="327" w:type="pct"/>
            <w:vAlign w:val="center"/>
          </w:tcPr>
          <w:p w14:paraId="23D4E626"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得分</w:t>
            </w:r>
          </w:p>
        </w:tc>
      </w:tr>
      <w:tr w:rsidR="00024B67" w14:paraId="0DFC4F5A" w14:textId="77777777" w:rsidTr="006E7F79">
        <w:trPr>
          <w:trHeight w:val="280"/>
        </w:trPr>
        <w:tc>
          <w:tcPr>
            <w:tcW w:w="650" w:type="pct"/>
            <w:gridSpan w:val="2"/>
            <w:vMerge/>
            <w:vAlign w:val="center"/>
          </w:tcPr>
          <w:p w14:paraId="5E839B9B" w14:textId="77777777" w:rsidR="00024B67" w:rsidRDefault="00024B67">
            <w:pPr>
              <w:widowControl/>
              <w:jc w:val="center"/>
              <w:rPr>
                <w:rFonts w:ascii="仿宋_GB2312" w:eastAsia="仿宋_GB2312" w:hAnsi="宋体" w:cs="宋体" w:hint="eastAsia"/>
                <w:color w:val="000000"/>
                <w:kern w:val="0"/>
                <w:szCs w:val="21"/>
              </w:rPr>
            </w:pPr>
          </w:p>
        </w:tc>
        <w:tc>
          <w:tcPr>
            <w:tcW w:w="817" w:type="pct"/>
            <w:gridSpan w:val="2"/>
            <w:vAlign w:val="center"/>
          </w:tcPr>
          <w:p w14:paraId="04EDF64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年度资金总额</w:t>
            </w:r>
          </w:p>
        </w:tc>
        <w:tc>
          <w:tcPr>
            <w:tcW w:w="700" w:type="pct"/>
            <w:vAlign w:val="center"/>
          </w:tcPr>
          <w:p w14:paraId="0145FC7C"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900.000000</w:t>
            </w:r>
          </w:p>
        </w:tc>
        <w:tc>
          <w:tcPr>
            <w:tcW w:w="705" w:type="pct"/>
            <w:gridSpan w:val="2"/>
            <w:vAlign w:val="center"/>
          </w:tcPr>
          <w:p w14:paraId="4CB22BB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900.000000</w:t>
            </w:r>
          </w:p>
        </w:tc>
        <w:tc>
          <w:tcPr>
            <w:tcW w:w="721" w:type="pct"/>
            <w:gridSpan w:val="2"/>
            <w:vAlign w:val="center"/>
          </w:tcPr>
          <w:p w14:paraId="4A09F97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838.188156</w:t>
            </w:r>
          </w:p>
        </w:tc>
        <w:tc>
          <w:tcPr>
            <w:tcW w:w="376" w:type="pct"/>
            <w:gridSpan w:val="2"/>
            <w:vAlign w:val="center"/>
          </w:tcPr>
          <w:p w14:paraId="316F4171"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704" w:type="pct"/>
            <w:gridSpan w:val="2"/>
            <w:vAlign w:val="center"/>
          </w:tcPr>
          <w:p w14:paraId="0B23A5CC"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93.13%</w:t>
            </w:r>
          </w:p>
        </w:tc>
        <w:tc>
          <w:tcPr>
            <w:tcW w:w="327" w:type="pct"/>
            <w:vAlign w:val="center"/>
          </w:tcPr>
          <w:p w14:paraId="5B9DE1A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9.31</w:t>
            </w:r>
          </w:p>
        </w:tc>
      </w:tr>
      <w:tr w:rsidR="00024B67" w14:paraId="67634BDE" w14:textId="77777777" w:rsidTr="006E7F79">
        <w:trPr>
          <w:trHeight w:val="280"/>
        </w:trPr>
        <w:tc>
          <w:tcPr>
            <w:tcW w:w="650" w:type="pct"/>
            <w:gridSpan w:val="2"/>
            <w:vMerge/>
            <w:vAlign w:val="center"/>
          </w:tcPr>
          <w:p w14:paraId="41750441" w14:textId="77777777" w:rsidR="00024B67" w:rsidRDefault="00024B67">
            <w:pPr>
              <w:widowControl/>
              <w:jc w:val="center"/>
              <w:rPr>
                <w:rFonts w:ascii="仿宋_GB2312" w:eastAsia="仿宋_GB2312" w:hAnsi="宋体" w:cs="宋体" w:hint="eastAsia"/>
                <w:color w:val="000000"/>
                <w:kern w:val="0"/>
                <w:szCs w:val="21"/>
              </w:rPr>
            </w:pPr>
          </w:p>
        </w:tc>
        <w:tc>
          <w:tcPr>
            <w:tcW w:w="817" w:type="pct"/>
            <w:gridSpan w:val="2"/>
            <w:vAlign w:val="center"/>
          </w:tcPr>
          <w:p w14:paraId="1E5CF074"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其中：当年财政拨款</w:t>
            </w:r>
          </w:p>
        </w:tc>
        <w:tc>
          <w:tcPr>
            <w:tcW w:w="700" w:type="pct"/>
            <w:vAlign w:val="center"/>
          </w:tcPr>
          <w:p w14:paraId="1AE83BD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900.000000</w:t>
            </w:r>
          </w:p>
        </w:tc>
        <w:tc>
          <w:tcPr>
            <w:tcW w:w="705" w:type="pct"/>
            <w:gridSpan w:val="2"/>
            <w:vAlign w:val="center"/>
          </w:tcPr>
          <w:p w14:paraId="0E1419E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900.000000</w:t>
            </w:r>
          </w:p>
        </w:tc>
        <w:tc>
          <w:tcPr>
            <w:tcW w:w="721" w:type="pct"/>
            <w:gridSpan w:val="2"/>
            <w:vAlign w:val="center"/>
          </w:tcPr>
          <w:p w14:paraId="6C7EC8C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838.188156</w:t>
            </w:r>
          </w:p>
        </w:tc>
        <w:tc>
          <w:tcPr>
            <w:tcW w:w="376" w:type="pct"/>
            <w:gridSpan w:val="2"/>
            <w:vAlign w:val="center"/>
          </w:tcPr>
          <w:p w14:paraId="593521F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w:t>
            </w:r>
          </w:p>
        </w:tc>
        <w:tc>
          <w:tcPr>
            <w:tcW w:w="704" w:type="pct"/>
            <w:gridSpan w:val="2"/>
            <w:vAlign w:val="center"/>
          </w:tcPr>
          <w:p w14:paraId="29FE992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93.13%</w:t>
            </w:r>
          </w:p>
        </w:tc>
        <w:tc>
          <w:tcPr>
            <w:tcW w:w="327" w:type="pct"/>
            <w:vAlign w:val="center"/>
          </w:tcPr>
          <w:p w14:paraId="0C862FE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w:t>
            </w:r>
          </w:p>
        </w:tc>
      </w:tr>
      <w:tr w:rsidR="00024B67" w14:paraId="142F6D29" w14:textId="77777777" w:rsidTr="006E7F79">
        <w:trPr>
          <w:trHeight w:val="280"/>
        </w:trPr>
        <w:tc>
          <w:tcPr>
            <w:tcW w:w="650" w:type="pct"/>
            <w:gridSpan w:val="2"/>
            <w:vMerge/>
            <w:vAlign w:val="center"/>
          </w:tcPr>
          <w:p w14:paraId="60D07016" w14:textId="77777777" w:rsidR="00024B67" w:rsidRDefault="00024B67">
            <w:pPr>
              <w:widowControl/>
              <w:jc w:val="center"/>
              <w:rPr>
                <w:rFonts w:ascii="仿宋_GB2312" w:eastAsia="仿宋_GB2312" w:hAnsi="宋体" w:cs="宋体" w:hint="eastAsia"/>
                <w:color w:val="000000"/>
                <w:kern w:val="0"/>
                <w:szCs w:val="21"/>
              </w:rPr>
            </w:pPr>
          </w:p>
        </w:tc>
        <w:tc>
          <w:tcPr>
            <w:tcW w:w="817" w:type="pct"/>
            <w:gridSpan w:val="2"/>
            <w:vAlign w:val="center"/>
          </w:tcPr>
          <w:p w14:paraId="26A2F0D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上年结转资金</w:t>
            </w:r>
          </w:p>
        </w:tc>
        <w:tc>
          <w:tcPr>
            <w:tcW w:w="700" w:type="pct"/>
            <w:vAlign w:val="center"/>
          </w:tcPr>
          <w:p w14:paraId="0F1FEB5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705" w:type="pct"/>
            <w:gridSpan w:val="2"/>
            <w:vAlign w:val="center"/>
          </w:tcPr>
          <w:p w14:paraId="70AA35F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721" w:type="pct"/>
            <w:gridSpan w:val="2"/>
            <w:vAlign w:val="center"/>
          </w:tcPr>
          <w:p w14:paraId="74394E9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376" w:type="pct"/>
            <w:gridSpan w:val="2"/>
            <w:vAlign w:val="center"/>
          </w:tcPr>
          <w:p w14:paraId="72ACF4F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w:t>
            </w:r>
          </w:p>
        </w:tc>
        <w:tc>
          <w:tcPr>
            <w:tcW w:w="704" w:type="pct"/>
            <w:gridSpan w:val="2"/>
            <w:vAlign w:val="center"/>
          </w:tcPr>
          <w:p w14:paraId="38EE15C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327" w:type="pct"/>
            <w:vAlign w:val="center"/>
          </w:tcPr>
          <w:p w14:paraId="56DF250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w:t>
            </w:r>
          </w:p>
        </w:tc>
      </w:tr>
      <w:tr w:rsidR="00024B67" w14:paraId="6D2ECAD5" w14:textId="77777777" w:rsidTr="006E7F79">
        <w:trPr>
          <w:trHeight w:val="280"/>
        </w:trPr>
        <w:tc>
          <w:tcPr>
            <w:tcW w:w="650" w:type="pct"/>
            <w:gridSpan w:val="2"/>
            <w:vMerge/>
            <w:vAlign w:val="center"/>
          </w:tcPr>
          <w:p w14:paraId="508FAFBC" w14:textId="77777777" w:rsidR="00024B67" w:rsidRDefault="00024B67">
            <w:pPr>
              <w:widowControl/>
              <w:jc w:val="center"/>
              <w:rPr>
                <w:rFonts w:ascii="仿宋_GB2312" w:eastAsia="仿宋_GB2312" w:hAnsi="宋体" w:cs="宋体" w:hint="eastAsia"/>
                <w:color w:val="000000"/>
                <w:kern w:val="0"/>
                <w:szCs w:val="21"/>
              </w:rPr>
            </w:pPr>
          </w:p>
        </w:tc>
        <w:tc>
          <w:tcPr>
            <w:tcW w:w="817" w:type="pct"/>
            <w:gridSpan w:val="2"/>
            <w:vAlign w:val="center"/>
          </w:tcPr>
          <w:p w14:paraId="08F7DFF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其他资金</w:t>
            </w:r>
          </w:p>
        </w:tc>
        <w:tc>
          <w:tcPr>
            <w:tcW w:w="700" w:type="pct"/>
            <w:vAlign w:val="center"/>
          </w:tcPr>
          <w:p w14:paraId="64765F6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705" w:type="pct"/>
            <w:gridSpan w:val="2"/>
            <w:vAlign w:val="center"/>
          </w:tcPr>
          <w:p w14:paraId="7A0013D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721" w:type="pct"/>
            <w:gridSpan w:val="2"/>
            <w:vAlign w:val="center"/>
          </w:tcPr>
          <w:p w14:paraId="50D8ECA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376" w:type="pct"/>
            <w:gridSpan w:val="2"/>
            <w:vAlign w:val="center"/>
          </w:tcPr>
          <w:p w14:paraId="0D164B4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w:t>
            </w:r>
          </w:p>
        </w:tc>
        <w:tc>
          <w:tcPr>
            <w:tcW w:w="704" w:type="pct"/>
            <w:gridSpan w:val="2"/>
            <w:vAlign w:val="center"/>
          </w:tcPr>
          <w:p w14:paraId="6BB7D03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c>
          <w:tcPr>
            <w:tcW w:w="327" w:type="pct"/>
            <w:vAlign w:val="center"/>
          </w:tcPr>
          <w:p w14:paraId="2E3669C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w:t>
            </w:r>
          </w:p>
        </w:tc>
      </w:tr>
      <w:tr w:rsidR="00024B67" w14:paraId="74079C1E" w14:textId="77777777" w:rsidTr="006E7F79">
        <w:trPr>
          <w:trHeight w:val="280"/>
        </w:trPr>
        <w:tc>
          <w:tcPr>
            <w:tcW w:w="325" w:type="pct"/>
            <w:vMerge w:val="restart"/>
            <w:textDirection w:val="tbRlV"/>
            <w:vAlign w:val="center"/>
          </w:tcPr>
          <w:p w14:paraId="1C38D36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年度总体目标</w:t>
            </w:r>
          </w:p>
        </w:tc>
        <w:tc>
          <w:tcPr>
            <w:tcW w:w="2547" w:type="pct"/>
            <w:gridSpan w:val="6"/>
            <w:vAlign w:val="center"/>
          </w:tcPr>
          <w:p w14:paraId="61976CA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预期目标</w:t>
            </w:r>
          </w:p>
        </w:tc>
        <w:tc>
          <w:tcPr>
            <w:tcW w:w="2128" w:type="pct"/>
            <w:gridSpan w:val="7"/>
            <w:vAlign w:val="center"/>
          </w:tcPr>
          <w:p w14:paraId="595D48F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实际完成情况</w:t>
            </w:r>
          </w:p>
        </w:tc>
      </w:tr>
      <w:tr w:rsidR="00024B67" w14:paraId="762C6C74" w14:textId="77777777" w:rsidTr="006E7F79">
        <w:trPr>
          <w:trHeight w:val="3600"/>
        </w:trPr>
        <w:tc>
          <w:tcPr>
            <w:tcW w:w="325" w:type="pct"/>
            <w:vMerge/>
            <w:vAlign w:val="center"/>
          </w:tcPr>
          <w:p w14:paraId="2822BE1A" w14:textId="77777777" w:rsidR="00024B67" w:rsidRDefault="00024B67">
            <w:pPr>
              <w:widowControl/>
              <w:jc w:val="center"/>
              <w:rPr>
                <w:rFonts w:ascii="仿宋_GB2312" w:eastAsia="仿宋_GB2312" w:hAnsi="宋体" w:cs="宋体" w:hint="eastAsia"/>
                <w:color w:val="000000"/>
                <w:kern w:val="0"/>
                <w:szCs w:val="21"/>
              </w:rPr>
            </w:pPr>
          </w:p>
        </w:tc>
        <w:tc>
          <w:tcPr>
            <w:tcW w:w="2547" w:type="pct"/>
            <w:gridSpan w:val="6"/>
            <w:vAlign w:val="center"/>
          </w:tcPr>
          <w:p w14:paraId="6713AC6D"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项目立足新时代首都发展需求和教育数智化转型背景，紧扣学校加快建成特色鲜明的国内一流国际知名高水平研究型财经大学的目标，致力于打造新文科背景下创新型、复合型、应用型、国际化的“三型一化”人才分类培养模式，搭建新时代经管拔尖创新人才培养平台，培养契合首都发展需要的、适应新时代数字化转型发展的高水平经管拔尖创新人才。</w:t>
            </w:r>
            <w:r>
              <w:rPr>
                <w:rFonts w:ascii="仿宋_GB2312" w:eastAsia="仿宋_GB2312" w:hAnsi="宋体" w:cs="宋体" w:hint="eastAsia"/>
                <w:color w:val="000000"/>
                <w:kern w:val="0"/>
                <w:szCs w:val="21"/>
              </w:rPr>
              <w:br/>
              <w:t xml:space="preserve">    该目标可以细化为：通过购置10门人工智能通识类课程并自建20门数字经济等通识类课程来实现通识教育选修课课程体系优化；通过打造10个数智化转型试点专业并建设其数智化转型支撑平台来落实数智化人才培养举措；通过建设15部基于AI的数字教材，打造10门具有经贸烙印的精品数字经济、博弈论、金融科技、大数据应用等课程资源来构建一流的数智化教学资源；通过购置12门数字经济、人工智能等经管类虚拟仿真实训课程和1套虚拟仿真管理平台来打造一流的虚拟仿真实验教学平台；通过完善147间教室的直录播功能来打造一流的直录播教学平台。</w:t>
            </w:r>
          </w:p>
        </w:tc>
        <w:tc>
          <w:tcPr>
            <w:tcW w:w="2128" w:type="pct"/>
            <w:gridSpan w:val="7"/>
            <w:vAlign w:val="center"/>
          </w:tcPr>
          <w:p w14:paraId="660B96F8"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通过数智化转型试点专业建设、课程建设（含经贸烙印精品课程建设和通识课程建设）、教材建设、直录播教学平台建设等手段，基本实现了景观拔尖创新人才培养平台建设预期目标。</w:t>
            </w:r>
          </w:p>
        </w:tc>
      </w:tr>
      <w:tr w:rsidR="00024B67" w14:paraId="76015F30" w14:textId="77777777" w:rsidTr="006E7F79">
        <w:trPr>
          <w:trHeight w:val="560"/>
        </w:trPr>
        <w:tc>
          <w:tcPr>
            <w:tcW w:w="325" w:type="pct"/>
            <w:vMerge w:val="restart"/>
            <w:textDirection w:val="tbRlV"/>
            <w:vAlign w:val="center"/>
          </w:tcPr>
          <w:p w14:paraId="39EEEBA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绩效指标</w:t>
            </w:r>
          </w:p>
        </w:tc>
        <w:tc>
          <w:tcPr>
            <w:tcW w:w="325" w:type="pct"/>
            <w:vAlign w:val="center"/>
          </w:tcPr>
          <w:p w14:paraId="24B68ED7"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一级指标</w:t>
            </w:r>
          </w:p>
        </w:tc>
        <w:tc>
          <w:tcPr>
            <w:tcW w:w="464" w:type="pct"/>
            <w:vAlign w:val="center"/>
          </w:tcPr>
          <w:p w14:paraId="454FD11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二级指标</w:t>
            </w:r>
          </w:p>
        </w:tc>
        <w:tc>
          <w:tcPr>
            <w:tcW w:w="1154" w:type="pct"/>
            <w:gridSpan w:val="3"/>
            <w:vAlign w:val="center"/>
          </w:tcPr>
          <w:p w14:paraId="24EE241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三级指标</w:t>
            </w:r>
          </w:p>
        </w:tc>
        <w:tc>
          <w:tcPr>
            <w:tcW w:w="604" w:type="pct"/>
            <w:vAlign w:val="center"/>
          </w:tcPr>
          <w:p w14:paraId="77CFC0D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年度指标值</w:t>
            </w:r>
          </w:p>
        </w:tc>
        <w:tc>
          <w:tcPr>
            <w:tcW w:w="604" w:type="pct"/>
            <w:vAlign w:val="center"/>
          </w:tcPr>
          <w:p w14:paraId="702F89F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实际完成值</w:t>
            </w:r>
          </w:p>
        </w:tc>
        <w:tc>
          <w:tcPr>
            <w:tcW w:w="275" w:type="pct"/>
            <w:gridSpan w:val="2"/>
            <w:vAlign w:val="center"/>
          </w:tcPr>
          <w:p w14:paraId="6467414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分值</w:t>
            </w:r>
          </w:p>
        </w:tc>
        <w:tc>
          <w:tcPr>
            <w:tcW w:w="384" w:type="pct"/>
            <w:gridSpan w:val="2"/>
            <w:vAlign w:val="center"/>
          </w:tcPr>
          <w:p w14:paraId="3ACE339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得分</w:t>
            </w:r>
          </w:p>
        </w:tc>
        <w:tc>
          <w:tcPr>
            <w:tcW w:w="865" w:type="pct"/>
            <w:gridSpan w:val="2"/>
            <w:vAlign w:val="center"/>
          </w:tcPr>
          <w:p w14:paraId="31AE07B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偏差原因分析及改进措施</w:t>
            </w:r>
          </w:p>
        </w:tc>
      </w:tr>
      <w:tr w:rsidR="00024B67" w14:paraId="171ADA27" w14:textId="77777777" w:rsidTr="006E7F79">
        <w:trPr>
          <w:trHeight w:val="420"/>
        </w:trPr>
        <w:tc>
          <w:tcPr>
            <w:tcW w:w="325" w:type="pct"/>
            <w:vMerge/>
            <w:vAlign w:val="center"/>
          </w:tcPr>
          <w:p w14:paraId="2165B4DC"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restart"/>
            <w:vAlign w:val="center"/>
          </w:tcPr>
          <w:p w14:paraId="74E0F60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产出</w:t>
            </w:r>
            <w:r>
              <w:rPr>
                <w:rFonts w:ascii="仿宋_GB2312" w:eastAsia="仿宋_GB2312" w:hAnsi="宋体" w:cs="宋体" w:hint="eastAsia"/>
                <w:color w:val="000000"/>
                <w:kern w:val="0"/>
                <w:szCs w:val="21"/>
              </w:rPr>
              <w:lastRenderedPageBreak/>
              <w:t>指标</w:t>
            </w:r>
          </w:p>
        </w:tc>
        <w:tc>
          <w:tcPr>
            <w:tcW w:w="464" w:type="pct"/>
            <w:vAlign w:val="center"/>
          </w:tcPr>
          <w:p w14:paraId="01E3897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lastRenderedPageBreak/>
              <w:t>数量指标</w:t>
            </w:r>
          </w:p>
        </w:tc>
        <w:tc>
          <w:tcPr>
            <w:tcW w:w="1154" w:type="pct"/>
            <w:gridSpan w:val="3"/>
            <w:vAlign w:val="center"/>
          </w:tcPr>
          <w:p w14:paraId="49278458"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数智教学资源建设数量</w:t>
            </w:r>
          </w:p>
        </w:tc>
        <w:tc>
          <w:tcPr>
            <w:tcW w:w="604" w:type="pct"/>
            <w:vAlign w:val="center"/>
          </w:tcPr>
          <w:p w14:paraId="2EE4F04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147个</w:t>
            </w:r>
          </w:p>
        </w:tc>
        <w:tc>
          <w:tcPr>
            <w:tcW w:w="604" w:type="pct"/>
            <w:vAlign w:val="center"/>
          </w:tcPr>
          <w:p w14:paraId="6628248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147个</w:t>
            </w:r>
          </w:p>
        </w:tc>
        <w:tc>
          <w:tcPr>
            <w:tcW w:w="275" w:type="pct"/>
            <w:gridSpan w:val="2"/>
            <w:vAlign w:val="center"/>
          </w:tcPr>
          <w:p w14:paraId="5EAF84A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p>
        </w:tc>
        <w:tc>
          <w:tcPr>
            <w:tcW w:w="384" w:type="pct"/>
            <w:gridSpan w:val="2"/>
            <w:vAlign w:val="center"/>
          </w:tcPr>
          <w:p w14:paraId="556BE781"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5.00</w:t>
            </w:r>
          </w:p>
        </w:tc>
        <w:tc>
          <w:tcPr>
            <w:tcW w:w="865" w:type="pct"/>
            <w:gridSpan w:val="2"/>
            <w:vAlign w:val="center"/>
          </w:tcPr>
          <w:p w14:paraId="13921F5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621C98FC" w14:textId="77777777" w:rsidTr="006E7F79">
        <w:trPr>
          <w:trHeight w:val="1320"/>
        </w:trPr>
        <w:tc>
          <w:tcPr>
            <w:tcW w:w="325" w:type="pct"/>
            <w:vMerge/>
            <w:vAlign w:val="center"/>
          </w:tcPr>
          <w:p w14:paraId="753A5CC0"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152B0EDE"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7E951214"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数量指标</w:t>
            </w:r>
          </w:p>
        </w:tc>
        <w:tc>
          <w:tcPr>
            <w:tcW w:w="1154" w:type="pct"/>
            <w:gridSpan w:val="3"/>
            <w:vAlign w:val="center"/>
          </w:tcPr>
          <w:p w14:paraId="215AEF07"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打造有经贸烙印的精品数字经济、博弈论、金融科技、大数据应用等课程数量</w:t>
            </w:r>
          </w:p>
        </w:tc>
        <w:tc>
          <w:tcPr>
            <w:tcW w:w="604" w:type="pct"/>
            <w:vAlign w:val="center"/>
          </w:tcPr>
          <w:p w14:paraId="169F4A4C"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4门</w:t>
            </w:r>
          </w:p>
        </w:tc>
        <w:tc>
          <w:tcPr>
            <w:tcW w:w="604" w:type="pct"/>
            <w:vAlign w:val="center"/>
          </w:tcPr>
          <w:p w14:paraId="2BD047E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10门</w:t>
            </w:r>
          </w:p>
        </w:tc>
        <w:tc>
          <w:tcPr>
            <w:tcW w:w="275" w:type="pct"/>
            <w:gridSpan w:val="2"/>
            <w:vAlign w:val="center"/>
          </w:tcPr>
          <w:p w14:paraId="062E9D4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384" w:type="pct"/>
            <w:gridSpan w:val="2"/>
            <w:vAlign w:val="center"/>
          </w:tcPr>
          <w:p w14:paraId="3320B58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10.00</w:t>
            </w:r>
          </w:p>
        </w:tc>
        <w:tc>
          <w:tcPr>
            <w:tcW w:w="865" w:type="pct"/>
            <w:gridSpan w:val="2"/>
            <w:vAlign w:val="center"/>
          </w:tcPr>
          <w:p w14:paraId="0D62FC5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6E05E42E" w14:textId="77777777" w:rsidTr="006E7F79">
        <w:trPr>
          <w:trHeight w:val="420"/>
        </w:trPr>
        <w:tc>
          <w:tcPr>
            <w:tcW w:w="325" w:type="pct"/>
            <w:vMerge/>
            <w:vAlign w:val="center"/>
          </w:tcPr>
          <w:p w14:paraId="782832AC"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53AC6563"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12EAE74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数量指标</w:t>
            </w:r>
          </w:p>
        </w:tc>
        <w:tc>
          <w:tcPr>
            <w:tcW w:w="1154" w:type="pct"/>
            <w:gridSpan w:val="3"/>
            <w:vAlign w:val="center"/>
          </w:tcPr>
          <w:p w14:paraId="04B14CE0"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购置人工智能类通识教育课程</w:t>
            </w:r>
          </w:p>
        </w:tc>
        <w:tc>
          <w:tcPr>
            <w:tcW w:w="604" w:type="pct"/>
            <w:vAlign w:val="center"/>
          </w:tcPr>
          <w:p w14:paraId="2236427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7门</w:t>
            </w:r>
          </w:p>
        </w:tc>
        <w:tc>
          <w:tcPr>
            <w:tcW w:w="604" w:type="pct"/>
            <w:vAlign w:val="center"/>
          </w:tcPr>
          <w:p w14:paraId="74B9125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7门</w:t>
            </w:r>
          </w:p>
        </w:tc>
        <w:tc>
          <w:tcPr>
            <w:tcW w:w="275" w:type="pct"/>
            <w:gridSpan w:val="2"/>
            <w:vAlign w:val="center"/>
          </w:tcPr>
          <w:p w14:paraId="2B25949C"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p>
        </w:tc>
        <w:tc>
          <w:tcPr>
            <w:tcW w:w="384" w:type="pct"/>
            <w:gridSpan w:val="2"/>
            <w:vAlign w:val="center"/>
          </w:tcPr>
          <w:p w14:paraId="53A7A8D1"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5.00</w:t>
            </w:r>
          </w:p>
        </w:tc>
        <w:tc>
          <w:tcPr>
            <w:tcW w:w="865" w:type="pct"/>
            <w:gridSpan w:val="2"/>
            <w:vAlign w:val="center"/>
          </w:tcPr>
          <w:p w14:paraId="572F54D5"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0D387BF6" w14:textId="77777777" w:rsidTr="006E7F79">
        <w:trPr>
          <w:trHeight w:val="860"/>
        </w:trPr>
        <w:tc>
          <w:tcPr>
            <w:tcW w:w="325" w:type="pct"/>
            <w:vMerge/>
            <w:vAlign w:val="center"/>
          </w:tcPr>
          <w:p w14:paraId="30A4CE4A"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219B34FB"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3F16FCE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数量指标</w:t>
            </w:r>
          </w:p>
        </w:tc>
        <w:tc>
          <w:tcPr>
            <w:tcW w:w="1154" w:type="pct"/>
            <w:gridSpan w:val="3"/>
            <w:vAlign w:val="center"/>
          </w:tcPr>
          <w:p w14:paraId="2D47494B"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新增数字教材数量</w:t>
            </w:r>
          </w:p>
        </w:tc>
        <w:tc>
          <w:tcPr>
            <w:tcW w:w="604" w:type="pct"/>
            <w:vAlign w:val="center"/>
          </w:tcPr>
          <w:p w14:paraId="739B4F0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5部</w:t>
            </w:r>
          </w:p>
        </w:tc>
        <w:tc>
          <w:tcPr>
            <w:tcW w:w="604" w:type="pct"/>
            <w:vAlign w:val="center"/>
          </w:tcPr>
          <w:p w14:paraId="3AF1E77B" w14:textId="38B66AAE" w:rsidR="00024B67" w:rsidRDefault="00D6108B">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5部</w:t>
            </w:r>
          </w:p>
        </w:tc>
        <w:tc>
          <w:tcPr>
            <w:tcW w:w="275" w:type="pct"/>
            <w:gridSpan w:val="2"/>
            <w:vAlign w:val="center"/>
          </w:tcPr>
          <w:p w14:paraId="5697D12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p>
        </w:tc>
        <w:tc>
          <w:tcPr>
            <w:tcW w:w="384" w:type="pct"/>
            <w:gridSpan w:val="2"/>
            <w:vAlign w:val="center"/>
          </w:tcPr>
          <w:p w14:paraId="2594F6DD" w14:textId="051C0298" w:rsidR="00024B67" w:rsidRDefault="00D6108B">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5.00</w:t>
            </w:r>
          </w:p>
        </w:tc>
        <w:tc>
          <w:tcPr>
            <w:tcW w:w="865" w:type="pct"/>
            <w:gridSpan w:val="2"/>
            <w:vAlign w:val="center"/>
          </w:tcPr>
          <w:p w14:paraId="3DD9C268" w14:textId="43609326" w:rsidR="00024B67" w:rsidRDefault="00015D0A">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026E6933" w14:textId="77777777" w:rsidTr="006E7F79">
        <w:trPr>
          <w:trHeight w:val="420"/>
        </w:trPr>
        <w:tc>
          <w:tcPr>
            <w:tcW w:w="325" w:type="pct"/>
            <w:vMerge/>
            <w:vAlign w:val="center"/>
          </w:tcPr>
          <w:p w14:paraId="39545885"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54218D02"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64901E9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数量指标</w:t>
            </w:r>
          </w:p>
        </w:tc>
        <w:tc>
          <w:tcPr>
            <w:tcW w:w="1154" w:type="pct"/>
            <w:gridSpan w:val="3"/>
            <w:vAlign w:val="center"/>
          </w:tcPr>
          <w:p w14:paraId="023CE629"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首批数智化转型试点专业数量</w:t>
            </w:r>
          </w:p>
        </w:tc>
        <w:tc>
          <w:tcPr>
            <w:tcW w:w="604" w:type="pct"/>
            <w:vAlign w:val="center"/>
          </w:tcPr>
          <w:p w14:paraId="75101D7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10个</w:t>
            </w:r>
          </w:p>
        </w:tc>
        <w:tc>
          <w:tcPr>
            <w:tcW w:w="604" w:type="pct"/>
            <w:vAlign w:val="center"/>
          </w:tcPr>
          <w:p w14:paraId="269B875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10个</w:t>
            </w:r>
          </w:p>
        </w:tc>
        <w:tc>
          <w:tcPr>
            <w:tcW w:w="275" w:type="pct"/>
            <w:gridSpan w:val="2"/>
            <w:vAlign w:val="center"/>
          </w:tcPr>
          <w:p w14:paraId="571C382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p>
        </w:tc>
        <w:tc>
          <w:tcPr>
            <w:tcW w:w="384" w:type="pct"/>
            <w:gridSpan w:val="2"/>
            <w:vAlign w:val="center"/>
          </w:tcPr>
          <w:p w14:paraId="359608A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5.00</w:t>
            </w:r>
          </w:p>
        </w:tc>
        <w:tc>
          <w:tcPr>
            <w:tcW w:w="865" w:type="pct"/>
            <w:gridSpan w:val="2"/>
            <w:vAlign w:val="center"/>
          </w:tcPr>
          <w:p w14:paraId="34A3ABF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2920D158" w14:textId="77777777" w:rsidTr="006E7F79">
        <w:trPr>
          <w:trHeight w:val="420"/>
        </w:trPr>
        <w:tc>
          <w:tcPr>
            <w:tcW w:w="325" w:type="pct"/>
            <w:vMerge/>
            <w:vAlign w:val="center"/>
          </w:tcPr>
          <w:p w14:paraId="527F13D2"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51DF6D65"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38F5A3B1"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数量指标</w:t>
            </w:r>
          </w:p>
        </w:tc>
        <w:tc>
          <w:tcPr>
            <w:tcW w:w="1154" w:type="pct"/>
            <w:gridSpan w:val="3"/>
            <w:vAlign w:val="center"/>
          </w:tcPr>
          <w:p w14:paraId="26368593"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新建微专业数量</w:t>
            </w:r>
          </w:p>
        </w:tc>
        <w:tc>
          <w:tcPr>
            <w:tcW w:w="604" w:type="pct"/>
            <w:vAlign w:val="center"/>
          </w:tcPr>
          <w:p w14:paraId="2F2CBB0C"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10个</w:t>
            </w:r>
          </w:p>
        </w:tc>
        <w:tc>
          <w:tcPr>
            <w:tcW w:w="604" w:type="pct"/>
            <w:vAlign w:val="center"/>
          </w:tcPr>
          <w:p w14:paraId="45CF7AD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11个</w:t>
            </w:r>
          </w:p>
        </w:tc>
        <w:tc>
          <w:tcPr>
            <w:tcW w:w="275" w:type="pct"/>
            <w:gridSpan w:val="2"/>
            <w:vAlign w:val="center"/>
          </w:tcPr>
          <w:p w14:paraId="0F8F8B8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384" w:type="pct"/>
            <w:gridSpan w:val="2"/>
            <w:vAlign w:val="center"/>
          </w:tcPr>
          <w:p w14:paraId="1E9C205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10.00</w:t>
            </w:r>
          </w:p>
        </w:tc>
        <w:tc>
          <w:tcPr>
            <w:tcW w:w="865" w:type="pct"/>
            <w:gridSpan w:val="2"/>
            <w:vAlign w:val="center"/>
          </w:tcPr>
          <w:p w14:paraId="3D673C93"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1A8092BC" w14:textId="77777777" w:rsidTr="006E7F79">
        <w:trPr>
          <w:trHeight w:val="420"/>
        </w:trPr>
        <w:tc>
          <w:tcPr>
            <w:tcW w:w="325" w:type="pct"/>
            <w:vMerge/>
            <w:vAlign w:val="center"/>
          </w:tcPr>
          <w:p w14:paraId="7A53C8C5"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0F272EC7"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68688270"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质量指标</w:t>
            </w:r>
          </w:p>
        </w:tc>
        <w:tc>
          <w:tcPr>
            <w:tcW w:w="1154" w:type="pct"/>
            <w:gridSpan w:val="3"/>
            <w:vAlign w:val="center"/>
          </w:tcPr>
          <w:p w14:paraId="4D107DF5"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微专业招生生源满足率</w:t>
            </w:r>
          </w:p>
        </w:tc>
        <w:tc>
          <w:tcPr>
            <w:tcW w:w="604" w:type="pct"/>
            <w:vAlign w:val="center"/>
          </w:tcPr>
          <w:p w14:paraId="3D36E7A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≥95%</w:t>
            </w:r>
          </w:p>
        </w:tc>
        <w:tc>
          <w:tcPr>
            <w:tcW w:w="604" w:type="pct"/>
            <w:vAlign w:val="center"/>
          </w:tcPr>
          <w:p w14:paraId="7EC9303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w:t>
            </w:r>
          </w:p>
        </w:tc>
        <w:tc>
          <w:tcPr>
            <w:tcW w:w="275" w:type="pct"/>
            <w:gridSpan w:val="2"/>
            <w:vAlign w:val="center"/>
          </w:tcPr>
          <w:p w14:paraId="2BE996A7" w14:textId="24CA37A2" w:rsidR="00024B67" w:rsidRDefault="00A371D2">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p>
        </w:tc>
        <w:tc>
          <w:tcPr>
            <w:tcW w:w="384" w:type="pct"/>
            <w:gridSpan w:val="2"/>
            <w:vAlign w:val="center"/>
          </w:tcPr>
          <w:p w14:paraId="4CB66BFA" w14:textId="2D3AAFB6" w:rsidR="00024B67" w:rsidRDefault="00A371D2">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r w:rsidR="00000000">
              <w:rPr>
                <w:rFonts w:ascii="仿宋_GB2312" w:eastAsia="仿宋_GB2312" w:hAnsi="宋体" w:cs="宋体" w:hint="eastAsia"/>
                <w:color w:val="000000"/>
                <w:kern w:val="0"/>
                <w:szCs w:val="21"/>
              </w:rPr>
              <w:t>.00</w:t>
            </w:r>
          </w:p>
        </w:tc>
        <w:tc>
          <w:tcPr>
            <w:tcW w:w="865" w:type="pct"/>
            <w:gridSpan w:val="2"/>
            <w:vAlign w:val="center"/>
          </w:tcPr>
          <w:p w14:paraId="4151069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0C17F6D9" w14:textId="77777777" w:rsidTr="006E7F79">
        <w:trPr>
          <w:trHeight w:val="420"/>
        </w:trPr>
        <w:tc>
          <w:tcPr>
            <w:tcW w:w="325" w:type="pct"/>
            <w:vMerge/>
            <w:vAlign w:val="center"/>
          </w:tcPr>
          <w:p w14:paraId="40A7A2EB"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393D3AD7"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363DA806"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时效指标</w:t>
            </w:r>
          </w:p>
        </w:tc>
        <w:tc>
          <w:tcPr>
            <w:tcW w:w="1154" w:type="pct"/>
            <w:gridSpan w:val="3"/>
            <w:vAlign w:val="center"/>
          </w:tcPr>
          <w:p w14:paraId="5A0E765F"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微专业招生年均招生人数</w:t>
            </w:r>
          </w:p>
        </w:tc>
        <w:tc>
          <w:tcPr>
            <w:tcW w:w="604" w:type="pct"/>
            <w:vAlign w:val="center"/>
          </w:tcPr>
          <w:p w14:paraId="6F9734C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≥100人/年</w:t>
            </w:r>
          </w:p>
        </w:tc>
        <w:tc>
          <w:tcPr>
            <w:tcW w:w="604" w:type="pct"/>
            <w:vAlign w:val="center"/>
          </w:tcPr>
          <w:p w14:paraId="3B502EE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158人/年</w:t>
            </w:r>
          </w:p>
        </w:tc>
        <w:tc>
          <w:tcPr>
            <w:tcW w:w="275" w:type="pct"/>
            <w:gridSpan w:val="2"/>
            <w:vAlign w:val="center"/>
          </w:tcPr>
          <w:p w14:paraId="26C47F3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5</w:t>
            </w:r>
          </w:p>
        </w:tc>
        <w:tc>
          <w:tcPr>
            <w:tcW w:w="384" w:type="pct"/>
            <w:gridSpan w:val="2"/>
            <w:vAlign w:val="center"/>
          </w:tcPr>
          <w:p w14:paraId="256CBA3F" w14:textId="68DAEB21" w:rsidR="00024B67" w:rsidRDefault="00D6108B">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3.00</w:t>
            </w:r>
          </w:p>
        </w:tc>
        <w:tc>
          <w:tcPr>
            <w:tcW w:w="865" w:type="pct"/>
            <w:gridSpan w:val="2"/>
            <w:vAlign w:val="center"/>
          </w:tcPr>
          <w:p w14:paraId="66948BC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799C1280" w14:textId="77777777" w:rsidTr="006E7F79">
        <w:trPr>
          <w:trHeight w:val="540"/>
        </w:trPr>
        <w:tc>
          <w:tcPr>
            <w:tcW w:w="325" w:type="pct"/>
            <w:vMerge/>
            <w:vAlign w:val="center"/>
          </w:tcPr>
          <w:p w14:paraId="7C98631C"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restart"/>
            <w:vAlign w:val="center"/>
          </w:tcPr>
          <w:p w14:paraId="186CD3C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效益指标</w:t>
            </w:r>
          </w:p>
        </w:tc>
        <w:tc>
          <w:tcPr>
            <w:tcW w:w="464" w:type="pct"/>
            <w:vAlign w:val="center"/>
          </w:tcPr>
          <w:p w14:paraId="471C9847"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经济效益指标</w:t>
            </w:r>
          </w:p>
        </w:tc>
        <w:tc>
          <w:tcPr>
            <w:tcW w:w="1154" w:type="pct"/>
            <w:gridSpan w:val="3"/>
            <w:vAlign w:val="center"/>
          </w:tcPr>
          <w:p w14:paraId="035F1D5D"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学校人才培养服务新时代首都发展情况</w:t>
            </w:r>
          </w:p>
        </w:tc>
        <w:tc>
          <w:tcPr>
            <w:tcW w:w="604" w:type="pct"/>
            <w:vAlign w:val="center"/>
          </w:tcPr>
          <w:p w14:paraId="4E8AF9D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好</w:t>
            </w:r>
          </w:p>
        </w:tc>
        <w:tc>
          <w:tcPr>
            <w:tcW w:w="604" w:type="pct"/>
            <w:vAlign w:val="center"/>
          </w:tcPr>
          <w:p w14:paraId="32F86E1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好</w:t>
            </w:r>
          </w:p>
        </w:tc>
        <w:tc>
          <w:tcPr>
            <w:tcW w:w="275" w:type="pct"/>
            <w:gridSpan w:val="2"/>
            <w:vAlign w:val="center"/>
          </w:tcPr>
          <w:p w14:paraId="37EEEBA8"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384" w:type="pct"/>
            <w:gridSpan w:val="2"/>
            <w:vAlign w:val="center"/>
          </w:tcPr>
          <w:p w14:paraId="6632494A" w14:textId="4424C75A" w:rsidR="00024B67" w:rsidRDefault="009670D3">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9.00</w:t>
            </w:r>
          </w:p>
        </w:tc>
        <w:tc>
          <w:tcPr>
            <w:tcW w:w="865" w:type="pct"/>
            <w:gridSpan w:val="2"/>
            <w:vAlign w:val="center"/>
          </w:tcPr>
          <w:p w14:paraId="6318C02D" w14:textId="18C58378" w:rsidR="00024B67" w:rsidRDefault="00E87CC3">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57999B21" w14:textId="77777777" w:rsidTr="006E7F79">
        <w:trPr>
          <w:trHeight w:val="540"/>
        </w:trPr>
        <w:tc>
          <w:tcPr>
            <w:tcW w:w="325" w:type="pct"/>
            <w:vMerge/>
            <w:vAlign w:val="center"/>
          </w:tcPr>
          <w:p w14:paraId="1E6ED554"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4A849ED4"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1B1A4C19"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社会效益指标</w:t>
            </w:r>
          </w:p>
        </w:tc>
        <w:tc>
          <w:tcPr>
            <w:tcW w:w="1154" w:type="pct"/>
            <w:gridSpan w:val="3"/>
            <w:vAlign w:val="center"/>
          </w:tcPr>
          <w:p w14:paraId="14F482CC"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用人单位对学校培养的数智化人才的满意度</w:t>
            </w:r>
          </w:p>
        </w:tc>
        <w:tc>
          <w:tcPr>
            <w:tcW w:w="604" w:type="pct"/>
            <w:vAlign w:val="center"/>
          </w:tcPr>
          <w:p w14:paraId="1E9745A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w:t>
            </w:r>
          </w:p>
        </w:tc>
        <w:tc>
          <w:tcPr>
            <w:tcW w:w="604" w:type="pct"/>
            <w:vAlign w:val="center"/>
          </w:tcPr>
          <w:p w14:paraId="3BB4BEEB"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w:t>
            </w:r>
          </w:p>
        </w:tc>
        <w:tc>
          <w:tcPr>
            <w:tcW w:w="275" w:type="pct"/>
            <w:gridSpan w:val="2"/>
            <w:vAlign w:val="center"/>
          </w:tcPr>
          <w:p w14:paraId="03746CA4"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384" w:type="pct"/>
            <w:gridSpan w:val="2"/>
            <w:vAlign w:val="center"/>
          </w:tcPr>
          <w:p w14:paraId="29178725"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10.00</w:t>
            </w:r>
          </w:p>
        </w:tc>
        <w:tc>
          <w:tcPr>
            <w:tcW w:w="865" w:type="pct"/>
            <w:gridSpan w:val="2"/>
            <w:vAlign w:val="center"/>
          </w:tcPr>
          <w:p w14:paraId="0583067A"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20A9780F" w14:textId="77777777" w:rsidTr="006E7F79">
        <w:trPr>
          <w:trHeight w:val="420"/>
        </w:trPr>
        <w:tc>
          <w:tcPr>
            <w:tcW w:w="325" w:type="pct"/>
            <w:vMerge/>
            <w:vAlign w:val="center"/>
          </w:tcPr>
          <w:p w14:paraId="48598A40"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678AB16D"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26E7C995"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生态效益指标</w:t>
            </w:r>
          </w:p>
        </w:tc>
        <w:tc>
          <w:tcPr>
            <w:tcW w:w="1154" w:type="pct"/>
            <w:gridSpan w:val="3"/>
            <w:vAlign w:val="center"/>
          </w:tcPr>
          <w:p w14:paraId="271611D1"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虚拟仿真平台无纸化管理成效</w:t>
            </w:r>
          </w:p>
        </w:tc>
        <w:tc>
          <w:tcPr>
            <w:tcW w:w="604" w:type="pct"/>
            <w:vAlign w:val="center"/>
          </w:tcPr>
          <w:p w14:paraId="71EDB36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好</w:t>
            </w:r>
          </w:p>
        </w:tc>
        <w:tc>
          <w:tcPr>
            <w:tcW w:w="604" w:type="pct"/>
            <w:vAlign w:val="center"/>
          </w:tcPr>
          <w:p w14:paraId="64C004DE"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好</w:t>
            </w:r>
          </w:p>
        </w:tc>
        <w:tc>
          <w:tcPr>
            <w:tcW w:w="275" w:type="pct"/>
            <w:gridSpan w:val="2"/>
            <w:vAlign w:val="center"/>
          </w:tcPr>
          <w:p w14:paraId="4823BD3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384" w:type="pct"/>
            <w:gridSpan w:val="2"/>
            <w:vAlign w:val="center"/>
          </w:tcPr>
          <w:p w14:paraId="278DD6FD"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10.00</w:t>
            </w:r>
          </w:p>
        </w:tc>
        <w:tc>
          <w:tcPr>
            <w:tcW w:w="865" w:type="pct"/>
            <w:gridSpan w:val="2"/>
            <w:vAlign w:val="center"/>
          </w:tcPr>
          <w:p w14:paraId="7B543005"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420C8685" w14:textId="77777777" w:rsidTr="006E7F79">
        <w:trPr>
          <w:trHeight w:val="560"/>
        </w:trPr>
        <w:tc>
          <w:tcPr>
            <w:tcW w:w="325" w:type="pct"/>
            <w:vMerge/>
            <w:vAlign w:val="center"/>
          </w:tcPr>
          <w:p w14:paraId="5461D712" w14:textId="77777777" w:rsidR="00024B67" w:rsidRDefault="00024B67">
            <w:pPr>
              <w:widowControl/>
              <w:jc w:val="center"/>
              <w:rPr>
                <w:rFonts w:ascii="仿宋_GB2312" w:eastAsia="仿宋_GB2312" w:hAnsi="宋体" w:cs="宋体" w:hint="eastAsia"/>
                <w:color w:val="000000"/>
                <w:kern w:val="0"/>
                <w:szCs w:val="21"/>
              </w:rPr>
            </w:pPr>
          </w:p>
        </w:tc>
        <w:tc>
          <w:tcPr>
            <w:tcW w:w="325" w:type="pct"/>
            <w:vMerge/>
            <w:vAlign w:val="center"/>
          </w:tcPr>
          <w:p w14:paraId="60C17368" w14:textId="77777777" w:rsidR="00024B67" w:rsidRDefault="00024B67">
            <w:pPr>
              <w:widowControl/>
              <w:jc w:val="center"/>
              <w:rPr>
                <w:rFonts w:ascii="仿宋_GB2312" w:eastAsia="仿宋_GB2312" w:hAnsi="宋体" w:cs="宋体" w:hint="eastAsia"/>
                <w:color w:val="000000"/>
                <w:kern w:val="0"/>
                <w:szCs w:val="21"/>
              </w:rPr>
            </w:pPr>
          </w:p>
        </w:tc>
        <w:tc>
          <w:tcPr>
            <w:tcW w:w="464" w:type="pct"/>
            <w:vAlign w:val="center"/>
          </w:tcPr>
          <w:p w14:paraId="51A7239C"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可持续影响指标</w:t>
            </w:r>
          </w:p>
        </w:tc>
        <w:tc>
          <w:tcPr>
            <w:tcW w:w="1154" w:type="pct"/>
            <w:gridSpan w:val="3"/>
            <w:vAlign w:val="center"/>
          </w:tcPr>
          <w:p w14:paraId="40BAB31B" w14:textId="77777777" w:rsidR="00024B67" w:rsidRDefault="00000000">
            <w:pPr>
              <w:widowControl/>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产教融合重点企业合作时长</w:t>
            </w:r>
          </w:p>
        </w:tc>
        <w:tc>
          <w:tcPr>
            <w:tcW w:w="604" w:type="pct"/>
            <w:vAlign w:val="center"/>
          </w:tcPr>
          <w:p w14:paraId="4F2E41EF"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≥36月</w:t>
            </w:r>
          </w:p>
        </w:tc>
        <w:tc>
          <w:tcPr>
            <w:tcW w:w="604" w:type="pct"/>
            <w:vAlign w:val="center"/>
          </w:tcPr>
          <w:p w14:paraId="27ADE822"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72个月</w:t>
            </w:r>
          </w:p>
        </w:tc>
        <w:tc>
          <w:tcPr>
            <w:tcW w:w="275" w:type="pct"/>
            <w:gridSpan w:val="2"/>
            <w:vAlign w:val="center"/>
          </w:tcPr>
          <w:p w14:paraId="74D294D5"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w:t>
            </w:r>
          </w:p>
        </w:tc>
        <w:tc>
          <w:tcPr>
            <w:tcW w:w="384" w:type="pct"/>
            <w:gridSpan w:val="2"/>
            <w:vAlign w:val="center"/>
          </w:tcPr>
          <w:p w14:paraId="6FBEEC83" w14:textId="7FC89957" w:rsidR="00024B67" w:rsidRDefault="009670D3">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8.00</w:t>
            </w:r>
          </w:p>
        </w:tc>
        <w:tc>
          <w:tcPr>
            <w:tcW w:w="865" w:type="pct"/>
            <w:gridSpan w:val="2"/>
            <w:vAlign w:val="center"/>
          </w:tcPr>
          <w:p w14:paraId="78267864"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无</w:t>
            </w:r>
          </w:p>
        </w:tc>
      </w:tr>
      <w:tr w:rsidR="00024B67" w14:paraId="74660621" w14:textId="77777777" w:rsidTr="006E7F79">
        <w:trPr>
          <w:trHeight w:val="460"/>
        </w:trPr>
        <w:tc>
          <w:tcPr>
            <w:tcW w:w="3476" w:type="pct"/>
            <w:gridSpan w:val="8"/>
            <w:vAlign w:val="center"/>
          </w:tcPr>
          <w:p w14:paraId="527D3837" w14:textId="77777777" w:rsidR="00024B67" w:rsidRDefault="00000000">
            <w:pPr>
              <w:widowControl/>
              <w:jc w:val="center"/>
              <w:rPr>
                <w:rFonts w:ascii="仿宋_GB2312" w:eastAsia="仿宋_GB2312" w:hAnsi="宋体" w:cs="宋体" w:hint="eastAsia"/>
                <w:b/>
                <w:bCs/>
                <w:color w:val="000000"/>
                <w:kern w:val="0"/>
                <w:szCs w:val="21"/>
              </w:rPr>
            </w:pPr>
            <w:r>
              <w:rPr>
                <w:rFonts w:ascii="仿宋_GB2312" w:eastAsia="仿宋_GB2312" w:hAnsi="宋体" w:cs="宋体" w:hint="eastAsia"/>
                <w:b/>
                <w:bCs/>
                <w:color w:val="000000"/>
                <w:kern w:val="0"/>
                <w:szCs w:val="21"/>
              </w:rPr>
              <w:t>总分</w:t>
            </w:r>
          </w:p>
        </w:tc>
        <w:tc>
          <w:tcPr>
            <w:tcW w:w="275" w:type="pct"/>
            <w:gridSpan w:val="2"/>
            <w:vAlign w:val="center"/>
          </w:tcPr>
          <w:p w14:paraId="77423DC7" w14:textId="77777777" w:rsidR="00024B67" w:rsidRDefault="00000000">
            <w:pPr>
              <w:widowControl/>
              <w:jc w:val="center"/>
              <w:rPr>
                <w:rFonts w:ascii="仿宋_GB2312" w:eastAsia="仿宋_GB2312" w:hAnsi="宋体" w:cs="宋体" w:hint="eastAsia"/>
                <w:b/>
                <w:bCs/>
                <w:color w:val="000000"/>
                <w:kern w:val="0"/>
                <w:szCs w:val="21"/>
              </w:rPr>
            </w:pPr>
            <w:r>
              <w:rPr>
                <w:rFonts w:ascii="仿宋_GB2312" w:eastAsia="仿宋_GB2312" w:hAnsi="宋体" w:cs="宋体" w:hint="eastAsia"/>
                <w:b/>
                <w:bCs/>
                <w:color w:val="000000"/>
                <w:kern w:val="0"/>
                <w:szCs w:val="21"/>
              </w:rPr>
              <w:t>100</w:t>
            </w:r>
          </w:p>
        </w:tc>
        <w:tc>
          <w:tcPr>
            <w:tcW w:w="384" w:type="pct"/>
            <w:gridSpan w:val="2"/>
            <w:vAlign w:val="center"/>
          </w:tcPr>
          <w:p w14:paraId="79F3F3CD" w14:textId="77777777" w:rsidR="00024B67" w:rsidRDefault="00000000">
            <w:pPr>
              <w:widowControl/>
              <w:jc w:val="center"/>
              <w:rPr>
                <w:rFonts w:ascii="仿宋_GB2312" w:eastAsia="仿宋_GB2312" w:hAnsi="宋体" w:cs="宋体" w:hint="eastAsia"/>
                <w:b/>
                <w:bCs/>
                <w:color w:val="000000"/>
                <w:kern w:val="0"/>
                <w:szCs w:val="21"/>
              </w:rPr>
            </w:pPr>
            <w:r>
              <w:rPr>
                <w:rFonts w:ascii="仿宋_GB2312" w:eastAsia="仿宋_GB2312" w:hAnsi="宋体" w:cs="宋体" w:hint="eastAsia"/>
                <w:b/>
                <w:bCs/>
                <w:color w:val="000000"/>
                <w:kern w:val="0"/>
                <w:szCs w:val="21"/>
              </w:rPr>
              <w:t>94.31</w:t>
            </w:r>
          </w:p>
        </w:tc>
        <w:tc>
          <w:tcPr>
            <w:tcW w:w="865" w:type="pct"/>
            <w:gridSpan w:val="2"/>
            <w:vAlign w:val="center"/>
          </w:tcPr>
          <w:p w14:paraId="78011C81" w14:textId="77777777" w:rsidR="00024B67" w:rsidRDefault="00000000">
            <w:pPr>
              <w:widowControl/>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 xml:space="preserve">　</w:t>
            </w:r>
          </w:p>
        </w:tc>
      </w:tr>
    </w:tbl>
    <w:p w14:paraId="02998771" w14:textId="77777777" w:rsidR="00024B67" w:rsidRDefault="00024B67"/>
    <w:sectPr w:rsidR="00024B6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932"/>
    <w:rsid w:val="00006434"/>
    <w:rsid w:val="00015D0A"/>
    <w:rsid w:val="00024B67"/>
    <w:rsid w:val="00131445"/>
    <w:rsid w:val="002773FD"/>
    <w:rsid w:val="002F4897"/>
    <w:rsid w:val="003C3932"/>
    <w:rsid w:val="00404555"/>
    <w:rsid w:val="00434241"/>
    <w:rsid w:val="00475489"/>
    <w:rsid w:val="005F674C"/>
    <w:rsid w:val="00643D5B"/>
    <w:rsid w:val="006502CF"/>
    <w:rsid w:val="006A045D"/>
    <w:rsid w:val="006E7F79"/>
    <w:rsid w:val="007157C3"/>
    <w:rsid w:val="007763AA"/>
    <w:rsid w:val="00801515"/>
    <w:rsid w:val="009670D3"/>
    <w:rsid w:val="00A371D2"/>
    <w:rsid w:val="00BD4438"/>
    <w:rsid w:val="00BE4B46"/>
    <w:rsid w:val="00C4134C"/>
    <w:rsid w:val="00D16291"/>
    <w:rsid w:val="00D6108B"/>
    <w:rsid w:val="00E200F7"/>
    <w:rsid w:val="00E42770"/>
    <w:rsid w:val="00E87CC3"/>
    <w:rsid w:val="00ED1215"/>
    <w:rsid w:val="00F26149"/>
    <w:rsid w:val="00F8031E"/>
    <w:rsid w:val="00F93718"/>
    <w:rsid w:val="0E436B0B"/>
    <w:rsid w:val="0FBA381F"/>
    <w:rsid w:val="42114C71"/>
    <w:rsid w:val="59247F86"/>
    <w:rsid w:val="626567C4"/>
    <w:rsid w:val="68A21019"/>
    <w:rsid w:val="7BBD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27EE0"/>
  <w15:docId w15:val="{4933F32F-4F6D-4122-ADD2-E32D3AA6E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财务处-春</dc:creator>
  <cp:lastModifiedBy>99208</cp:lastModifiedBy>
  <cp:revision>24</cp:revision>
  <dcterms:created xsi:type="dcterms:W3CDTF">2025-04-13T11:01:00Z</dcterms:created>
  <dcterms:modified xsi:type="dcterms:W3CDTF">2025-08-24T12:02:00Z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eyJoZGlkIjoiM2NjY2IyOWExOWI4NDk5NzVlMDZlMWE0ZTkyYmU0YjAifQ==</vt:lpwstr>
  </property>
  <property fmtid="{D5CDD505-2E9C-101B-9397-08002B2CF9AE}" pid="3" name="KSOProductBuildVer">
    <vt:lpwstr>2052-12.1.0.22529</vt:lpwstr>
  </property>
  <property fmtid="{D5CDD505-2E9C-101B-9397-08002B2CF9AE}" pid="4" name="ICV">
    <vt:lpwstr>AE3F264A13C14766981797BCFDC42B73_13</vt:lpwstr>
  </property>
</Properties>
</file>