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74B" w:rsidRDefault="008E674B">
      <w:pPr>
        <w:spacing w:line="480" w:lineRule="exact"/>
        <w:jc w:val="center"/>
        <w:rPr>
          <w:rFonts w:ascii="方正小标宋简体" w:eastAsia="方正小标宋简体" w:hAnsi="黑体" w:cs="Times New Roman"/>
          <w:sz w:val="36"/>
          <w:szCs w:val="36"/>
        </w:rPr>
      </w:pPr>
    </w:p>
    <w:p w:rsidR="008E674B" w:rsidRDefault="009E5943">
      <w:pPr>
        <w:spacing w:line="480" w:lineRule="exact"/>
        <w:jc w:val="center"/>
        <w:rPr>
          <w:rFonts w:ascii="方正小标宋简体" w:eastAsia="方正小标宋简体" w:hAnsi="黑体" w:cs="Times New Roman"/>
          <w:sz w:val="36"/>
          <w:szCs w:val="36"/>
        </w:rPr>
      </w:pPr>
      <w:r>
        <w:rPr>
          <w:rFonts w:ascii="方正小标宋简体" w:eastAsia="方正小标宋简体" w:hAnsi="黑体" w:cs="Times New Roman" w:hint="eastAsia"/>
          <w:sz w:val="36"/>
          <w:szCs w:val="36"/>
        </w:rPr>
        <w:t>项目支出绩效自评表</w:t>
      </w:r>
    </w:p>
    <w:p w:rsidR="008E674B" w:rsidRDefault="009E5943">
      <w:pPr>
        <w:spacing w:line="480" w:lineRule="exact"/>
        <w:jc w:val="center"/>
        <w:rPr>
          <w:rFonts w:ascii="仿宋_GB2312" w:eastAsia="仿宋_GB2312" w:hAnsi="宋体" w:cs="Times New Roman"/>
          <w:sz w:val="28"/>
          <w:szCs w:val="28"/>
        </w:rPr>
      </w:pPr>
      <w:r>
        <w:rPr>
          <w:rFonts w:ascii="仿宋_GB2312" w:eastAsia="仿宋_GB2312" w:hAnsi="宋体" w:cs="Times New Roman" w:hint="eastAsia"/>
          <w:sz w:val="28"/>
          <w:szCs w:val="28"/>
        </w:rPr>
        <w:t>（2024预算年度）</w:t>
      </w:r>
    </w:p>
    <w:p w:rsidR="008E674B" w:rsidRDefault="008E674B">
      <w:pPr>
        <w:spacing w:line="480" w:lineRule="exact"/>
        <w:jc w:val="center"/>
        <w:rPr>
          <w:rFonts w:ascii="仿宋_GB2312" w:eastAsia="仿宋_GB2312" w:hAnsi="宋体"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598"/>
        <w:gridCol w:w="899"/>
        <w:gridCol w:w="1062"/>
        <w:gridCol w:w="1835"/>
        <w:gridCol w:w="329"/>
        <w:gridCol w:w="1203"/>
        <w:gridCol w:w="1203"/>
        <w:gridCol w:w="233"/>
        <w:gridCol w:w="310"/>
        <w:gridCol w:w="432"/>
        <w:gridCol w:w="327"/>
        <w:gridCol w:w="897"/>
        <w:gridCol w:w="761"/>
      </w:tblGrid>
      <w:tr w:rsidR="008E674B">
        <w:trPr>
          <w:trHeight w:val="280"/>
        </w:trPr>
        <w:tc>
          <w:tcPr>
            <w:tcW w:w="558"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项目名称</w:t>
            </w:r>
          </w:p>
        </w:tc>
        <w:tc>
          <w:tcPr>
            <w:tcW w:w="4442" w:type="pct"/>
            <w:gridSpan w:val="1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直属单位业务发展-全市基础教育教师家庭教育指导能力提升项目</w:t>
            </w:r>
          </w:p>
        </w:tc>
      </w:tr>
      <w:tr w:rsidR="008E674B">
        <w:trPr>
          <w:trHeight w:val="280"/>
        </w:trPr>
        <w:tc>
          <w:tcPr>
            <w:tcW w:w="558"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主管部门</w:t>
            </w:r>
          </w:p>
        </w:tc>
        <w:tc>
          <w:tcPr>
            <w:tcW w:w="2493" w:type="pct"/>
            <w:gridSpan w:val="5"/>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北京市教育委员会</w:t>
            </w:r>
          </w:p>
        </w:tc>
        <w:tc>
          <w:tcPr>
            <w:tcW w:w="672"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实施单位</w:t>
            </w:r>
          </w:p>
        </w:tc>
        <w:tc>
          <w:tcPr>
            <w:tcW w:w="1276" w:type="pct"/>
            <w:gridSpan w:val="5"/>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北京开放大</w:t>
            </w:r>
            <w:r>
              <w:rPr>
                <w:rFonts w:ascii="宋体" w:eastAsia="宋体" w:hAnsi="宋体" w:cs="宋体" w:hint="eastAsia"/>
                <w:color w:val="000000"/>
                <w:kern w:val="0"/>
                <w:szCs w:val="21"/>
              </w:rPr>
              <w:t>学</w:t>
            </w:r>
          </w:p>
        </w:tc>
      </w:tr>
      <w:tr w:rsidR="008E674B">
        <w:trPr>
          <w:trHeight w:val="280"/>
        </w:trPr>
        <w:tc>
          <w:tcPr>
            <w:tcW w:w="558" w:type="pct"/>
            <w:gridSpan w:val="2"/>
            <w:vMerge w:val="restar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项</w:t>
            </w:r>
            <w:r>
              <w:rPr>
                <w:rFonts w:ascii="仿宋_GB2312" w:eastAsia="仿宋_GB2312" w:hAnsi="宋体" w:cs="宋体" w:hint="eastAsia"/>
                <w:color w:val="000000"/>
                <w:kern w:val="0"/>
                <w:szCs w:val="21"/>
              </w:rPr>
              <w:t>目</w:t>
            </w:r>
            <w:r>
              <w:rPr>
                <w:rFonts w:ascii="宋体" w:eastAsia="宋体" w:hAnsi="宋体" w:cs="宋体" w:hint="eastAsia"/>
                <w:color w:val="000000"/>
                <w:kern w:val="0"/>
                <w:szCs w:val="21"/>
              </w:rPr>
              <w:t>资</w:t>
            </w:r>
            <w:r>
              <w:rPr>
                <w:rFonts w:ascii="仿宋_GB2312" w:eastAsia="仿宋_GB2312" w:hAnsi="宋体" w:cs="宋体" w:hint="eastAsia"/>
                <w:color w:val="000000"/>
                <w:kern w:val="0"/>
                <w:szCs w:val="21"/>
              </w:rPr>
              <w:t>金</w:t>
            </w:r>
            <w:r>
              <w:rPr>
                <w:rFonts w:ascii="仿宋_GB2312" w:eastAsia="仿宋_GB2312" w:hAnsi="宋体" w:cs="宋体" w:hint="eastAsia"/>
                <w:color w:val="000000"/>
                <w:kern w:val="0"/>
                <w:szCs w:val="21"/>
              </w:rPr>
              <w:br/>
              <w:t>（万元）</w:t>
            </w:r>
          </w:p>
        </w:tc>
        <w:tc>
          <w:tcPr>
            <w:tcW w:w="918"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859"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w:t>
            </w:r>
            <w:r>
              <w:rPr>
                <w:rFonts w:ascii="宋体" w:eastAsia="宋体" w:hAnsi="宋体" w:cs="宋体" w:hint="eastAsia"/>
                <w:color w:val="000000"/>
                <w:kern w:val="0"/>
                <w:szCs w:val="21"/>
              </w:rPr>
              <w:t>预</w:t>
            </w:r>
            <w:r>
              <w:rPr>
                <w:rFonts w:ascii="仿宋_GB2312" w:eastAsia="仿宋_GB2312" w:hAnsi="宋体" w:cs="宋体" w:hint="eastAsia"/>
                <w:color w:val="000000"/>
                <w:kern w:val="0"/>
                <w:szCs w:val="21"/>
              </w:rPr>
              <w:t>算</w:t>
            </w:r>
            <w:r>
              <w:rPr>
                <w:rFonts w:ascii="宋体" w:eastAsia="宋体" w:hAnsi="宋体" w:cs="宋体" w:hint="eastAsia"/>
                <w:color w:val="000000"/>
                <w:kern w:val="0"/>
                <w:szCs w:val="21"/>
              </w:rPr>
              <w:t>数</w:t>
            </w:r>
          </w:p>
        </w:tc>
        <w:tc>
          <w:tcPr>
            <w:tcW w:w="716"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w:t>
            </w:r>
            <w:r>
              <w:rPr>
                <w:rFonts w:ascii="宋体" w:eastAsia="宋体" w:hAnsi="宋体" w:cs="宋体" w:hint="eastAsia"/>
                <w:color w:val="000000"/>
                <w:kern w:val="0"/>
                <w:szCs w:val="21"/>
              </w:rPr>
              <w:t>预</w:t>
            </w:r>
            <w:r>
              <w:rPr>
                <w:rFonts w:ascii="仿宋_GB2312" w:eastAsia="仿宋_GB2312" w:hAnsi="宋体" w:cs="宋体" w:hint="eastAsia"/>
                <w:color w:val="000000"/>
                <w:kern w:val="0"/>
                <w:szCs w:val="21"/>
              </w:rPr>
              <w:t>算</w:t>
            </w:r>
            <w:r>
              <w:rPr>
                <w:rFonts w:ascii="宋体" w:eastAsia="宋体" w:hAnsi="宋体" w:cs="宋体" w:hint="eastAsia"/>
                <w:color w:val="000000"/>
                <w:kern w:val="0"/>
                <w:szCs w:val="21"/>
              </w:rPr>
              <w:t>数</w:t>
            </w:r>
          </w:p>
        </w:tc>
        <w:tc>
          <w:tcPr>
            <w:tcW w:w="672"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全年执行数</w:t>
            </w:r>
          </w:p>
        </w:tc>
        <w:tc>
          <w:tcPr>
            <w:tcW w:w="34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573"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执行率</w:t>
            </w:r>
          </w:p>
        </w:tc>
        <w:tc>
          <w:tcPr>
            <w:tcW w:w="356"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r>
      <w:tr w:rsidR="008E674B">
        <w:trPr>
          <w:trHeight w:val="280"/>
        </w:trPr>
        <w:tc>
          <w:tcPr>
            <w:tcW w:w="558" w:type="pct"/>
            <w:gridSpan w:val="2"/>
            <w:vMerge/>
            <w:vAlign w:val="center"/>
          </w:tcPr>
          <w:p w:rsidR="008E674B" w:rsidRDefault="008E674B">
            <w:pPr>
              <w:widowControl/>
              <w:jc w:val="left"/>
              <w:rPr>
                <w:rFonts w:ascii="仿宋_GB2312" w:eastAsia="仿宋_GB2312" w:hAnsi="宋体" w:cs="宋体"/>
                <w:color w:val="000000"/>
                <w:kern w:val="0"/>
                <w:szCs w:val="21"/>
              </w:rPr>
            </w:pPr>
          </w:p>
        </w:tc>
        <w:tc>
          <w:tcPr>
            <w:tcW w:w="918" w:type="pct"/>
            <w:gridSpan w:val="2"/>
            <w:shd w:val="clear" w:color="auto" w:fill="auto"/>
            <w:vAlign w:val="center"/>
          </w:tcPr>
          <w:p w:rsidR="008E674B" w:rsidRDefault="009E5943">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年度资金总额</w:t>
            </w:r>
          </w:p>
        </w:tc>
        <w:tc>
          <w:tcPr>
            <w:tcW w:w="859"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120.572000</w:t>
            </w:r>
          </w:p>
        </w:tc>
        <w:tc>
          <w:tcPr>
            <w:tcW w:w="716"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120.500000</w:t>
            </w:r>
          </w:p>
        </w:tc>
        <w:tc>
          <w:tcPr>
            <w:tcW w:w="672"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120.500000</w:t>
            </w:r>
          </w:p>
        </w:tc>
        <w:tc>
          <w:tcPr>
            <w:tcW w:w="34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573"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100.00%</w:t>
            </w:r>
          </w:p>
        </w:tc>
        <w:tc>
          <w:tcPr>
            <w:tcW w:w="356"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w:t>
            </w:r>
          </w:p>
        </w:tc>
      </w:tr>
      <w:tr w:rsidR="008E674B">
        <w:trPr>
          <w:trHeight w:val="280"/>
        </w:trPr>
        <w:tc>
          <w:tcPr>
            <w:tcW w:w="558" w:type="pct"/>
            <w:gridSpan w:val="2"/>
            <w:vMerge/>
            <w:vAlign w:val="center"/>
          </w:tcPr>
          <w:p w:rsidR="008E674B" w:rsidRDefault="008E674B">
            <w:pPr>
              <w:widowControl/>
              <w:jc w:val="left"/>
              <w:rPr>
                <w:rFonts w:ascii="仿宋_GB2312" w:eastAsia="仿宋_GB2312" w:hAnsi="宋体" w:cs="宋体"/>
                <w:color w:val="000000"/>
                <w:kern w:val="0"/>
                <w:szCs w:val="21"/>
              </w:rPr>
            </w:pPr>
          </w:p>
        </w:tc>
        <w:tc>
          <w:tcPr>
            <w:tcW w:w="918"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其中：当年财政拨款</w:t>
            </w:r>
          </w:p>
        </w:tc>
        <w:tc>
          <w:tcPr>
            <w:tcW w:w="859"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120.572000</w:t>
            </w:r>
          </w:p>
        </w:tc>
        <w:tc>
          <w:tcPr>
            <w:tcW w:w="716"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120.500000</w:t>
            </w:r>
          </w:p>
        </w:tc>
        <w:tc>
          <w:tcPr>
            <w:tcW w:w="672"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120.500000</w:t>
            </w:r>
          </w:p>
        </w:tc>
        <w:tc>
          <w:tcPr>
            <w:tcW w:w="34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573"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100.00%</w:t>
            </w:r>
          </w:p>
        </w:tc>
        <w:tc>
          <w:tcPr>
            <w:tcW w:w="356"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8E674B">
        <w:trPr>
          <w:trHeight w:val="280"/>
        </w:trPr>
        <w:tc>
          <w:tcPr>
            <w:tcW w:w="558" w:type="pct"/>
            <w:gridSpan w:val="2"/>
            <w:vMerge/>
            <w:vAlign w:val="center"/>
          </w:tcPr>
          <w:p w:rsidR="008E674B" w:rsidRDefault="008E674B">
            <w:pPr>
              <w:widowControl/>
              <w:jc w:val="left"/>
              <w:rPr>
                <w:rFonts w:ascii="仿宋_GB2312" w:eastAsia="仿宋_GB2312" w:hAnsi="宋体" w:cs="宋体"/>
                <w:color w:val="000000"/>
                <w:kern w:val="0"/>
                <w:szCs w:val="21"/>
              </w:rPr>
            </w:pPr>
          </w:p>
        </w:tc>
        <w:tc>
          <w:tcPr>
            <w:tcW w:w="918"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上年结转资金</w:t>
            </w:r>
          </w:p>
        </w:tc>
        <w:tc>
          <w:tcPr>
            <w:tcW w:w="859"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716"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672"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4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573"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56"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8E674B">
        <w:trPr>
          <w:trHeight w:val="280"/>
        </w:trPr>
        <w:tc>
          <w:tcPr>
            <w:tcW w:w="558" w:type="pct"/>
            <w:gridSpan w:val="2"/>
            <w:vMerge/>
            <w:vAlign w:val="center"/>
          </w:tcPr>
          <w:p w:rsidR="008E674B" w:rsidRDefault="008E674B">
            <w:pPr>
              <w:widowControl/>
              <w:jc w:val="left"/>
              <w:rPr>
                <w:rFonts w:ascii="仿宋_GB2312" w:eastAsia="仿宋_GB2312" w:hAnsi="宋体" w:cs="宋体"/>
                <w:color w:val="000000"/>
                <w:kern w:val="0"/>
                <w:szCs w:val="21"/>
              </w:rPr>
            </w:pPr>
          </w:p>
        </w:tc>
        <w:tc>
          <w:tcPr>
            <w:tcW w:w="918"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其他资金</w:t>
            </w:r>
          </w:p>
        </w:tc>
        <w:tc>
          <w:tcPr>
            <w:tcW w:w="859"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716"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672"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4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c>
          <w:tcPr>
            <w:tcW w:w="573"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356"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w:t>
            </w:r>
          </w:p>
        </w:tc>
      </w:tr>
      <w:tr w:rsidR="008E674B">
        <w:trPr>
          <w:trHeight w:val="280"/>
        </w:trPr>
        <w:tc>
          <w:tcPr>
            <w:tcW w:w="278" w:type="pct"/>
            <w:vMerge w:val="restart"/>
            <w:shd w:val="clear" w:color="auto" w:fill="auto"/>
            <w:textDirection w:val="tbRlV"/>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年度总体目标</w:t>
            </w:r>
          </w:p>
        </w:tc>
        <w:tc>
          <w:tcPr>
            <w:tcW w:w="2773" w:type="pct"/>
            <w:gridSpan w:val="6"/>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预期目标</w:t>
            </w:r>
          </w:p>
        </w:tc>
        <w:tc>
          <w:tcPr>
            <w:tcW w:w="1949" w:type="pct"/>
            <w:gridSpan w:val="7"/>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实际完成情况</w:t>
            </w:r>
          </w:p>
        </w:tc>
      </w:tr>
      <w:tr w:rsidR="008E674B">
        <w:trPr>
          <w:trHeight w:val="326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773" w:type="pct"/>
            <w:gridSpan w:val="6"/>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新建40门基础教育教师培训课程，通过在“京学网”搭建“北京市基础教育教师家庭教育指导能力培训”频道的方式来面向北京市所有城区的中小学幼儿园基础教育教师开放，打造优质课程，构建包含幼儿园阶段、小学阶段、初中阶段、高中阶段4个阶段的基础教育教师培训课程体系和家庭教育在线服务体系。课程资源建设完成后，学校非学历课程资源数量得以丰富，教学服务能力得到提升。通过资源应用方式的不断完善，可以满足市民终身学习需求，为市民素质提升创造条件，促进学习型城市发展</w:t>
            </w:r>
          </w:p>
        </w:tc>
        <w:tc>
          <w:tcPr>
            <w:tcW w:w="1949" w:type="pct"/>
            <w:gridSpan w:val="7"/>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幼儿园、小学、初中、高中4个学段，每学段10门，共计40门基础教育教师家庭教育指导能力提升培训课程。通过在“京学网”（“同育桥”小程序和社会教育在线）等平台面向全市教师提供线上培训。截至2025年3月31日，平台注册教师104506人，完成培训教师73000余人，课程点击量超55万次。通过不断完善，满足市民终身学习需求，为市民素质提升创造条件，促进学习型城市发展。</w:t>
            </w:r>
          </w:p>
        </w:tc>
      </w:tr>
      <w:tr w:rsidR="008E674B">
        <w:trPr>
          <w:trHeight w:val="560"/>
        </w:trPr>
        <w:tc>
          <w:tcPr>
            <w:tcW w:w="278" w:type="pct"/>
            <w:vMerge w:val="restart"/>
            <w:shd w:val="clear" w:color="auto" w:fill="auto"/>
            <w:textDirection w:val="tbRlV"/>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w:t>
            </w:r>
          </w:p>
        </w:tc>
        <w:tc>
          <w:tcPr>
            <w:tcW w:w="280"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一级指标</w:t>
            </w: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二级指标</w:t>
            </w:r>
          </w:p>
        </w:tc>
        <w:tc>
          <w:tcPr>
            <w:tcW w:w="1510" w:type="pct"/>
            <w:gridSpan w:val="3"/>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三级指标</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年度指标值</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实际</w:t>
            </w:r>
            <w:r>
              <w:rPr>
                <w:rFonts w:ascii="仿宋_GB2312" w:eastAsia="仿宋_GB2312" w:hAnsi="宋体" w:cs="宋体" w:hint="eastAsia"/>
                <w:color w:val="000000"/>
                <w:kern w:val="0"/>
                <w:szCs w:val="21"/>
              </w:rPr>
              <w:t>完成值</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分值</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得分</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偏差原因分析及改</w:t>
            </w:r>
            <w:r>
              <w:rPr>
                <w:rFonts w:ascii="宋体" w:eastAsia="宋体" w:hAnsi="宋体" w:cs="宋体" w:hint="eastAsia"/>
                <w:color w:val="000000"/>
                <w:kern w:val="0"/>
                <w:szCs w:val="21"/>
              </w:rPr>
              <w:t>进</w:t>
            </w:r>
            <w:r>
              <w:rPr>
                <w:rFonts w:ascii="仿宋_GB2312" w:eastAsia="仿宋_GB2312" w:hAnsi="宋体" w:cs="宋体" w:hint="eastAsia"/>
                <w:color w:val="000000"/>
                <w:kern w:val="0"/>
                <w:szCs w:val="21"/>
              </w:rPr>
              <w:t>措施</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restar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产出指标</w:t>
            </w: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数量指标</w:t>
            </w:r>
          </w:p>
        </w:tc>
        <w:tc>
          <w:tcPr>
            <w:tcW w:w="1510" w:type="pct"/>
            <w:gridSpan w:val="3"/>
            <w:shd w:val="clear" w:color="auto" w:fill="auto"/>
            <w:noWrap/>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课程数量</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w:t>
            </w:r>
            <w:r>
              <w:rPr>
                <w:rFonts w:ascii="宋体" w:eastAsia="宋体" w:hAnsi="宋体" w:cs="宋体" w:hint="eastAsia"/>
                <w:color w:val="000000"/>
                <w:kern w:val="0"/>
                <w:szCs w:val="21"/>
              </w:rPr>
              <w:t>门</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w:t>
            </w:r>
            <w:r>
              <w:rPr>
                <w:rFonts w:ascii="宋体" w:eastAsia="宋体" w:hAnsi="宋体" w:cs="宋体" w:hint="eastAsia"/>
                <w:color w:val="000000"/>
                <w:kern w:val="0"/>
                <w:szCs w:val="21"/>
              </w:rPr>
              <w:t>门</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无　</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ign w:val="center"/>
          </w:tcPr>
          <w:p w:rsidR="008E674B" w:rsidRDefault="008E674B">
            <w:pPr>
              <w:widowControl/>
              <w:jc w:val="left"/>
              <w:rPr>
                <w:rFonts w:ascii="仿宋_GB2312" w:eastAsia="仿宋_GB2312" w:hAnsi="宋体" w:cs="宋体"/>
                <w:color w:val="000000"/>
                <w:kern w:val="0"/>
                <w:szCs w:val="21"/>
              </w:rPr>
            </w:pP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510" w:type="pct"/>
            <w:gridSpan w:val="3"/>
            <w:shd w:val="clear" w:color="auto" w:fill="auto"/>
            <w:noWrap/>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专家评审通过率</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ign w:val="center"/>
          </w:tcPr>
          <w:p w:rsidR="008E674B" w:rsidRDefault="008E674B">
            <w:pPr>
              <w:widowControl/>
              <w:jc w:val="left"/>
              <w:rPr>
                <w:rFonts w:ascii="仿宋_GB2312" w:eastAsia="仿宋_GB2312" w:hAnsi="宋体" w:cs="宋体"/>
                <w:color w:val="000000"/>
                <w:kern w:val="0"/>
                <w:szCs w:val="21"/>
              </w:rPr>
            </w:pP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符合在线课程制作标准课程比例</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ign w:val="center"/>
          </w:tcPr>
          <w:p w:rsidR="008E674B" w:rsidRDefault="008E674B">
            <w:pPr>
              <w:widowControl/>
              <w:jc w:val="left"/>
              <w:rPr>
                <w:rFonts w:ascii="仿宋_GB2312" w:eastAsia="仿宋_GB2312" w:hAnsi="宋体" w:cs="宋体"/>
                <w:color w:val="000000"/>
                <w:kern w:val="0"/>
                <w:szCs w:val="21"/>
              </w:rPr>
            </w:pP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质量指标</w:t>
            </w:r>
          </w:p>
        </w:tc>
        <w:tc>
          <w:tcPr>
            <w:tcW w:w="1510" w:type="pct"/>
            <w:gridSpan w:val="3"/>
            <w:shd w:val="clear" w:color="auto" w:fill="auto"/>
            <w:noWrap/>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符合在线课程验收标准课程比例</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ign w:val="center"/>
          </w:tcPr>
          <w:p w:rsidR="008E674B" w:rsidRDefault="008E674B">
            <w:pPr>
              <w:widowControl/>
              <w:jc w:val="left"/>
              <w:rPr>
                <w:rFonts w:ascii="仿宋_GB2312" w:eastAsia="仿宋_GB2312" w:hAnsi="宋体" w:cs="宋体"/>
                <w:color w:val="000000"/>
                <w:kern w:val="0"/>
                <w:szCs w:val="21"/>
              </w:rPr>
            </w:pP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课程开发时间</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≤12月</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9</w:t>
            </w:r>
            <w:r>
              <w:rPr>
                <w:rFonts w:ascii="仿宋_GB2312" w:eastAsia="仿宋_GB2312" w:hAnsi="宋体" w:cs="宋体" w:hint="eastAsia"/>
                <w:color w:val="000000"/>
                <w:kern w:val="0"/>
                <w:szCs w:val="21"/>
              </w:rPr>
              <w:t>月</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ign w:val="center"/>
          </w:tcPr>
          <w:p w:rsidR="008E674B" w:rsidRDefault="008E674B">
            <w:pPr>
              <w:widowControl/>
              <w:jc w:val="left"/>
              <w:rPr>
                <w:rFonts w:ascii="仿宋_GB2312" w:eastAsia="仿宋_GB2312" w:hAnsi="宋体" w:cs="宋体"/>
                <w:color w:val="000000"/>
                <w:kern w:val="0"/>
                <w:szCs w:val="21"/>
              </w:rPr>
            </w:pP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时效指标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课程评审验收时间</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≤12月</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宋体" w:eastAsia="宋体" w:hAnsi="宋体" w:cs="宋体" w:hint="eastAsia"/>
                <w:color w:val="000000"/>
                <w:kern w:val="0"/>
                <w:szCs w:val="21"/>
              </w:rPr>
              <w:t>10</w:t>
            </w:r>
            <w:r>
              <w:rPr>
                <w:rFonts w:ascii="仿宋_GB2312" w:eastAsia="仿宋_GB2312" w:hAnsi="宋体" w:cs="宋体" w:hint="eastAsia"/>
                <w:color w:val="000000"/>
                <w:kern w:val="0"/>
                <w:szCs w:val="21"/>
              </w:rPr>
              <w:t>月</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49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成本指标</w:t>
            </w: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经济成本指标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预算控制数</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≤120.572万元</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120.5万元</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restar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效益</w:t>
            </w:r>
            <w:r>
              <w:rPr>
                <w:rFonts w:ascii="仿宋_GB2312" w:eastAsia="仿宋_GB2312" w:hAnsi="宋体" w:cs="宋体" w:hint="eastAsia"/>
                <w:color w:val="000000"/>
                <w:kern w:val="0"/>
                <w:szCs w:val="21"/>
              </w:rPr>
              <w:lastRenderedPageBreak/>
              <w:t>指标</w:t>
            </w: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经济效益指标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丰富本校非学历课程资源</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w:t>
            </w:r>
            <w:r>
              <w:rPr>
                <w:rFonts w:ascii="宋体" w:eastAsia="宋体" w:hAnsi="宋体" w:cs="宋体" w:hint="eastAsia"/>
                <w:color w:val="000000"/>
                <w:kern w:val="0"/>
                <w:szCs w:val="21"/>
              </w:rPr>
              <w:t>门</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40</w:t>
            </w:r>
            <w:r>
              <w:rPr>
                <w:rFonts w:ascii="宋体" w:eastAsia="宋体" w:hAnsi="宋体" w:cs="宋体" w:hint="eastAsia"/>
                <w:color w:val="000000"/>
                <w:kern w:val="0"/>
                <w:szCs w:val="21"/>
              </w:rPr>
              <w:t>门</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45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ign w:val="center"/>
          </w:tcPr>
          <w:p w:rsidR="008E674B" w:rsidRDefault="008E674B">
            <w:pPr>
              <w:widowControl/>
              <w:jc w:val="left"/>
              <w:rPr>
                <w:rFonts w:ascii="仿宋_GB2312" w:eastAsia="仿宋_GB2312" w:hAnsi="宋体" w:cs="宋体"/>
                <w:color w:val="000000"/>
                <w:kern w:val="0"/>
                <w:szCs w:val="21"/>
              </w:rPr>
            </w:pP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课程教学覆盖人数</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≥10万人次</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10万人次</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无</w:t>
            </w:r>
          </w:p>
        </w:tc>
      </w:tr>
      <w:tr w:rsidR="008E674B">
        <w:trPr>
          <w:trHeight w:val="109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vMerge/>
            <w:vAlign w:val="center"/>
          </w:tcPr>
          <w:p w:rsidR="008E674B" w:rsidRDefault="008E674B">
            <w:pPr>
              <w:widowControl/>
              <w:jc w:val="left"/>
              <w:rPr>
                <w:rFonts w:ascii="仿宋_GB2312" w:eastAsia="仿宋_GB2312" w:hAnsi="宋体" w:cs="宋体"/>
                <w:color w:val="000000"/>
                <w:kern w:val="0"/>
                <w:szCs w:val="21"/>
              </w:rPr>
            </w:pP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可持续影响指标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持续服务北京市基础教育教师</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≥10万人次</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10.5万人次</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8.50</w:t>
            </w:r>
          </w:p>
        </w:tc>
        <w:tc>
          <w:tcPr>
            <w:tcW w:w="777" w:type="pct"/>
            <w:gridSpan w:val="2"/>
            <w:shd w:val="clear" w:color="auto" w:fill="auto"/>
            <w:vAlign w:val="center"/>
          </w:tcPr>
          <w:p w:rsidR="008E674B" w:rsidRDefault="009E5943" w:rsidP="00377D44">
            <w:pPr>
              <w:widowControl/>
              <w:jc w:val="center"/>
              <w:rPr>
                <w:rFonts w:ascii="仿宋_GB2312" w:eastAsia="仿宋_GB2312" w:hAnsi="宋体" w:cs="宋体"/>
                <w:color w:val="000000"/>
                <w:kern w:val="0"/>
                <w:szCs w:val="21"/>
              </w:rPr>
            </w:pPr>
            <w:r w:rsidRPr="009E5943">
              <w:rPr>
                <w:rFonts w:ascii="仿宋_GB2312" w:eastAsia="仿宋_GB2312" w:hAnsi="宋体" w:cs="宋体"/>
                <w:color w:val="000000"/>
                <w:kern w:val="0"/>
                <w:szCs w:val="21"/>
              </w:rPr>
              <w:t>后续注册学习增长空间有限，将持续挖掘多元学习激励手段服务基础教育教师。</w:t>
            </w:r>
          </w:p>
        </w:tc>
      </w:tr>
      <w:tr w:rsidR="008E674B">
        <w:trPr>
          <w:trHeight w:val="1240"/>
        </w:trPr>
        <w:tc>
          <w:tcPr>
            <w:tcW w:w="278" w:type="pct"/>
            <w:vMerge/>
            <w:vAlign w:val="center"/>
          </w:tcPr>
          <w:p w:rsidR="008E674B" w:rsidRDefault="008E674B">
            <w:pPr>
              <w:widowControl/>
              <w:jc w:val="left"/>
              <w:rPr>
                <w:rFonts w:ascii="仿宋_GB2312" w:eastAsia="仿宋_GB2312" w:hAnsi="宋体" w:cs="宋体"/>
                <w:color w:val="000000"/>
                <w:kern w:val="0"/>
                <w:szCs w:val="21"/>
              </w:rPr>
            </w:pPr>
          </w:p>
        </w:tc>
        <w:tc>
          <w:tcPr>
            <w:tcW w:w="280"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满意度指标</w:t>
            </w:r>
          </w:p>
        </w:tc>
        <w:tc>
          <w:tcPr>
            <w:tcW w:w="421"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服务对象满意度指标</w:t>
            </w:r>
          </w:p>
        </w:tc>
        <w:tc>
          <w:tcPr>
            <w:tcW w:w="1510" w:type="pct"/>
            <w:gridSpan w:val="3"/>
            <w:shd w:val="clear" w:color="auto" w:fill="auto"/>
            <w:vAlign w:val="center"/>
          </w:tcPr>
          <w:p w:rsidR="008E674B" w:rsidRDefault="009E5943">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基础教育教师满意度</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w:t>
            </w:r>
          </w:p>
        </w:tc>
        <w:tc>
          <w:tcPr>
            <w:tcW w:w="563" w:type="pct"/>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95%</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8.00</w:t>
            </w:r>
          </w:p>
        </w:tc>
        <w:tc>
          <w:tcPr>
            <w:tcW w:w="777" w:type="pct"/>
            <w:gridSpan w:val="2"/>
            <w:shd w:val="clear" w:color="auto" w:fill="auto"/>
            <w:vAlign w:val="center"/>
          </w:tcPr>
          <w:p w:rsidR="008E674B" w:rsidRDefault="009E5943" w:rsidP="00546692">
            <w:pPr>
              <w:widowControl/>
              <w:jc w:val="center"/>
              <w:rPr>
                <w:rFonts w:ascii="仿宋_GB2312" w:eastAsia="仿宋_GB2312" w:hAnsi="宋体" w:cs="宋体"/>
                <w:color w:val="000000"/>
                <w:kern w:val="0"/>
                <w:szCs w:val="21"/>
              </w:rPr>
            </w:pPr>
            <w:r w:rsidRPr="009E5943">
              <w:rPr>
                <w:rFonts w:ascii="仿宋_GB2312" w:eastAsia="仿宋_GB2312" w:hAnsi="宋体" w:cs="宋体" w:hint="eastAsia"/>
                <w:color w:val="000000"/>
                <w:kern w:val="0"/>
                <w:szCs w:val="21"/>
              </w:rPr>
              <w:t>网站学习满意度低于小程序，</w:t>
            </w:r>
            <w:r>
              <w:rPr>
                <w:rFonts w:ascii="仿宋_GB2312" w:eastAsia="仿宋_GB2312" w:hAnsi="宋体" w:cs="宋体" w:hint="eastAsia"/>
                <w:color w:val="000000"/>
                <w:kern w:val="0"/>
                <w:szCs w:val="21"/>
              </w:rPr>
              <w:t>后续将优化网站端口，丰富互动场景以提升</w:t>
            </w:r>
            <w:r w:rsidRPr="009E5943">
              <w:rPr>
                <w:rFonts w:ascii="仿宋_GB2312" w:eastAsia="仿宋_GB2312" w:hAnsi="宋体" w:cs="宋体" w:hint="eastAsia"/>
                <w:color w:val="000000"/>
                <w:kern w:val="0"/>
                <w:szCs w:val="21"/>
              </w:rPr>
              <w:t>满意度。</w:t>
            </w:r>
          </w:p>
        </w:tc>
      </w:tr>
      <w:tr w:rsidR="008E674B">
        <w:trPr>
          <w:trHeight w:val="470"/>
        </w:trPr>
        <w:tc>
          <w:tcPr>
            <w:tcW w:w="3614" w:type="pct"/>
            <w:gridSpan w:val="8"/>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254"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355"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96.50</w:t>
            </w:r>
          </w:p>
        </w:tc>
        <w:tc>
          <w:tcPr>
            <w:tcW w:w="777" w:type="pct"/>
            <w:gridSpan w:val="2"/>
            <w:shd w:val="clear" w:color="auto" w:fill="auto"/>
            <w:vAlign w:val="center"/>
          </w:tcPr>
          <w:p w:rsidR="008E674B" w:rsidRDefault="009E5943">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rsidR="009E5943" w:rsidRDefault="009E5943" w:rsidP="001A50B6"/>
    <w:sectPr w:rsidR="009E5943" w:rsidSect="008E674B">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charset w:val="86"/>
    <w:family w:val="auto"/>
    <w:pitch w:val="default"/>
    <w:sig w:usb0="00000001" w:usb1="08000000" w:usb2="00000000" w:usb3="00000000" w:csb0="00040000" w:csb1="00000000"/>
    <w:embedRegular r:id="rId1" w:subsetted="1" w:fontKey="{FE6829B5-1BFF-4CFE-9E6A-CC5B2B9674AE}"/>
  </w:font>
  <w:font w:name="黑体">
    <w:altName w:val="SimHei"/>
    <w:panose1 w:val="02010609060101010101"/>
    <w:charset w:val="86"/>
    <w:family w:val="modern"/>
    <w:notTrueType/>
    <w:pitch w:val="fixed"/>
    <w:sig w:usb0="00000001" w:usb1="080E0000" w:usb2="00000010" w:usb3="00000000" w:csb0="00040000" w:csb1="00000000"/>
  </w:font>
  <w:font w:name="仿宋_GB2312">
    <w:charset w:val="86"/>
    <w:family w:val="modern"/>
    <w:pitch w:val="default"/>
    <w:sig w:usb0="00000001" w:usb1="080E0000" w:usb2="00000000" w:usb3="00000000" w:csb0="00040000" w:csb1="00000000"/>
    <w:embedRegular r:id="rId2" w:subsetted="1" w:fontKey="{F4513DF8-C585-4B8A-9673-9B91B1528A56}"/>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TrueTypeFonts/>
  <w:saveSubset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gzNzBjMGI0YTQ3NmZhMjI3ODIwMGVlZDBkMzlhY2MifQ=="/>
  </w:docVars>
  <w:rsids>
    <w:rsidRoot w:val="003C3932"/>
    <w:rsid w:val="00131445"/>
    <w:rsid w:val="0014359D"/>
    <w:rsid w:val="001A50B6"/>
    <w:rsid w:val="002773FD"/>
    <w:rsid w:val="00377D44"/>
    <w:rsid w:val="003C3932"/>
    <w:rsid w:val="00404555"/>
    <w:rsid w:val="00546692"/>
    <w:rsid w:val="005F674C"/>
    <w:rsid w:val="007157C3"/>
    <w:rsid w:val="007436B9"/>
    <w:rsid w:val="008E674B"/>
    <w:rsid w:val="009E5943"/>
    <w:rsid w:val="00A67FCF"/>
    <w:rsid w:val="00B52F28"/>
    <w:rsid w:val="00D16291"/>
    <w:rsid w:val="00D35F4C"/>
    <w:rsid w:val="00E200F7"/>
    <w:rsid w:val="00EB3DEC"/>
    <w:rsid w:val="00ED1215"/>
    <w:rsid w:val="00F26149"/>
    <w:rsid w:val="00F93718"/>
    <w:rsid w:val="0B325D18"/>
    <w:rsid w:val="0DAA5818"/>
    <w:rsid w:val="120F1FDD"/>
    <w:rsid w:val="28CC237B"/>
    <w:rsid w:val="37471DAE"/>
    <w:rsid w:val="58AA6922"/>
    <w:rsid w:val="633020E4"/>
    <w:rsid w:val="66A2778A"/>
    <w:rsid w:val="694B6B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74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8E67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2025-04-13T11:01:00Z</dcterms:created>
  <dcterms:modified xsi:type="dcterms:W3CDTF">2025-08-23T07:12:00Z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0D194417014041E38E085435AFD432B0_13</vt:lpwstr>
  </property>
  <property fmtid="{D5CDD505-2E9C-101B-9397-08002B2CF9AE}" pid="4" name="KSOTemplateDocerSaveRecord">
    <vt:lpwstr>eyJoZGlkIjoiM2NjY2IyOWExOWI4NDk5NzVlMDZlMWE0ZTkyYmU0YjAifQ==</vt:lpwstr>
  </property>
</Properties>
</file>